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4F654" w14:textId="77777777" w:rsidR="001D6C23" w:rsidRDefault="001D6C23" w:rsidP="001D6C23">
      <w:pPr>
        <w:rPr>
          <w:rFonts w:ascii="Times New Roman" w:hAnsi="Times New Roman" w:cs="Times New Roman"/>
          <w:b/>
          <w:bCs/>
          <w:sz w:val="24"/>
          <w:szCs w:val="24"/>
          <w:lang w:val="en-GB"/>
        </w:rPr>
      </w:pPr>
      <w:r w:rsidRPr="00EA43CA">
        <w:rPr>
          <w:rFonts w:ascii="Times New Roman" w:hAnsi="Times New Roman" w:cs="Times New Roman"/>
          <w:b/>
          <w:bCs/>
          <w:sz w:val="24"/>
          <w:szCs w:val="24"/>
          <w:highlight w:val="yellow"/>
          <w:lang w:val="en-GB"/>
        </w:rPr>
        <w:t xml:space="preserve">The Hepatoprotective Effects of </w:t>
      </w:r>
      <w:r w:rsidRPr="00EA43CA">
        <w:rPr>
          <w:rFonts w:ascii="Times New Roman" w:hAnsi="Times New Roman" w:cs="Times New Roman"/>
          <w:b/>
          <w:bCs/>
          <w:i/>
          <w:iCs/>
          <w:sz w:val="24"/>
          <w:szCs w:val="24"/>
          <w:highlight w:val="yellow"/>
          <w:lang w:val="en-GB"/>
        </w:rPr>
        <w:t>Euphorbia hirta</w:t>
      </w:r>
      <w:r w:rsidRPr="00EA43CA">
        <w:rPr>
          <w:rFonts w:ascii="Times New Roman" w:hAnsi="Times New Roman" w:cs="Times New Roman"/>
          <w:b/>
          <w:bCs/>
          <w:sz w:val="24"/>
          <w:szCs w:val="24"/>
          <w:highlight w:val="yellow"/>
          <w:lang w:val="en-GB"/>
        </w:rPr>
        <w:t xml:space="preserve"> in ameliorating Paracetamol -Induced Liver Injury in Rats</w:t>
      </w:r>
    </w:p>
    <w:p w14:paraId="1FA5C65C" w14:textId="22C0E58A" w:rsidR="007F566C" w:rsidRPr="00EA43CA" w:rsidRDefault="00EA43CA" w:rsidP="001D6C23">
      <w:pPr>
        <w:spacing w:line="480" w:lineRule="auto"/>
        <w:rPr>
          <w:rFonts w:ascii="Times New Roman" w:hAnsi="Times New Roman" w:cs="Times New Roman"/>
          <w:b/>
          <w:sz w:val="24"/>
          <w:szCs w:val="24"/>
        </w:rPr>
      </w:pPr>
      <w:r w:rsidRPr="00EA43CA">
        <w:rPr>
          <w:rFonts w:ascii="Times New Roman" w:hAnsi="Times New Roman" w:cs="Times New Roman"/>
          <w:b/>
          <w:noProof/>
          <w:sz w:val="24"/>
          <w:szCs w:val="24"/>
          <w:highlight w:val="yellow"/>
        </w:rPr>
        <w:t>Original research Article</w:t>
      </w:r>
    </w:p>
    <w:p w14:paraId="5981203C" w14:textId="5DDD4721" w:rsidR="007F566C" w:rsidRDefault="007F566C">
      <w:pPr>
        <w:spacing w:after="200" w:line="276" w:lineRule="auto"/>
        <w:rPr>
          <w:rFonts w:ascii="Times New Roman" w:hAnsi="Times New Roman" w:cs="Times New Roman"/>
          <w:b/>
          <w:sz w:val="24"/>
          <w:szCs w:val="24"/>
        </w:rPr>
      </w:pPr>
    </w:p>
    <w:p w14:paraId="066BFA80" w14:textId="35B77144" w:rsidR="00EE6C73" w:rsidRPr="005954ED" w:rsidRDefault="00EE6C73" w:rsidP="00AF5592">
      <w:pPr>
        <w:spacing w:line="480" w:lineRule="auto"/>
        <w:jc w:val="center"/>
        <w:rPr>
          <w:rFonts w:ascii="Times New Roman" w:hAnsi="Times New Roman" w:cs="Times New Roman"/>
          <w:b/>
          <w:sz w:val="24"/>
          <w:szCs w:val="24"/>
        </w:rPr>
      </w:pPr>
      <w:r w:rsidRPr="005954ED">
        <w:rPr>
          <w:rFonts w:ascii="Times New Roman" w:hAnsi="Times New Roman" w:cs="Times New Roman"/>
          <w:b/>
          <w:sz w:val="24"/>
          <w:szCs w:val="24"/>
        </w:rPr>
        <w:t>ABSTRACT</w:t>
      </w:r>
    </w:p>
    <w:p w14:paraId="022CCA59" w14:textId="55A2641D" w:rsidR="007F566C" w:rsidRPr="007F566C" w:rsidRDefault="001D6C23" w:rsidP="001D6C23">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EA43CA">
        <w:rPr>
          <w:rFonts w:ascii="Times New Roman" w:eastAsia="Times New Roman" w:hAnsi="Times New Roman" w:cs="Times New Roman"/>
          <w:kern w:val="0"/>
          <w:sz w:val="24"/>
          <w:szCs w:val="24"/>
          <w:highlight w:val="yellow"/>
          <w14:ligatures w14:val="none"/>
        </w:rPr>
        <w:t>Paracetamol-induced hepatotoxicity is a significant global health concern, leading to toxicity and</w:t>
      </w:r>
      <w:r w:rsidR="00EA43CA" w:rsidRPr="00EA43CA">
        <w:rPr>
          <w:rFonts w:ascii="Times New Roman" w:eastAsia="Times New Roman" w:hAnsi="Times New Roman" w:cs="Times New Roman"/>
          <w:kern w:val="0"/>
          <w:sz w:val="24"/>
          <w:szCs w:val="24"/>
          <w:highlight w:val="yellow"/>
          <w14:ligatures w14:val="none"/>
        </w:rPr>
        <w:t xml:space="preserve"> </w:t>
      </w:r>
      <w:r w:rsidRPr="00EA43CA">
        <w:rPr>
          <w:rFonts w:ascii="Times New Roman" w:eastAsia="Times New Roman" w:hAnsi="Times New Roman" w:cs="Times New Roman"/>
          <w:kern w:val="0"/>
          <w:sz w:val="24"/>
          <w:szCs w:val="24"/>
          <w:highlight w:val="yellow"/>
          <w14:ligatures w14:val="none"/>
        </w:rPr>
        <w:t>chronic liver conditions.</w:t>
      </w:r>
      <w:r w:rsidR="00EA43CA">
        <w:rPr>
          <w:rFonts w:ascii="Times New Roman" w:eastAsia="Times New Roman" w:hAnsi="Times New Roman" w:cs="Times New Roman"/>
          <w:kern w:val="0"/>
          <w:sz w:val="24"/>
          <w:szCs w:val="24"/>
          <w14:ligatures w14:val="none"/>
        </w:rPr>
        <w:t xml:space="preserve"> </w:t>
      </w:r>
      <w:r w:rsidR="007F566C" w:rsidRPr="007F566C">
        <w:rPr>
          <w:rFonts w:ascii="Times New Roman" w:eastAsia="Times New Roman" w:hAnsi="Times New Roman" w:cs="Times New Roman"/>
          <w:kern w:val="0"/>
          <w:sz w:val="24"/>
          <w:szCs w:val="24"/>
          <w14:ligatures w14:val="none"/>
        </w:rPr>
        <w:t xml:space="preserve">While synthetic hepatoprotective drugs exist, their associated side effects necessitate the search for safer alternatives. </w:t>
      </w:r>
      <w:r w:rsidR="007F566C" w:rsidRPr="007F566C">
        <w:rPr>
          <w:rFonts w:ascii="Times New Roman" w:eastAsia="Times New Roman" w:hAnsi="Times New Roman" w:cs="Times New Roman"/>
          <w:i/>
          <w:iCs/>
          <w:kern w:val="0"/>
          <w:sz w:val="24"/>
          <w:szCs w:val="24"/>
          <w14:ligatures w14:val="none"/>
        </w:rPr>
        <w:t>Euphorbia hirta</w:t>
      </w:r>
      <w:r w:rsidR="007F566C" w:rsidRPr="007F566C">
        <w:rPr>
          <w:rFonts w:ascii="Times New Roman" w:eastAsia="Times New Roman" w:hAnsi="Times New Roman" w:cs="Times New Roman"/>
          <w:kern w:val="0"/>
          <w:sz w:val="24"/>
          <w:szCs w:val="24"/>
          <w14:ligatures w14:val="none"/>
        </w:rPr>
        <w:t xml:space="preserve">, known for its hepatoprotective and anti-inflammatory properties, has been explored for its potential in mitigating liver damage. This study investigates the protective effects of </w:t>
      </w:r>
      <w:r w:rsidR="007F566C" w:rsidRPr="007F566C">
        <w:rPr>
          <w:rFonts w:ascii="Times New Roman" w:eastAsia="Times New Roman" w:hAnsi="Times New Roman" w:cs="Times New Roman"/>
          <w:i/>
          <w:iCs/>
          <w:kern w:val="0"/>
          <w:sz w:val="24"/>
          <w:szCs w:val="24"/>
          <w14:ligatures w14:val="none"/>
        </w:rPr>
        <w:t>E. hirta</w:t>
      </w:r>
      <w:r w:rsidR="007F566C" w:rsidRPr="007F566C">
        <w:rPr>
          <w:rFonts w:ascii="Times New Roman" w:eastAsia="Times New Roman" w:hAnsi="Times New Roman" w:cs="Times New Roman"/>
          <w:kern w:val="0"/>
          <w:sz w:val="24"/>
          <w:szCs w:val="24"/>
          <w14:ligatures w14:val="none"/>
        </w:rPr>
        <w:t xml:space="preserve"> leaf extracts on paracetamol-induced hepatotoxicity in Wistar rats.</w:t>
      </w:r>
    </w:p>
    <w:p w14:paraId="0B5B5841" w14:textId="4850A2A3" w:rsidR="007F566C" w:rsidRPr="00E563C5" w:rsidRDefault="007F566C" w:rsidP="001D6C23">
      <w:pPr>
        <w:spacing w:line="360" w:lineRule="auto"/>
        <w:contextualSpacing/>
        <w:jc w:val="both"/>
        <w:rPr>
          <w:rFonts w:ascii="Times New Roman" w:hAnsi="Times New Roman" w:cs="Times New Roman"/>
          <w:bCs/>
          <w:sz w:val="24"/>
          <w:szCs w:val="24"/>
          <w:lang w:val="en-GB"/>
        </w:rPr>
      </w:pPr>
      <w:r w:rsidRPr="00E563C5">
        <w:rPr>
          <w:rFonts w:ascii="Times New Roman" w:eastAsia="Times New Roman" w:hAnsi="Times New Roman" w:cs="Times New Roman"/>
          <w:kern w:val="0"/>
          <w:sz w:val="24"/>
          <w:szCs w:val="24"/>
          <w14:ligatures w14:val="none"/>
        </w:rPr>
        <w:t xml:space="preserve">Fresh </w:t>
      </w:r>
      <w:r w:rsidRPr="00E563C5">
        <w:rPr>
          <w:rFonts w:ascii="Times New Roman" w:eastAsia="Times New Roman" w:hAnsi="Times New Roman" w:cs="Times New Roman"/>
          <w:i/>
          <w:iCs/>
          <w:kern w:val="0"/>
          <w:sz w:val="24"/>
          <w:szCs w:val="24"/>
          <w14:ligatures w14:val="none"/>
        </w:rPr>
        <w:t>E. hirta</w:t>
      </w:r>
      <w:r w:rsidRPr="00E563C5">
        <w:rPr>
          <w:rFonts w:ascii="Times New Roman" w:eastAsia="Times New Roman" w:hAnsi="Times New Roman" w:cs="Times New Roman"/>
          <w:kern w:val="0"/>
          <w:sz w:val="24"/>
          <w:szCs w:val="24"/>
          <w14:ligatures w14:val="none"/>
        </w:rPr>
        <w:t xml:space="preserve"> leaves were collected, air-dried, and pulverized before aqueous extraction. The extract was obtained by soaking 250 g of powdered leaves in 2.5 L of distilled water for 72 hours, followed by filtration, concentration, and drying. Acute toxicity tests classified the extract as practically non-toxic, with an LD₅₀ exceeding 5000 mg/kg. Thirty-five male Wistar rats (150–220 g) were randomized into five groups (n=5 per group). </w:t>
      </w:r>
      <w:r w:rsidRPr="00EA43CA">
        <w:rPr>
          <w:rFonts w:ascii="Times New Roman" w:eastAsia="Times New Roman" w:hAnsi="Times New Roman" w:cs="Times New Roman"/>
          <w:kern w:val="0"/>
          <w:sz w:val="24"/>
          <w:szCs w:val="24"/>
          <w:highlight w:val="yellow"/>
          <w14:ligatures w14:val="none"/>
        </w:rPr>
        <w:t xml:space="preserve">The </w:t>
      </w:r>
      <w:r w:rsidR="00E563C5" w:rsidRPr="00EA43CA">
        <w:rPr>
          <w:rFonts w:ascii="Times New Roman" w:hAnsi="Times New Roman" w:cs="Times New Roman"/>
          <w:bCs/>
          <w:sz w:val="24"/>
          <w:szCs w:val="24"/>
          <w:highlight w:val="yellow"/>
          <w:lang w:val="en-GB"/>
        </w:rPr>
        <w:t>"Negative Control"</w:t>
      </w:r>
      <w:r w:rsidR="00E563C5">
        <w:rPr>
          <w:rFonts w:ascii="Times New Roman" w:hAnsi="Times New Roman" w:cs="Times New Roman"/>
          <w:bCs/>
          <w:sz w:val="24"/>
          <w:szCs w:val="24"/>
          <w:lang w:val="en-GB"/>
        </w:rPr>
        <w:t xml:space="preserve"> </w:t>
      </w:r>
      <w:r w:rsidRPr="007F566C">
        <w:rPr>
          <w:rFonts w:ascii="Times New Roman" w:eastAsia="Times New Roman" w:hAnsi="Times New Roman" w:cs="Times New Roman"/>
          <w:kern w:val="0"/>
          <w:sz w:val="24"/>
          <w:szCs w:val="24"/>
          <w14:ligatures w14:val="none"/>
        </w:rPr>
        <w:t xml:space="preserve">group received standard feed and water, while the </w:t>
      </w:r>
      <w:r w:rsidR="00E563C5" w:rsidRPr="00EA43CA">
        <w:rPr>
          <w:rFonts w:ascii="Times New Roman" w:eastAsia="Times New Roman" w:hAnsi="Times New Roman" w:cs="Times New Roman"/>
          <w:kern w:val="0"/>
          <w:sz w:val="24"/>
          <w:szCs w:val="24"/>
          <w:highlight w:val="yellow"/>
          <w14:ligatures w14:val="none"/>
        </w:rPr>
        <w:t>“Model Group”</w:t>
      </w:r>
      <w:r w:rsidR="00EA43CA">
        <w:rPr>
          <w:rFonts w:ascii="Times New Roman" w:eastAsia="Times New Roman" w:hAnsi="Times New Roman" w:cs="Times New Roman"/>
          <w:kern w:val="0"/>
          <w:sz w:val="24"/>
          <w:szCs w:val="24"/>
          <w14:ligatures w14:val="none"/>
        </w:rPr>
        <w:t xml:space="preserve"> </w:t>
      </w:r>
      <w:r w:rsidRPr="007F566C">
        <w:rPr>
          <w:rFonts w:ascii="Times New Roman" w:eastAsia="Times New Roman" w:hAnsi="Times New Roman" w:cs="Times New Roman"/>
          <w:kern w:val="0"/>
          <w:sz w:val="24"/>
          <w:szCs w:val="24"/>
          <w14:ligatures w14:val="none"/>
        </w:rPr>
        <w:t>was administered paracetamol (150 mg/kg orall</w:t>
      </w:r>
      <w:r w:rsidR="00E563C5">
        <w:rPr>
          <w:rFonts w:ascii="Times New Roman" w:eastAsia="Times New Roman" w:hAnsi="Times New Roman" w:cs="Times New Roman"/>
          <w:kern w:val="0"/>
          <w:sz w:val="24"/>
          <w:szCs w:val="24"/>
          <w14:ligatures w14:val="none"/>
        </w:rPr>
        <w:t xml:space="preserve">y) to induce hepatotoxicity. </w:t>
      </w:r>
      <w:r w:rsidR="00E563C5" w:rsidRPr="00EA43CA">
        <w:rPr>
          <w:rFonts w:ascii="Times New Roman" w:eastAsia="Times New Roman" w:hAnsi="Times New Roman" w:cs="Times New Roman"/>
          <w:kern w:val="0"/>
          <w:sz w:val="24"/>
          <w:szCs w:val="24"/>
          <w:highlight w:val="yellow"/>
          <w14:ligatures w14:val="none"/>
        </w:rPr>
        <w:t>A “P</w:t>
      </w:r>
      <w:r w:rsidRPr="00EA43CA">
        <w:rPr>
          <w:rFonts w:ascii="Times New Roman" w:eastAsia="Times New Roman" w:hAnsi="Times New Roman" w:cs="Times New Roman"/>
          <w:kern w:val="0"/>
          <w:sz w:val="24"/>
          <w:szCs w:val="24"/>
          <w:highlight w:val="yellow"/>
          <w14:ligatures w14:val="none"/>
        </w:rPr>
        <w:t>ositive group</w:t>
      </w:r>
      <w:r w:rsidR="00E563C5" w:rsidRPr="00EA43CA">
        <w:rPr>
          <w:rFonts w:ascii="Times New Roman" w:eastAsia="Times New Roman" w:hAnsi="Times New Roman" w:cs="Times New Roman"/>
          <w:kern w:val="0"/>
          <w:sz w:val="24"/>
          <w:szCs w:val="24"/>
          <w:highlight w:val="yellow"/>
          <w14:ligatures w14:val="none"/>
        </w:rPr>
        <w:t>”</w:t>
      </w:r>
      <w:r w:rsidRPr="007F566C">
        <w:rPr>
          <w:rFonts w:ascii="Times New Roman" w:eastAsia="Times New Roman" w:hAnsi="Times New Roman" w:cs="Times New Roman"/>
          <w:kern w:val="0"/>
          <w:sz w:val="24"/>
          <w:szCs w:val="24"/>
          <w14:ligatures w14:val="none"/>
        </w:rPr>
        <w:t xml:space="preserve"> received paracetamol and silymarin (150 mg/kg / 50 mg/kg), while two treatment groups received paracetamol alongside </w:t>
      </w:r>
      <w:r w:rsidRPr="007F566C">
        <w:rPr>
          <w:rFonts w:ascii="Times New Roman" w:eastAsia="Times New Roman" w:hAnsi="Times New Roman" w:cs="Times New Roman"/>
          <w:i/>
          <w:iCs/>
          <w:kern w:val="0"/>
          <w:sz w:val="24"/>
          <w:szCs w:val="24"/>
          <w14:ligatures w14:val="none"/>
        </w:rPr>
        <w:t>E. hirta</w:t>
      </w:r>
      <w:r w:rsidRPr="007F566C">
        <w:rPr>
          <w:rFonts w:ascii="Times New Roman" w:eastAsia="Times New Roman" w:hAnsi="Times New Roman" w:cs="Times New Roman"/>
          <w:kern w:val="0"/>
          <w:sz w:val="24"/>
          <w:szCs w:val="24"/>
          <w14:ligatures w14:val="none"/>
        </w:rPr>
        <w:t xml:space="preserve"> extracts at doses of 125 mg/kg and 250 mg/kg, respectively. Treatments were administered orally for seven days.</w:t>
      </w:r>
    </w:p>
    <w:p w14:paraId="4A5577A1" w14:textId="77777777" w:rsidR="007F566C" w:rsidRPr="007F566C" w:rsidRDefault="007F566C" w:rsidP="007F566C">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7F566C">
        <w:rPr>
          <w:rFonts w:ascii="Times New Roman" w:eastAsia="Times New Roman" w:hAnsi="Times New Roman" w:cs="Times New Roman"/>
          <w:kern w:val="0"/>
          <w:sz w:val="24"/>
          <w:szCs w:val="24"/>
          <w14:ligatures w14:val="none"/>
        </w:rPr>
        <w:t xml:space="preserve">Liver function, oxidative stress, and inflammatory markers were assessed through biochemical and histological analyses. Serum alanine aminotransferase (ALT) and aspartate aminotransferase (AST) levels were measured, while histopathological examination and immunohistochemical analysis of Bax protein expression were conducted. Results showed a significant (p&lt;0.05) reduction in ALT and AST levels in treated groups compared to the paracetamol-only group. Histological findings indicated preserved liver architecture and reduced Bax protein expression, confirming </w:t>
      </w:r>
      <w:r w:rsidRPr="007F566C">
        <w:rPr>
          <w:rFonts w:ascii="Times New Roman" w:eastAsia="Times New Roman" w:hAnsi="Times New Roman" w:cs="Times New Roman"/>
          <w:i/>
          <w:iCs/>
          <w:kern w:val="0"/>
          <w:sz w:val="24"/>
          <w:szCs w:val="24"/>
          <w14:ligatures w14:val="none"/>
        </w:rPr>
        <w:t>E. hirta</w:t>
      </w:r>
      <w:r w:rsidRPr="007F566C">
        <w:rPr>
          <w:rFonts w:ascii="Times New Roman" w:eastAsia="Times New Roman" w:hAnsi="Times New Roman" w:cs="Times New Roman"/>
          <w:kern w:val="0"/>
          <w:sz w:val="24"/>
          <w:szCs w:val="24"/>
          <w14:ligatures w14:val="none"/>
        </w:rPr>
        <w:t>’s hepatoprotective potential.</w:t>
      </w:r>
    </w:p>
    <w:p w14:paraId="4BDB26EE" w14:textId="77777777" w:rsidR="007F566C" w:rsidRPr="007F566C" w:rsidRDefault="007F566C" w:rsidP="007F566C">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7F566C">
        <w:rPr>
          <w:rFonts w:ascii="Times New Roman" w:eastAsia="Times New Roman" w:hAnsi="Times New Roman" w:cs="Times New Roman"/>
          <w:kern w:val="0"/>
          <w:sz w:val="24"/>
          <w:szCs w:val="24"/>
          <w14:ligatures w14:val="none"/>
        </w:rPr>
        <w:t xml:space="preserve">This study suggests that </w:t>
      </w:r>
      <w:r w:rsidRPr="007F566C">
        <w:rPr>
          <w:rFonts w:ascii="Times New Roman" w:eastAsia="Times New Roman" w:hAnsi="Times New Roman" w:cs="Times New Roman"/>
          <w:i/>
          <w:iCs/>
          <w:kern w:val="0"/>
          <w:sz w:val="24"/>
          <w:szCs w:val="24"/>
          <w14:ligatures w14:val="none"/>
        </w:rPr>
        <w:t>E. hirta</w:t>
      </w:r>
      <w:r w:rsidRPr="007F566C">
        <w:rPr>
          <w:rFonts w:ascii="Times New Roman" w:eastAsia="Times New Roman" w:hAnsi="Times New Roman" w:cs="Times New Roman"/>
          <w:kern w:val="0"/>
          <w:sz w:val="24"/>
          <w:szCs w:val="24"/>
          <w14:ligatures w14:val="none"/>
        </w:rPr>
        <w:t xml:space="preserve"> could serve as a natural hepatoprotective alternative. Further research should focus on isolating active compounds and conducting clinical trials to validate its efficacy and safety for potential pharmaceutical applications.</w:t>
      </w:r>
    </w:p>
    <w:p w14:paraId="72A23037" w14:textId="29831DDB" w:rsidR="00D6286F" w:rsidRPr="00D6286F" w:rsidRDefault="00D6286F" w:rsidP="00D6286F">
      <w:pPr>
        <w:spacing w:after="0" w:line="240" w:lineRule="auto"/>
        <w:rPr>
          <w:rFonts w:ascii="Times New Roman" w:eastAsia="Times New Roman" w:hAnsi="Times New Roman" w:cs="Times New Roman"/>
          <w:kern w:val="0"/>
          <w:sz w:val="24"/>
          <w:szCs w:val="24"/>
          <w14:ligatures w14:val="none"/>
        </w:rPr>
      </w:pPr>
      <w:r w:rsidRPr="00D6286F">
        <w:rPr>
          <w:rFonts w:ascii="Times New Roman" w:eastAsia="Times New Roman" w:hAnsi="Times New Roman" w:cs="Times New Roman"/>
          <w:b/>
          <w:bCs/>
          <w:kern w:val="0"/>
          <w:sz w:val="24"/>
          <w:szCs w:val="24"/>
          <w14:ligatures w14:val="none"/>
        </w:rPr>
        <w:t>Keywords</w:t>
      </w:r>
      <w:r w:rsidRPr="00D6286F">
        <w:rPr>
          <w:rFonts w:ascii="Times New Roman" w:eastAsia="Times New Roman" w:hAnsi="Times New Roman" w:cs="Times New Roman"/>
          <w:kern w:val="0"/>
          <w:sz w:val="24"/>
          <w:szCs w:val="24"/>
          <w14:ligatures w14:val="none"/>
        </w:rPr>
        <w:t xml:space="preserve">: Hepatoprotection, Paracetamol-induced hepatotoxicity, </w:t>
      </w:r>
      <w:r w:rsidRPr="00D6286F">
        <w:rPr>
          <w:rFonts w:ascii="Times New Roman" w:eastAsia="Times New Roman" w:hAnsi="Times New Roman" w:cs="Times New Roman"/>
          <w:i/>
          <w:iCs/>
          <w:kern w:val="0"/>
          <w:sz w:val="24"/>
          <w:szCs w:val="24"/>
          <w14:ligatures w14:val="none"/>
        </w:rPr>
        <w:t>Euphorbia hirta</w:t>
      </w:r>
      <w:r w:rsidRPr="00D6286F">
        <w:rPr>
          <w:rFonts w:ascii="Times New Roman" w:eastAsia="Times New Roman" w:hAnsi="Times New Roman" w:cs="Times New Roman"/>
          <w:kern w:val="0"/>
          <w:sz w:val="24"/>
          <w:szCs w:val="24"/>
          <w14:ligatures w14:val="none"/>
        </w:rPr>
        <w:t>, Liver function biomarkers, Histopathology, and Immunohistochemistry.</w:t>
      </w:r>
    </w:p>
    <w:p w14:paraId="31716602" w14:textId="08E2CD31" w:rsidR="007F566C" w:rsidRPr="007F566C" w:rsidRDefault="007F566C" w:rsidP="007F566C">
      <w:pPr>
        <w:spacing w:after="0" w:line="240" w:lineRule="auto"/>
        <w:rPr>
          <w:rFonts w:ascii="Times New Roman" w:eastAsia="Times New Roman" w:hAnsi="Times New Roman" w:cs="Times New Roman"/>
          <w:kern w:val="0"/>
          <w:sz w:val="24"/>
          <w:szCs w:val="24"/>
          <w14:ligatures w14:val="none"/>
        </w:rPr>
      </w:pPr>
    </w:p>
    <w:p w14:paraId="5C85DE8F" w14:textId="77777777" w:rsidR="0009278F" w:rsidRPr="0009278F" w:rsidRDefault="0009278F" w:rsidP="0009278F">
      <w:pPr>
        <w:spacing w:before="100" w:beforeAutospacing="1" w:after="100" w:afterAutospacing="1" w:line="360" w:lineRule="auto"/>
        <w:outlineLvl w:val="2"/>
        <w:rPr>
          <w:rFonts w:ascii="Times New Roman" w:eastAsia="Times New Roman" w:hAnsi="Times New Roman" w:cs="Times New Roman"/>
          <w:b/>
          <w:bCs/>
          <w:kern w:val="0"/>
          <w:sz w:val="27"/>
          <w:szCs w:val="27"/>
          <w14:ligatures w14:val="none"/>
        </w:rPr>
      </w:pPr>
      <w:r w:rsidRPr="0009278F">
        <w:rPr>
          <w:rFonts w:ascii="Times New Roman" w:eastAsia="Times New Roman" w:hAnsi="Times New Roman" w:cs="Times New Roman"/>
          <w:b/>
          <w:bCs/>
          <w:kern w:val="0"/>
          <w:sz w:val="27"/>
          <w:szCs w:val="27"/>
          <w14:ligatures w14:val="none"/>
        </w:rPr>
        <w:t>INTRODUCTION</w:t>
      </w:r>
    </w:p>
    <w:p w14:paraId="16B808EA" w14:textId="48117D15" w:rsidR="0009278F" w:rsidRPr="0009278F" w:rsidRDefault="0009278F" w:rsidP="00D6286F">
      <w:pPr>
        <w:spacing w:before="100" w:beforeAutospacing="1" w:after="100" w:afterAutospacing="1" w:line="480" w:lineRule="auto"/>
        <w:jc w:val="both"/>
        <w:rPr>
          <w:rFonts w:ascii="Times New Roman" w:eastAsia="Times New Roman" w:hAnsi="Times New Roman" w:cs="Times New Roman"/>
          <w:kern w:val="0"/>
          <w:sz w:val="24"/>
          <w:szCs w:val="24"/>
          <w14:ligatures w14:val="none"/>
        </w:rPr>
      </w:pPr>
      <w:r w:rsidRPr="0009278F">
        <w:rPr>
          <w:rFonts w:ascii="Times New Roman" w:eastAsia="Times New Roman" w:hAnsi="Times New Roman" w:cs="Times New Roman"/>
          <w:kern w:val="0"/>
          <w:sz w:val="24"/>
          <w:szCs w:val="24"/>
          <w14:ligatures w14:val="none"/>
        </w:rPr>
        <w:t>Traditional medicine utilizes a vast array of medicinal plants to treat and prevent various illnesses</w:t>
      </w:r>
      <w:r w:rsidR="002C3A5B">
        <w:rPr>
          <w:rFonts w:ascii="Times New Roman" w:eastAsia="Times New Roman" w:hAnsi="Times New Roman" w:cs="Times New Roman"/>
          <w:kern w:val="0"/>
          <w:sz w:val="24"/>
          <w:szCs w:val="24"/>
          <w14:ligatures w14:val="none"/>
        </w:rPr>
        <w:t xml:space="preserve"> (</w:t>
      </w:r>
      <w:r w:rsidR="002C3A5B" w:rsidRPr="002C3A5B">
        <w:rPr>
          <w:rFonts w:ascii="Times New Roman" w:eastAsia="Times New Roman" w:hAnsi="Times New Roman" w:cs="Times New Roman"/>
          <w:kern w:val="0"/>
          <w:sz w:val="24"/>
          <w:szCs w:val="24"/>
          <w:highlight w:val="yellow"/>
          <w14:ligatures w14:val="none"/>
        </w:rPr>
        <w:t xml:space="preserve">Haseen </w:t>
      </w:r>
      <w:r w:rsidR="002C3A5B" w:rsidRPr="002C3A5B">
        <w:rPr>
          <w:rFonts w:ascii="Times New Roman" w:eastAsia="Times New Roman" w:hAnsi="Times New Roman" w:cs="Times New Roman"/>
          <w:i/>
          <w:kern w:val="0"/>
          <w:sz w:val="24"/>
          <w:szCs w:val="24"/>
          <w:highlight w:val="yellow"/>
          <w14:ligatures w14:val="none"/>
        </w:rPr>
        <w:t>et al.,</w:t>
      </w:r>
      <w:r w:rsidR="002C3A5B" w:rsidRPr="002C3A5B">
        <w:rPr>
          <w:rFonts w:ascii="Times New Roman" w:eastAsia="Times New Roman" w:hAnsi="Times New Roman" w:cs="Times New Roman"/>
          <w:kern w:val="0"/>
          <w:sz w:val="24"/>
          <w:szCs w:val="24"/>
          <w:highlight w:val="yellow"/>
          <w14:ligatures w14:val="none"/>
        </w:rPr>
        <w:t xml:space="preserve"> 2024</w:t>
      </w:r>
      <w:r w:rsidR="002C3A5B">
        <w:rPr>
          <w:rFonts w:ascii="Times New Roman" w:eastAsia="Times New Roman" w:hAnsi="Times New Roman" w:cs="Times New Roman"/>
          <w:kern w:val="0"/>
          <w:sz w:val="24"/>
          <w:szCs w:val="24"/>
          <w14:ligatures w14:val="none"/>
        </w:rPr>
        <w:t>)</w:t>
      </w:r>
      <w:r w:rsidRPr="0009278F">
        <w:rPr>
          <w:rFonts w:ascii="Times New Roman" w:eastAsia="Times New Roman" w:hAnsi="Times New Roman" w:cs="Times New Roman"/>
          <w:kern w:val="0"/>
          <w:sz w:val="24"/>
          <w:szCs w:val="24"/>
          <w14:ligatures w14:val="none"/>
        </w:rPr>
        <w:t>. Medicinal plants have long been recognized for their therapeutic potential, with different plant parts—including roots, leaves, fruits, seeds, bark, and flowers—being used as sources of bioactive compounds with physiological effects in living organisms</w:t>
      </w:r>
      <w:r w:rsidR="00317F09">
        <w:rPr>
          <w:rFonts w:ascii="Times New Roman" w:eastAsia="Times New Roman" w:hAnsi="Times New Roman" w:cs="Times New Roman"/>
          <w:kern w:val="0"/>
          <w:sz w:val="24"/>
          <w:szCs w:val="24"/>
          <w14:ligatures w14:val="none"/>
        </w:rPr>
        <w:t xml:space="preserve"> </w:t>
      </w:r>
      <w:r w:rsidR="00317F09" w:rsidRPr="007E042B">
        <w:rPr>
          <w:rFonts w:ascii="Times New Roman" w:eastAsia="Times New Roman" w:hAnsi="Times New Roman" w:cs="Times New Roman"/>
          <w:kern w:val="0"/>
          <w:sz w:val="24"/>
          <w:szCs w:val="24"/>
          <w:highlight w:val="yellow"/>
          <w14:ligatures w14:val="none"/>
        </w:rPr>
        <w:t>(</w:t>
      </w:r>
      <w:r w:rsidR="00317F09" w:rsidRPr="007E042B">
        <w:rPr>
          <w:rFonts w:ascii="Times New Roman" w:hAnsi="Times New Roman" w:cs="Times New Roman"/>
          <w:sz w:val="24"/>
          <w:szCs w:val="24"/>
          <w:highlight w:val="yellow"/>
          <w:lang w:val="en-GB"/>
        </w:rPr>
        <w:t xml:space="preserve">Anyanwu </w:t>
      </w:r>
      <w:r w:rsidR="00317F09" w:rsidRPr="007E042B">
        <w:rPr>
          <w:rFonts w:ascii="Times New Roman" w:hAnsi="Times New Roman" w:cs="Times New Roman"/>
          <w:i/>
          <w:sz w:val="24"/>
          <w:szCs w:val="24"/>
          <w:highlight w:val="yellow"/>
          <w:lang w:val="en-GB"/>
        </w:rPr>
        <w:t>et al.,</w:t>
      </w:r>
      <w:r w:rsidR="00317F09" w:rsidRPr="007E042B">
        <w:rPr>
          <w:rFonts w:ascii="Times New Roman" w:hAnsi="Times New Roman" w:cs="Times New Roman"/>
          <w:sz w:val="24"/>
          <w:szCs w:val="24"/>
          <w:highlight w:val="yellow"/>
          <w:lang w:val="en-GB"/>
        </w:rPr>
        <w:t xml:space="preserve"> 2023)</w:t>
      </w:r>
      <w:r w:rsidRPr="007E042B">
        <w:rPr>
          <w:rFonts w:ascii="Times New Roman" w:eastAsia="Times New Roman" w:hAnsi="Times New Roman" w:cs="Times New Roman"/>
          <w:kern w:val="0"/>
          <w:sz w:val="24"/>
          <w:szCs w:val="24"/>
          <w:highlight w:val="yellow"/>
          <w14:ligatures w14:val="none"/>
        </w:rPr>
        <w:t>.</w:t>
      </w:r>
      <w:r w:rsidRPr="0009278F">
        <w:rPr>
          <w:rFonts w:ascii="Times New Roman" w:eastAsia="Times New Roman" w:hAnsi="Times New Roman" w:cs="Times New Roman"/>
          <w:kern w:val="0"/>
          <w:sz w:val="24"/>
          <w:szCs w:val="24"/>
          <w14:ligatures w14:val="none"/>
        </w:rPr>
        <w:t xml:space="preserve"> Many of these bioactive compounds exhibit direct or indirect therapeutic properties, making them valuable in drug development (Wadood et al., 2013). Plant-derived compounds have shown promise in reducing mortality rates associated with chronic diseases, including liver disorders, due to their ability to mitigate disease progression (Rasool et al., 2012).</w:t>
      </w:r>
    </w:p>
    <w:p w14:paraId="2D3AC13D" w14:textId="77777777" w:rsidR="0009278F" w:rsidRPr="0009278F" w:rsidRDefault="0009278F" w:rsidP="00D6286F">
      <w:pPr>
        <w:spacing w:before="100" w:beforeAutospacing="1" w:after="100" w:afterAutospacing="1" w:line="480" w:lineRule="auto"/>
        <w:jc w:val="both"/>
        <w:rPr>
          <w:rFonts w:ascii="Times New Roman" w:eastAsia="Times New Roman" w:hAnsi="Times New Roman" w:cs="Times New Roman"/>
          <w:kern w:val="0"/>
          <w:sz w:val="24"/>
          <w:szCs w:val="24"/>
          <w14:ligatures w14:val="none"/>
        </w:rPr>
      </w:pPr>
      <w:r w:rsidRPr="0009278F">
        <w:rPr>
          <w:rFonts w:ascii="Times New Roman" w:eastAsia="Times New Roman" w:hAnsi="Times New Roman" w:cs="Times New Roman"/>
          <w:kern w:val="0"/>
          <w:sz w:val="24"/>
          <w:szCs w:val="24"/>
          <w14:ligatures w14:val="none"/>
        </w:rPr>
        <w:t>Liver disease is a global health concern affecting individuals across different demographics. It is characterized by fibrosis, cytological alterations, and the formation of degenerative nodules, often leading to cirrhosis with severe clinical implications (Saab et al., 2016). According to the most recent WHO data released in 2018, Nigeria ranks second globally in liver disease-related mortality, with 60,044 deaths, accounting for 3.1% of total deaths, and an age-adjusted mortality rate of 64.44 per 100,000 people.</w:t>
      </w:r>
    </w:p>
    <w:p w14:paraId="42141EE5" w14:textId="36F23E1D" w:rsidR="0009278F" w:rsidRPr="0009278F" w:rsidRDefault="0009278F" w:rsidP="00D6286F">
      <w:pPr>
        <w:spacing w:before="100" w:beforeAutospacing="1" w:after="100" w:afterAutospacing="1" w:line="480" w:lineRule="auto"/>
        <w:jc w:val="both"/>
        <w:rPr>
          <w:rFonts w:ascii="Times New Roman" w:eastAsia="Times New Roman" w:hAnsi="Times New Roman" w:cs="Times New Roman"/>
          <w:kern w:val="0"/>
          <w:sz w:val="24"/>
          <w:szCs w:val="24"/>
          <w14:ligatures w14:val="none"/>
        </w:rPr>
      </w:pPr>
      <w:r w:rsidRPr="0009278F">
        <w:rPr>
          <w:rFonts w:ascii="Times New Roman" w:eastAsia="Times New Roman" w:hAnsi="Times New Roman" w:cs="Times New Roman"/>
          <w:kern w:val="0"/>
          <w:sz w:val="24"/>
          <w:szCs w:val="24"/>
          <w14:ligatures w14:val="none"/>
        </w:rPr>
        <w:t xml:space="preserve">Paracetamol, widely used as an analgesic and antipyretic, is well documented for its potential hepatotoxic effects when consumed beyond therapeutic limits </w:t>
      </w:r>
      <w:r w:rsidR="002C3A5B">
        <w:rPr>
          <w:rFonts w:ascii="Times New Roman" w:eastAsia="Times New Roman" w:hAnsi="Times New Roman" w:cs="Times New Roman"/>
          <w:kern w:val="0"/>
          <w:sz w:val="24"/>
          <w:szCs w:val="24"/>
          <w14:ligatures w14:val="none"/>
        </w:rPr>
        <w:t>(</w:t>
      </w:r>
      <w:r w:rsidR="002C3A5B" w:rsidRPr="002C3A5B">
        <w:rPr>
          <w:rStyle w:val="x193iq5w"/>
          <w:rFonts w:ascii="Times New Roman" w:hAnsi="Times New Roman" w:cs="Times New Roman"/>
          <w:sz w:val="24"/>
          <w:szCs w:val="24"/>
          <w:highlight w:val="yellow"/>
        </w:rPr>
        <w:t>Doria</w:t>
      </w:r>
      <w:r w:rsidR="002C3A5B" w:rsidRPr="002C3A5B">
        <w:rPr>
          <w:rFonts w:ascii="Times New Roman" w:eastAsia="Times New Roman" w:hAnsi="Times New Roman" w:cs="Times New Roman"/>
          <w:kern w:val="0"/>
          <w:sz w:val="24"/>
          <w:szCs w:val="24"/>
          <w:highlight w:val="yellow"/>
          <w14:ligatures w14:val="none"/>
        </w:rPr>
        <w:t xml:space="preserve"> et al., 2021</w:t>
      </w:r>
      <w:r w:rsidR="002C3A5B">
        <w:rPr>
          <w:rFonts w:ascii="Times New Roman" w:eastAsia="Times New Roman" w:hAnsi="Times New Roman" w:cs="Times New Roman"/>
          <w:kern w:val="0"/>
          <w:sz w:val="24"/>
          <w:szCs w:val="24"/>
          <w14:ligatures w14:val="none"/>
        </w:rPr>
        <w:t xml:space="preserve">). </w:t>
      </w:r>
      <w:r w:rsidRPr="0009278F">
        <w:rPr>
          <w:rFonts w:ascii="Times New Roman" w:eastAsia="Times New Roman" w:hAnsi="Times New Roman" w:cs="Times New Roman"/>
          <w:kern w:val="0"/>
          <w:sz w:val="24"/>
          <w:szCs w:val="24"/>
          <w14:ligatures w14:val="none"/>
        </w:rPr>
        <w:t>The increasing use of combination formulations that incorporate paracetamol with antihistamines and other pain relievers complicates its identification and contributes to its significant role in acute hepatotoxicit</w:t>
      </w:r>
      <w:r w:rsidR="002C3A5B">
        <w:rPr>
          <w:rFonts w:ascii="Times New Roman" w:eastAsia="Times New Roman" w:hAnsi="Times New Roman" w:cs="Times New Roman"/>
          <w:kern w:val="0"/>
          <w:sz w:val="24"/>
          <w:szCs w:val="24"/>
          <w14:ligatures w14:val="none"/>
        </w:rPr>
        <w:t xml:space="preserve">y worldwide (Laura et al., 2020; </w:t>
      </w:r>
      <w:r w:rsidR="002C3A5B" w:rsidRPr="002C3A5B">
        <w:rPr>
          <w:rStyle w:val="x193iq5w"/>
          <w:rFonts w:ascii="Times New Roman" w:hAnsi="Times New Roman" w:cs="Times New Roman"/>
          <w:sz w:val="24"/>
          <w:szCs w:val="24"/>
          <w:highlight w:val="yellow"/>
        </w:rPr>
        <w:t xml:space="preserve">Nicolescu </w:t>
      </w:r>
      <w:r w:rsidR="002C3A5B" w:rsidRPr="002C3A5B">
        <w:rPr>
          <w:rStyle w:val="x193iq5w"/>
          <w:rFonts w:ascii="Times New Roman" w:hAnsi="Times New Roman" w:cs="Times New Roman"/>
          <w:i/>
          <w:sz w:val="24"/>
          <w:szCs w:val="24"/>
          <w:highlight w:val="yellow"/>
        </w:rPr>
        <w:t>et al.,</w:t>
      </w:r>
      <w:r w:rsidR="002C3A5B" w:rsidRPr="002C3A5B">
        <w:rPr>
          <w:rStyle w:val="x193iq5w"/>
          <w:rFonts w:ascii="Times New Roman" w:hAnsi="Times New Roman" w:cs="Times New Roman"/>
          <w:sz w:val="24"/>
          <w:szCs w:val="24"/>
          <w:highlight w:val="yellow"/>
        </w:rPr>
        <w:t xml:space="preserve"> 2012</w:t>
      </w:r>
      <w:r w:rsidR="002C3A5B">
        <w:rPr>
          <w:rStyle w:val="x193iq5w"/>
          <w:rFonts w:ascii="Times New Roman" w:hAnsi="Times New Roman" w:cs="Times New Roman"/>
          <w:sz w:val="24"/>
          <w:szCs w:val="24"/>
        </w:rPr>
        <w:t>)</w:t>
      </w:r>
      <w:r w:rsidRPr="0009278F">
        <w:rPr>
          <w:rFonts w:ascii="Times New Roman" w:eastAsia="Times New Roman" w:hAnsi="Times New Roman" w:cs="Times New Roman"/>
          <w:kern w:val="0"/>
          <w:sz w:val="24"/>
          <w:szCs w:val="24"/>
          <w14:ligatures w14:val="none"/>
        </w:rPr>
        <w:t>.</w:t>
      </w:r>
    </w:p>
    <w:p w14:paraId="18F219F3" w14:textId="1784AD8D" w:rsidR="0009278F" w:rsidRPr="0009278F" w:rsidRDefault="0009278F" w:rsidP="00D6286F">
      <w:pPr>
        <w:spacing w:before="100" w:beforeAutospacing="1" w:after="100" w:afterAutospacing="1" w:line="480" w:lineRule="auto"/>
        <w:jc w:val="both"/>
        <w:rPr>
          <w:rFonts w:ascii="Times New Roman" w:eastAsia="Times New Roman" w:hAnsi="Times New Roman" w:cs="Times New Roman"/>
          <w:kern w:val="0"/>
          <w:sz w:val="24"/>
          <w:szCs w:val="24"/>
          <w14:ligatures w14:val="none"/>
        </w:rPr>
      </w:pPr>
      <w:r w:rsidRPr="0009278F">
        <w:rPr>
          <w:rFonts w:ascii="Times New Roman" w:eastAsia="Times New Roman" w:hAnsi="Times New Roman" w:cs="Times New Roman"/>
          <w:i/>
          <w:iCs/>
          <w:kern w:val="0"/>
          <w:sz w:val="24"/>
          <w:szCs w:val="24"/>
          <w14:ligatures w14:val="none"/>
        </w:rPr>
        <w:t>Euphorbia hirta</w:t>
      </w:r>
      <w:r w:rsidRPr="0009278F">
        <w:rPr>
          <w:rFonts w:ascii="Times New Roman" w:eastAsia="Times New Roman" w:hAnsi="Times New Roman" w:cs="Times New Roman"/>
          <w:kern w:val="0"/>
          <w:sz w:val="24"/>
          <w:szCs w:val="24"/>
          <w14:ligatures w14:val="none"/>
        </w:rPr>
        <w:t>, commonly known as "asthma weed" or "gatas-gatas," has a long history in traditional medicine (Kumar et al., 2017). It contains diverse bioactive compounds</w:t>
      </w:r>
      <w:r w:rsidR="009D2918">
        <w:rPr>
          <w:rFonts w:ascii="Times New Roman" w:eastAsia="Times New Roman" w:hAnsi="Times New Roman" w:cs="Times New Roman"/>
          <w:kern w:val="0"/>
          <w:sz w:val="24"/>
          <w:szCs w:val="24"/>
          <w14:ligatures w14:val="none"/>
        </w:rPr>
        <w:t xml:space="preserve"> (Sharma </w:t>
      </w:r>
      <w:r w:rsidR="009D2918" w:rsidRPr="009D2918">
        <w:rPr>
          <w:rFonts w:ascii="Times New Roman" w:eastAsia="Times New Roman" w:hAnsi="Times New Roman" w:cs="Times New Roman"/>
          <w:i/>
          <w:kern w:val="0"/>
          <w:sz w:val="24"/>
          <w:szCs w:val="24"/>
          <w14:ligatures w14:val="none"/>
        </w:rPr>
        <w:t>et al.,</w:t>
      </w:r>
      <w:r w:rsidR="009D2918">
        <w:rPr>
          <w:rFonts w:ascii="Times New Roman" w:eastAsia="Times New Roman" w:hAnsi="Times New Roman" w:cs="Times New Roman"/>
          <w:kern w:val="0"/>
          <w:sz w:val="24"/>
          <w:szCs w:val="24"/>
          <w14:ligatures w14:val="none"/>
        </w:rPr>
        <w:t xml:space="preserve"> 2022)</w:t>
      </w:r>
      <w:r w:rsidRPr="0009278F">
        <w:rPr>
          <w:rFonts w:ascii="Times New Roman" w:eastAsia="Times New Roman" w:hAnsi="Times New Roman" w:cs="Times New Roman"/>
          <w:kern w:val="0"/>
          <w:sz w:val="24"/>
          <w:szCs w:val="24"/>
          <w14:ligatures w14:val="none"/>
        </w:rPr>
        <w:t>, including flavonoids and alkaloids, which have</w:t>
      </w:r>
      <w:r w:rsidR="009D2918">
        <w:rPr>
          <w:rFonts w:ascii="Times New Roman" w:eastAsia="Times New Roman" w:hAnsi="Times New Roman" w:cs="Times New Roman"/>
          <w:kern w:val="0"/>
          <w:sz w:val="24"/>
          <w:szCs w:val="24"/>
          <w14:ligatures w14:val="none"/>
        </w:rPr>
        <w:t xml:space="preserve"> demonstrated anti-inflammatory</w:t>
      </w:r>
      <w:r w:rsidR="002C3A5B">
        <w:rPr>
          <w:rFonts w:ascii="Times New Roman" w:eastAsia="Times New Roman" w:hAnsi="Times New Roman" w:cs="Times New Roman"/>
          <w:kern w:val="0"/>
          <w:sz w:val="24"/>
          <w:szCs w:val="24"/>
          <w14:ligatures w14:val="none"/>
        </w:rPr>
        <w:t>, anti-fungal properties (</w:t>
      </w:r>
      <w:r w:rsidR="002C3A5B" w:rsidRPr="002C3A5B">
        <w:rPr>
          <w:rFonts w:ascii="Times New Roman" w:eastAsia="Times New Roman" w:hAnsi="Times New Roman" w:cs="Times New Roman"/>
          <w:kern w:val="0"/>
          <w:sz w:val="24"/>
          <w:szCs w:val="24"/>
          <w:highlight w:val="yellow"/>
          <w14:ligatures w14:val="none"/>
        </w:rPr>
        <w:t xml:space="preserve">Tayo </w:t>
      </w:r>
      <w:r w:rsidR="002C3A5B" w:rsidRPr="002C3A5B">
        <w:rPr>
          <w:rFonts w:ascii="Times New Roman" w:eastAsia="Times New Roman" w:hAnsi="Times New Roman" w:cs="Times New Roman"/>
          <w:i/>
          <w:kern w:val="0"/>
          <w:sz w:val="24"/>
          <w:szCs w:val="24"/>
          <w:highlight w:val="yellow"/>
          <w14:ligatures w14:val="none"/>
        </w:rPr>
        <w:t>et al.,</w:t>
      </w:r>
      <w:r w:rsidR="002C3A5B" w:rsidRPr="002C3A5B">
        <w:rPr>
          <w:rFonts w:ascii="Times New Roman" w:eastAsia="Times New Roman" w:hAnsi="Times New Roman" w:cs="Times New Roman"/>
          <w:kern w:val="0"/>
          <w:sz w:val="24"/>
          <w:szCs w:val="24"/>
          <w:highlight w:val="yellow"/>
          <w14:ligatures w14:val="none"/>
        </w:rPr>
        <w:t xml:space="preserve"> 2024</w:t>
      </w:r>
      <w:r w:rsidR="002C3A5B">
        <w:rPr>
          <w:rFonts w:ascii="Times New Roman" w:eastAsia="Times New Roman" w:hAnsi="Times New Roman" w:cs="Times New Roman"/>
          <w:kern w:val="0"/>
          <w:sz w:val="24"/>
          <w:szCs w:val="24"/>
          <w14:ligatures w14:val="none"/>
        </w:rPr>
        <w:t>)</w:t>
      </w:r>
      <w:r w:rsidR="009D2918">
        <w:rPr>
          <w:rFonts w:ascii="Times New Roman" w:eastAsia="Times New Roman" w:hAnsi="Times New Roman" w:cs="Times New Roman"/>
          <w:kern w:val="0"/>
          <w:sz w:val="24"/>
          <w:szCs w:val="24"/>
          <w14:ligatures w14:val="none"/>
        </w:rPr>
        <w:t>, antimicrobial properties (</w:t>
      </w:r>
      <w:r w:rsidR="009D2918" w:rsidRPr="002C3A5B">
        <w:rPr>
          <w:rStyle w:val="x193iq5w"/>
          <w:rFonts w:ascii="Times New Roman" w:hAnsi="Times New Roman" w:cs="Times New Roman"/>
          <w:sz w:val="24"/>
          <w:szCs w:val="24"/>
        </w:rPr>
        <w:t>Anwar, S., &amp; Ahmad, I. (2024</w:t>
      </w:r>
      <w:r w:rsidR="009D2918">
        <w:rPr>
          <w:rStyle w:val="x193iq5w"/>
          <w:rFonts w:ascii="Times New Roman" w:hAnsi="Times New Roman" w:cs="Times New Roman"/>
          <w:sz w:val="24"/>
          <w:szCs w:val="24"/>
        </w:rPr>
        <w:t>)</w:t>
      </w:r>
      <w:r w:rsidR="002C3A5B">
        <w:rPr>
          <w:rFonts w:ascii="Times New Roman" w:eastAsia="Times New Roman" w:hAnsi="Times New Roman" w:cs="Times New Roman"/>
          <w:kern w:val="0"/>
          <w:sz w:val="24"/>
          <w:szCs w:val="24"/>
          <w14:ligatures w14:val="none"/>
        </w:rPr>
        <w:t xml:space="preserve"> </w:t>
      </w:r>
      <w:r w:rsidRPr="0009278F">
        <w:rPr>
          <w:rFonts w:ascii="Times New Roman" w:eastAsia="Times New Roman" w:hAnsi="Times New Roman" w:cs="Times New Roman"/>
          <w:kern w:val="0"/>
          <w:sz w:val="24"/>
          <w:szCs w:val="24"/>
          <w14:ligatures w14:val="none"/>
        </w:rPr>
        <w:t xml:space="preserve">and antioxidant properties, suggesting a potential hepatoprotective role in mitigating oxidative stress and liver injury (Verma, 2017). This study investigates the hepatoprotective potential of </w:t>
      </w:r>
      <w:r w:rsidRPr="0009278F">
        <w:rPr>
          <w:rFonts w:ascii="Times New Roman" w:eastAsia="Times New Roman" w:hAnsi="Times New Roman" w:cs="Times New Roman"/>
          <w:i/>
          <w:iCs/>
          <w:kern w:val="0"/>
          <w:sz w:val="24"/>
          <w:szCs w:val="24"/>
          <w14:ligatures w14:val="none"/>
        </w:rPr>
        <w:t>E. hirta</w:t>
      </w:r>
      <w:r w:rsidRPr="0009278F">
        <w:rPr>
          <w:rFonts w:ascii="Times New Roman" w:eastAsia="Times New Roman" w:hAnsi="Times New Roman" w:cs="Times New Roman"/>
          <w:kern w:val="0"/>
          <w:sz w:val="24"/>
          <w:szCs w:val="24"/>
          <w14:ligatures w14:val="none"/>
        </w:rPr>
        <w:t xml:space="preserve"> against paracetamol-induced liver toxicity.</w:t>
      </w:r>
    </w:p>
    <w:p w14:paraId="1ADA4231" w14:textId="0A9E649E" w:rsidR="0009278F" w:rsidRPr="0009278F" w:rsidRDefault="0009278F" w:rsidP="0009278F">
      <w:pPr>
        <w:spacing w:after="0" w:line="360" w:lineRule="auto"/>
        <w:rPr>
          <w:rFonts w:ascii="Times New Roman" w:eastAsia="Times New Roman" w:hAnsi="Times New Roman" w:cs="Times New Roman"/>
          <w:kern w:val="0"/>
          <w:sz w:val="24"/>
          <w:szCs w:val="24"/>
          <w14:ligatures w14:val="none"/>
        </w:rPr>
      </w:pPr>
    </w:p>
    <w:p w14:paraId="422A0D25" w14:textId="77777777" w:rsidR="0009278F" w:rsidRPr="0009278F" w:rsidRDefault="0009278F" w:rsidP="0009278F">
      <w:pPr>
        <w:spacing w:before="100" w:beforeAutospacing="1" w:after="100" w:afterAutospacing="1" w:line="360" w:lineRule="auto"/>
        <w:outlineLvl w:val="2"/>
        <w:rPr>
          <w:rFonts w:ascii="Times New Roman" w:eastAsia="Times New Roman" w:hAnsi="Times New Roman" w:cs="Times New Roman"/>
          <w:b/>
          <w:bCs/>
          <w:kern w:val="0"/>
          <w:sz w:val="27"/>
          <w:szCs w:val="27"/>
          <w14:ligatures w14:val="none"/>
        </w:rPr>
      </w:pPr>
      <w:r w:rsidRPr="0009278F">
        <w:rPr>
          <w:rFonts w:ascii="Times New Roman" w:eastAsia="Times New Roman" w:hAnsi="Times New Roman" w:cs="Times New Roman"/>
          <w:b/>
          <w:bCs/>
          <w:kern w:val="0"/>
          <w:sz w:val="27"/>
          <w:szCs w:val="27"/>
          <w14:ligatures w14:val="none"/>
        </w:rPr>
        <w:t>RESULTS</w:t>
      </w:r>
    </w:p>
    <w:p w14:paraId="624718E2" w14:textId="77777777" w:rsidR="0009278F" w:rsidRPr="0009278F" w:rsidRDefault="0009278F" w:rsidP="0009278F">
      <w:pPr>
        <w:spacing w:before="100" w:beforeAutospacing="1" w:after="100" w:afterAutospacing="1" w:line="360" w:lineRule="auto"/>
        <w:outlineLvl w:val="3"/>
        <w:rPr>
          <w:rFonts w:ascii="Times New Roman" w:eastAsia="Times New Roman" w:hAnsi="Times New Roman" w:cs="Times New Roman"/>
          <w:b/>
          <w:bCs/>
          <w:kern w:val="0"/>
          <w:sz w:val="24"/>
          <w:szCs w:val="24"/>
          <w14:ligatures w14:val="none"/>
        </w:rPr>
      </w:pPr>
      <w:r w:rsidRPr="0009278F">
        <w:rPr>
          <w:rFonts w:ascii="Times New Roman" w:eastAsia="Times New Roman" w:hAnsi="Times New Roman" w:cs="Times New Roman"/>
          <w:b/>
          <w:bCs/>
          <w:kern w:val="0"/>
          <w:sz w:val="24"/>
          <w:szCs w:val="24"/>
          <w14:ligatures w14:val="none"/>
        </w:rPr>
        <w:t>Plant Sample</w:t>
      </w:r>
    </w:p>
    <w:p w14:paraId="5C928B23" w14:textId="77777777" w:rsidR="0009278F" w:rsidRPr="0009278F" w:rsidRDefault="0009278F" w:rsidP="00D6286F">
      <w:pPr>
        <w:spacing w:before="100" w:beforeAutospacing="1" w:after="100" w:afterAutospacing="1" w:line="480" w:lineRule="auto"/>
        <w:rPr>
          <w:rFonts w:ascii="Times New Roman" w:eastAsia="Times New Roman" w:hAnsi="Times New Roman" w:cs="Times New Roman"/>
          <w:kern w:val="0"/>
          <w:sz w:val="24"/>
          <w:szCs w:val="24"/>
          <w14:ligatures w14:val="none"/>
        </w:rPr>
      </w:pPr>
      <w:r w:rsidRPr="0009278F">
        <w:rPr>
          <w:rFonts w:ascii="Times New Roman" w:eastAsia="Times New Roman" w:hAnsi="Times New Roman" w:cs="Times New Roman"/>
          <w:kern w:val="0"/>
          <w:sz w:val="24"/>
          <w:szCs w:val="24"/>
          <w14:ligatures w14:val="none"/>
        </w:rPr>
        <w:t xml:space="preserve">Fresh </w:t>
      </w:r>
      <w:r w:rsidRPr="0009278F">
        <w:rPr>
          <w:rFonts w:ascii="Times New Roman" w:eastAsia="Times New Roman" w:hAnsi="Times New Roman" w:cs="Times New Roman"/>
          <w:i/>
          <w:iCs/>
          <w:kern w:val="0"/>
          <w:sz w:val="24"/>
          <w:szCs w:val="24"/>
          <w14:ligatures w14:val="none"/>
        </w:rPr>
        <w:t>E. hirta</w:t>
      </w:r>
      <w:r w:rsidRPr="0009278F">
        <w:rPr>
          <w:rFonts w:ascii="Times New Roman" w:eastAsia="Times New Roman" w:hAnsi="Times New Roman" w:cs="Times New Roman"/>
          <w:kern w:val="0"/>
          <w:sz w:val="24"/>
          <w:szCs w:val="24"/>
          <w14:ligatures w14:val="none"/>
        </w:rPr>
        <w:t xml:space="preserve"> leaves were collected from the Anatomy Department of Ladoke Akintola University of Technology (LAUTECH) in August 2022. Identification and authentication were conducted at the Botany Section of the Department of Pure and Applied Biology, LAUTECH, where a voucher specimen (LHO 902) was deposited for reference. The acute toxicity test determined that </w:t>
      </w:r>
      <w:r w:rsidRPr="0009278F">
        <w:rPr>
          <w:rFonts w:ascii="Times New Roman" w:eastAsia="Times New Roman" w:hAnsi="Times New Roman" w:cs="Times New Roman"/>
          <w:i/>
          <w:iCs/>
          <w:kern w:val="0"/>
          <w:sz w:val="24"/>
          <w:szCs w:val="24"/>
          <w14:ligatures w14:val="none"/>
        </w:rPr>
        <w:t>E. hirta</w:t>
      </w:r>
      <w:r w:rsidRPr="0009278F">
        <w:rPr>
          <w:rFonts w:ascii="Times New Roman" w:eastAsia="Times New Roman" w:hAnsi="Times New Roman" w:cs="Times New Roman"/>
          <w:kern w:val="0"/>
          <w:sz w:val="24"/>
          <w:szCs w:val="24"/>
          <w14:ligatures w14:val="none"/>
        </w:rPr>
        <w:t xml:space="preserve"> has an LD₅₀ greater than 5000 mg/kg, classifying it as non-toxic (Yuet Ping et al., 2013).</w:t>
      </w:r>
    </w:p>
    <w:p w14:paraId="7CF0B346" w14:textId="77777777" w:rsidR="0009278F" w:rsidRPr="0009278F" w:rsidRDefault="0009278F" w:rsidP="00D6286F">
      <w:pPr>
        <w:spacing w:before="100" w:beforeAutospacing="1" w:after="100" w:afterAutospacing="1" w:line="480" w:lineRule="auto"/>
        <w:outlineLvl w:val="3"/>
        <w:rPr>
          <w:rFonts w:ascii="Times New Roman" w:eastAsia="Times New Roman" w:hAnsi="Times New Roman" w:cs="Times New Roman"/>
          <w:b/>
          <w:bCs/>
          <w:kern w:val="0"/>
          <w:sz w:val="24"/>
          <w:szCs w:val="24"/>
          <w14:ligatures w14:val="none"/>
        </w:rPr>
      </w:pPr>
      <w:r w:rsidRPr="0009278F">
        <w:rPr>
          <w:rFonts w:ascii="Times New Roman" w:eastAsia="Times New Roman" w:hAnsi="Times New Roman" w:cs="Times New Roman"/>
          <w:b/>
          <w:bCs/>
          <w:kern w:val="0"/>
          <w:sz w:val="24"/>
          <w:szCs w:val="24"/>
          <w14:ligatures w14:val="none"/>
        </w:rPr>
        <w:t>Chemicals and Reagents</w:t>
      </w:r>
    </w:p>
    <w:p w14:paraId="391A8468" w14:textId="77777777" w:rsidR="0009278F" w:rsidRPr="0009278F" w:rsidRDefault="0009278F" w:rsidP="00D6286F">
      <w:pPr>
        <w:spacing w:before="100" w:beforeAutospacing="1" w:after="100" w:afterAutospacing="1" w:line="480" w:lineRule="auto"/>
        <w:rPr>
          <w:rFonts w:ascii="Times New Roman" w:eastAsia="Times New Roman" w:hAnsi="Times New Roman" w:cs="Times New Roman"/>
          <w:kern w:val="0"/>
          <w:sz w:val="24"/>
          <w:szCs w:val="24"/>
          <w14:ligatures w14:val="none"/>
        </w:rPr>
      </w:pPr>
      <w:r w:rsidRPr="0009278F">
        <w:rPr>
          <w:rFonts w:ascii="Times New Roman" w:eastAsia="Times New Roman" w:hAnsi="Times New Roman" w:cs="Times New Roman"/>
          <w:kern w:val="0"/>
          <w:sz w:val="24"/>
          <w:szCs w:val="24"/>
          <w14:ligatures w14:val="none"/>
        </w:rPr>
        <w:t>Laboratory kits for the quantitative in vivo determination of liver function markers, including aspartate aminotransferase (AST) and alanine aminotransferase (ALT), were sourced from Beacon Diagnostics PVT. LTD, India, and Bridge Biotech Limited, Ilorin, Nigeria. Additional reagents, including hydrogen peroxide, trichloroacetic acid (TCA), and absolute ethanol, were of analytical grade to ensure accuracy and reliability.</w:t>
      </w:r>
    </w:p>
    <w:p w14:paraId="49566CE9" w14:textId="77777777" w:rsidR="0009278F" w:rsidRPr="0009278F" w:rsidRDefault="0009278F" w:rsidP="00D6286F">
      <w:pPr>
        <w:spacing w:before="100" w:beforeAutospacing="1" w:after="100" w:afterAutospacing="1" w:line="480" w:lineRule="auto"/>
        <w:outlineLvl w:val="3"/>
        <w:rPr>
          <w:rFonts w:ascii="Times New Roman" w:eastAsia="Times New Roman" w:hAnsi="Times New Roman" w:cs="Times New Roman"/>
          <w:b/>
          <w:bCs/>
          <w:kern w:val="0"/>
          <w:sz w:val="24"/>
          <w:szCs w:val="24"/>
          <w14:ligatures w14:val="none"/>
        </w:rPr>
      </w:pPr>
      <w:r w:rsidRPr="0009278F">
        <w:rPr>
          <w:rFonts w:ascii="Times New Roman" w:eastAsia="Times New Roman" w:hAnsi="Times New Roman" w:cs="Times New Roman"/>
          <w:b/>
          <w:bCs/>
          <w:kern w:val="0"/>
          <w:sz w:val="24"/>
          <w:szCs w:val="24"/>
          <w14:ligatures w14:val="none"/>
        </w:rPr>
        <w:t>Experimental Animals</w:t>
      </w:r>
    </w:p>
    <w:p w14:paraId="6EF1F2FE" w14:textId="04FB62D5" w:rsidR="0009278F" w:rsidRDefault="0009278F" w:rsidP="00D6286F">
      <w:pPr>
        <w:spacing w:before="100" w:beforeAutospacing="1" w:after="100" w:afterAutospacing="1" w:line="480" w:lineRule="auto"/>
        <w:rPr>
          <w:rFonts w:ascii="Times New Roman" w:eastAsia="Times New Roman" w:hAnsi="Times New Roman" w:cs="Times New Roman"/>
          <w:kern w:val="0"/>
          <w:sz w:val="24"/>
          <w:szCs w:val="24"/>
          <w14:ligatures w14:val="none"/>
        </w:rPr>
      </w:pPr>
      <w:r w:rsidRPr="0009278F">
        <w:rPr>
          <w:rFonts w:ascii="Times New Roman" w:eastAsia="Times New Roman" w:hAnsi="Times New Roman" w:cs="Times New Roman"/>
          <w:kern w:val="0"/>
          <w:sz w:val="24"/>
          <w:szCs w:val="24"/>
          <w14:ligatures w14:val="none"/>
        </w:rPr>
        <w:t>Thirty-five male Wistar albino rats (150–180 g) were obtained from LAUTECH's commercial animal breeding unit. The rats were housed under standard laboratory conditions, allowed to acclimatize for two weeks before the experiment, and randomly assigned to five groups (n = 5 per group). The ethical handling and care of the animals adhered to internationally established research standards.</w:t>
      </w:r>
    </w:p>
    <w:p w14:paraId="6BB53ED9" w14:textId="0EBE8446" w:rsidR="0009278F" w:rsidRPr="0009278F" w:rsidRDefault="00D6286F" w:rsidP="00D6286F">
      <w:pPr>
        <w:spacing w:before="100" w:beforeAutospacing="1" w:after="100" w:afterAutospacing="1" w:line="480" w:lineRule="auto"/>
        <w:outlineLvl w:val="2"/>
        <w:rPr>
          <w:rFonts w:ascii="Times New Roman" w:eastAsia="Times New Roman" w:hAnsi="Times New Roman" w:cs="Times New Roman"/>
          <w:b/>
          <w:bCs/>
          <w:kern w:val="0"/>
          <w:sz w:val="24"/>
          <w:szCs w:val="24"/>
          <w14:ligatures w14:val="none"/>
        </w:rPr>
      </w:pPr>
      <w:r w:rsidRPr="0009278F">
        <w:rPr>
          <w:rFonts w:ascii="Times New Roman" w:eastAsia="Times New Roman" w:hAnsi="Times New Roman" w:cs="Times New Roman"/>
          <w:b/>
          <w:bCs/>
          <w:kern w:val="0"/>
          <w:sz w:val="24"/>
          <w:szCs w:val="24"/>
          <w14:ligatures w14:val="none"/>
        </w:rPr>
        <w:t>Methods</w:t>
      </w:r>
    </w:p>
    <w:p w14:paraId="2338EE44" w14:textId="77777777" w:rsidR="0009278F" w:rsidRPr="0009278F" w:rsidRDefault="0009278F" w:rsidP="00D6286F">
      <w:pPr>
        <w:spacing w:before="100" w:beforeAutospacing="1" w:after="100" w:afterAutospacing="1" w:line="480" w:lineRule="auto"/>
        <w:outlineLvl w:val="3"/>
        <w:rPr>
          <w:rFonts w:ascii="Times New Roman" w:eastAsia="Times New Roman" w:hAnsi="Times New Roman" w:cs="Times New Roman"/>
          <w:b/>
          <w:bCs/>
          <w:kern w:val="0"/>
          <w:sz w:val="24"/>
          <w:szCs w:val="24"/>
          <w14:ligatures w14:val="none"/>
        </w:rPr>
      </w:pPr>
      <w:r w:rsidRPr="0009278F">
        <w:rPr>
          <w:rFonts w:ascii="Times New Roman" w:eastAsia="Times New Roman" w:hAnsi="Times New Roman" w:cs="Times New Roman"/>
          <w:b/>
          <w:bCs/>
          <w:kern w:val="0"/>
          <w:sz w:val="24"/>
          <w:szCs w:val="24"/>
          <w14:ligatures w14:val="none"/>
        </w:rPr>
        <w:t>Preparation of Plant Extract</w:t>
      </w:r>
    </w:p>
    <w:p w14:paraId="5A195BAD" w14:textId="77777777" w:rsidR="0009278F" w:rsidRPr="0009278F" w:rsidRDefault="0009278F" w:rsidP="00D6286F">
      <w:pPr>
        <w:spacing w:before="100" w:beforeAutospacing="1" w:after="100" w:afterAutospacing="1" w:line="480" w:lineRule="auto"/>
        <w:rPr>
          <w:rFonts w:ascii="Times New Roman" w:eastAsia="Times New Roman" w:hAnsi="Times New Roman" w:cs="Times New Roman"/>
          <w:kern w:val="0"/>
          <w:sz w:val="24"/>
          <w:szCs w:val="24"/>
          <w14:ligatures w14:val="none"/>
        </w:rPr>
      </w:pPr>
      <w:r w:rsidRPr="0009278F">
        <w:rPr>
          <w:rFonts w:ascii="Times New Roman" w:eastAsia="Times New Roman" w:hAnsi="Times New Roman" w:cs="Times New Roman"/>
          <w:i/>
          <w:iCs/>
          <w:kern w:val="0"/>
          <w:sz w:val="24"/>
          <w:szCs w:val="24"/>
          <w14:ligatures w14:val="none"/>
        </w:rPr>
        <w:t>Euphorbia hirta</w:t>
      </w:r>
      <w:r w:rsidRPr="0009278F">
        <w:rPr>
          <w:rFonts w:ascii="Times New Roman" w:eastAsia="Times New Roman" w:hAnsi="Times New Roman" w:cs="Times New Roman"/>
          <w:kern w:val="0"/>
          <w:sz w:val="24"/>
          <w:szCs w:val="24"/>
          <w14:ligatures w14:val="none"/>
        </w:rPr>
        <w:t xml:space="preserve"> leaves were air-dried until a constant weight was achieved, then pulverized using an electric blender. The powdered leaves (250 g) were subjected to cold maceration in 2500 mL of distilled water for 72 hours with intermittent shaking. The resulting mixture was filtered using Whatman No. 1 filter paper, and the filtrate was concentrated using a freeze dryer at 35°C.</w:t>
      </w:r>
    </w:p>
    <w:p w14:paraId="19DEE5CD" w14:textId="77777777" w:rsidR="0009278F" w:rsidRPr="0009278F" w:rsidRDefault="0009278F" w:rsidP="00D6286F">
      <w:pPr>
        <w:spacing w:before="100" w:beforeAutospacing="1" w:after="100" w:afterAutospacing="1" w:line="480" w:lineRule="auto"/>
        <w:outlineLvl w:val="3"/>
        <w:rPr>
          <w:rFonts w:ascii="Times New Roman" w:eastAsia="Times New Roman" w:hAnsi="Times New Roman" w:cs="Times New Roman"/>
          <w:b/>
          <w:bCs/>
          <w:kern w:val="0"/>
          <w:sz w:val="24"/>
          <w:szCs w:val="24"/>
          <w14:ligatures w14:val="none"/>
        </w:rPr>
      </w:pPr>
      <w:r w:rsidRPr="0009278F">
        <w:rPr>
          <w:rFonts w:ascii="Times New Roman" w:eastAsia="Times New Roman" w:hAnsi="Times New Roman" w:cs="Times New Roman"/>
          <w:b/>
          <w:bCs/>
          <w:kern w:val="0"/>
          <w:sz w:val="24"/>
          <w:szCs w:val="24"/>
          <w14:ligatures w14:val="none"/>
        </w:rPr>
        <w:t>Experimental Design</w:t>
      </w:r>
    </w:p>
    <w:p w14:paraId="172296CF" w14:textId="5C010FC0" w:rsidR="0009278F" w:rsidRPr="0009278F" w:rsidRDefault="0009278F" w:rsidP="00D6286F">
      <w:pPr>
        <w:spacing w:after="0" w:line="480" w:lineRule="auto"/>
        <w:jc w:val="both"/>
        <w:rPr>
          <w:rFonts w:ascii="Times New Roman" w:hAnsi="Times New Roman" w:cs="Times New Roman"/>
          <w:b/>
          <w:sz w:val="24"/>
          <w:szCs w:val="24"/>
        </w:rPr>
      </w:pPr>
      <w:r w:rsidRPr="0009278F">
        <w:rPr>
          <w:rFonts w:ascii="Times New Roman" w:eastAsia="Times New Roman" w:hAnsi="Times New Roman" w:cs="Times New Roman"/>
          <w:kern w:val="0"/>
          <w:sz w:val="24"/>
          <w:szCs w:val="24"/>
          <w14:ligatures w14:val="none"/>
        </w:rPr>
        <w:t xml:space="preserve">The animals were divided into five groups, each consisting of five rats, and were treated for seven days as outlined </w:t>
      </w:r>
      <w:r w:rsidRPr="0009278F">
        <w:rPr>
          <w:rFonts w:ascii="Times New Roman" w:hAnsi="Times New Roman" w:cs="Times New Roman"/>
          <w:bCs/>
          <w:sz w:val="24"/>
          <w:szCs w:val="24"/>
        </w:rPr>
        <w:t>Table 1</w:t>
      </w:r>
      <w:r w:rsidRPr="005954ED">
        <w:rPr>
          <w:rFonts w:ascii="Times New Roman" w:hAnsi="Times New Roman" w:cs="Times New Roman"/>
          <w:b/>
          <w:sz w:val="24"/>
          <w:szCs w:val="24"/>
        </w:rPr>
        <w:t xml:space="preserve">: </w:t>
      </w:r>
      <w:r w:rsidRPr="0009278F">
        <w:rPr>
          <w:rFonts w:ascii="Times New Roman" w:eastAsia="Times New Roman" w:hAnsi="Times New Roman" w:cs="Times New Roman"/>
          <w:kern w:val="0"/>
          <w:sz w:val="24"/>
          <w:szCs w:val="24"/>
          <w14:ligatures w14:val="none"/>
        </w:rPr>
        <w:t>:</w:t>
      </w:r>
    </w:p>
    <w:p w14:paraId="1B190635" w14:textId="77777777" w:rsidR="00D6286F" w:rsidRDefault="00D6286F">
      <w:pPr>
        <w:spacing w:after="200" w:line="276" w:lineRule="auto"/>
        <w:rPr>
          <w:rFonts w:ascii="Times New Roman" w:hAnsi="Times New Roman" w:cs="Times New Roman"/>
          <w:b/>
          <w:sz w:val="24"/>
          <w:szCs w:val="24"/>
        </w:rPr>
      </w:pPr>
      <w:r>
        <w:rPr>
          <w:rFonts w:ascii="Times New Roman" w:hAnsi="Times New Roman" w:cs="Times New Roman"/>
          <w:b/>
          <w:sz w:val="24"/>
          <w:szCs w:val="24"/>
        </w:rPr>
        <w:br w:type="page"/>
      </w:r>
    </w:p>
    <w:p w14:paraId="7A974E1E" w14:textId="3DE52714" w:rsidR="0009278F" w:rsidRPr="005954ED" w:rsidRDefault="0009278F" w:rsidP="0009278F">
      <w:pPr>
        <w:spacing w:after="0" w:line="480" w:lineRule="auto"/>
        <w:jc w:val="both"/>
        <w:rPr>
          <w:rFonts w:ascii="Times New Roman" w:hAnsi="Times New Roman" w:cs="Times New Roman"/>
          <w:b/>
          <w:sz w:val="24"/>
          <w:szCs w:val="24"/>
        </w:rPr>
      </w:pPr>
      <w:r w:rsidRPr="005954ED">
        <w:rPr>
          <w:rFonts w:ascii="Times New Roman" w:hAnsi="Times New Roman" w:cs="Times New Roman"/>
          <w:b/>
          <w:sz w:val="24"/>
          <w:szCs w:val="24"/>
        </w:rPr>
        <w:t>Table 1: Animal Grouping</w:t>
      </w:r>
    </w:p>
    <w:p w14:paraId="75AFF6AD" w14:textId="77777777" w:rsidR="0009278F" w:rsidRPr="0009278F" w:rsidRDefault="0009278F" w:rsidP="0009278F">
      <w:pPr>
        <w:spacing w:before="100" w:beforeAutospacing="1" w:after="100" w:afterAutospacing="1" w:line="360" w:lineRule="auto"/>
        <w:rPr>
          <w:rFonts w:ascii="Times New Roman" w:eastAsia="Times New Roman" w:hAnsi="Times New Roman" w:cs="Times New Roman"/>
          <w:kern w:val="0"/>
          <w:sz w:val="24"/>
          <w:szCs w:val="24"/>
          <w14:ligatures w14:val="none"/>
        </w:rPr>
      </w:pPr>
    </w:p>
    <w:tbl>
      <w:tblPr>
        <w:tblStyle w:val="TableGrid"/>
        <w:tblW w:w="0" w:type="auto"/>
        <w:tblInd w:w="720" w:type="dxa"/>
        <w:tblLook w:val="04A0" w:firstRow="1" w:lastRow="0" w:firstColumn="1" w:lastColumn="0" w:noHBand="0" w:noVBand="1"/>
      </w:tblPr>
      <w:tblGrid>
        <w:gridCol w:w="8856"/>
      </w:tblGrid>
      <w:tr w:rsidR="0009278F" w:rsidRPr="0009278F" w14:paraId="539925B7" w14:textId="77777777" w:rsidTr="0009278F">
        <w:tc>
          <w:tcPr>
            <w:tcW w:w="8856" w:type="dxa"/>
          </w:tcPr>
          <w:p w14:paraId="2D45389A" w14:textId="71826C90" w:rsidR="0009278F" w:rsidRPr="0009278F" w:rsidRDefault="00E563C5" w:rsidP="004A4AE0">
            <w:pPr>
              <w:spacing w:before="100" w:beforeAutospacing="1" w:after="100" w:afterAutospacing="1" w:line="36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 xml:space="preserve">Group A </w:t>
            </w:r>
            <w:r w:rsidRPr="00EA43CA">
              <w:rPr>
                <w:rFonts w:ascii="Times New Roman" w:eastAsia="Times New Roman" w:hAnsi="Times New Roman" w:cs="Times New Roman"/>
                <w:b/>
                <w:bCs/>
                <w:kern w:val="0"/>
                <w:sz w:val="24"/>
                <w:szCs w:val="24"/>
                <w:highlight w:val="yellow"/>
                <w14:ligatures w14:val="none"/>
              </w:rPr>
              <w:t>(Negative control</w:t>
            </w:r>
            <w:r w:rsidR="0009278F" w:rsidRPr="00EA43CA">
              <w:rPr>
                <w:rFonts w:ascii="Times New Roman" w:eastAsia="Times New Roman" w:hAnsi="Times New Roman" w:cs="Times New Roman"/>
                <w:b/>
                <w:bCs/>
                <w:kern w:val="0"/>
                <w:sz w:val="24"/>
                <w:szCs w:val="24"/>
                <w:highlight w:val="yellow"/>
                <w14:ligatures w14:val="none"/>
              </w:rPr>
              <w:t>):</w:t>
            </w:r>
            <w:r w:rsidR="0009278F" w:rsidRPr="0009278F">
              <w:rPr>
                <w:rFonts w:ascii="Times New Roman" w:eastAsia="Times New Roman" w:hAnsi="Times New Roman" w:cs="Times New Roman"/>
                <w:kern w:val="0"/>
                <w:sz w:val="24"/>
                <w:szCs w:val="24"/>
                <w14:ligatures w14:val="none"/>
              </w:rPr>
              <w:t xml:space="preserve"> Received only standard feed and water.</w:t>
            </w:r>
          </w:p>
        </w:tc>
      </w:tr>
      <w:tr w:rsidR="0009278F" w:rsidRPr="0009278F" w14:paraId="41EFB37D" w14:textId="77777777" w:rsidTr="0009278F">
        <w:tc>
          <w:tcPr>
            <w:tcW w:w="8856" w:type="dxa"/>
          </w:tcPr>
          <w:p w14:paraId="3548B90B" w14:textId="36239D12" w:rsidR="0009278F" w:rsidRPr="0009278F" w:rsidRDefault="0009278F" w:rsidP="00E563C5">
            <w:pPr>
              <w:spacing w:before="100" w:beforeAutospacing="1" w:after="100" w:afterAutospacing="1" w:line="360" w:lineRule="auto"/>
              <w:rPr>
                <w:rFonts w:ascii="Times New Roman" w:eastAsia="Times New Roman" w:hAnsi="Times New Roman" w:cs="Times New Roman"/>
                <w:kern w:val="0"/>
                <w:sz w:val="24"/>
                <w:szCs w:val="24"/>
                <w14:ligatures w14:val="none"/>
              </w:rPr>
            </w:pPr>
            <w:r w:rsidRPr="0009278F">
              <w:rPr>
                <w:rFonts w:ascii="Times New Roman" w:eastAsia="Times New Roman" w:hAnsi="Times New Roman" w:cs="Times New Roman"/>
                <w:b/>
                <w:bCs/>
                <w:kern w:val="0"/>
                <w:sz w:val="24"/>
                <w:szCs w:val="24"/>
                <w14:ligatures w14:val="none"/>
              </w:rPr>
              <w:t xml:space="preserve">Group B </w:t>
            </w:r>
            <w:r w:rsidRPr="00EA43CA">
              <w:rPr>
                <w:rFonts w:ascii="Times New Roman" w:eastAsia="Times New Roman" w:hAnsi="Times New Roman" w:cs="Times New Roman"/>
                <w:b/>
                <w:bCs/>
                <w:kern w:val="0"/>
                <w:sz w:val="24"/>
                <w:szCs w:val="24"/>
                <w:highlight w:val="yellow"/>
                <w14:ligatures w14:val="none"/>
              </w:rPr>
              <w:t>(</w:t>
            </w:r>
            <w:r w:rsidR="00E563C5" w:rsidRPr="00EA43CA">
              <w:rPr>
                <w:rFonts w:ascii="Times New Roman" w:eastAsia="Times New Roman" w:hAnsi="Times New Roman" w:cs="Times New Roman"/>
                <w:b/>
                <w:bCs/>
                <w:kern w:val="0"/>
                <w:sz w:val="24"/>
                <w:szCs w:val="24"/>
                <w:highlight w:val="yellow"/>
                <w14:ligatures w14:val="none"/>
              </w:rPr>
              <w:t>Model Group</w:t>
            </w:r>
            <w:r w:rsidRPr="00EA43CA">
              <w:rPr>
                <w:rFonts w:ascii="Times New Roman" w:eastAsia="Times New Roman" w:hAnsi="Times New Roman" w:cs="Times New Roman"/>
                <w:b/>
                <w:bCs/>
                <w:kern w:val="0"/>
                <w:sz w:val="24"/>
                <w:szCs w:val="24"/>
                <w:highlight w:val="yellow"/>
                <w14:ligatures w14:val="none"/>
              </w:rPr>
              <w:t>):</w:t>
            </w:r>
            <w:r w:rsidRPr="0009278F">
              <w:rPr>
                <w:rFonts w:ascii="Times New Roman" w:eastAsia="Times New Roman" w:hAnsi="Times New Roman" w:cs="Times New Roman"/>
                <w:kern w:val="0"/>
                <w:sz w:val="24"/>
                <w:szCs w:val="24"/>
                <w14:ligatures w14:val="none"/>
              </w:rPr>
              <w:t xml:space="preserve"> Received a single oral dose of paracetamol (150 mg/kg) on day 7 without pretreatment.</w:t>
            </w:r>
          </w:p>
        </w:tc>
      </w:tr>
      <w:tr w:rsidR="0009278F" w:rsidRPr="0009278F" w14:paraId="6C4214DD" w14:textId="77777777" w:rsidTr="0009278F">
        <w:tc>
          <w:tcPr>
            <w:tcW w:w="8856" w:type="dxa"/>
          </w:tcPr>
          <w:p w14:paraId="23C589BE" w14:textId="299BDF87" w:rsidR="0009278F" w:rsidRPr="0009278F" w:rsidRDefault="00E563C5" w:rsidP="004A4AE0">
            <w:pPr>
              <w:spacing w:before="100" w:beforeAutospacing="1" w:after="100" w:afterAutospacing="1" w:line="36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 xml:space="preserve">Group C </w:t>
            </w:r>
            <w:r w:rsidRPr="00EA43CA">
              <w:rPr>
                <w:rFonts w:ascii="Times New Roman" w:eastAsia="Times New Roman" w:hAnsi="Times New Roman" w:cs="Times New Roman"/>
                <w:b/>
                <w:bCs/>
                <w:kern w:val="0"/>
                <w:sz w:val="24"/>
                <w:szCs w:val="24"/>
                <w:highlight w:val="yellow"/>
                <w14:ligatures w14:val="none"/>
              </w:rPr>
              <w:t>(Positive</w:t>
            </w:r>
            <w:r w:rsidR="0009278F" w:rsidRPr="00EA43CA">
              <w:rPr>
                <w:rFonts w:ascii="Times New Roman" w:eastAsia="Times New Roman" w:hAnsi="Times New Roman" w:cs="Times New Roman"/>
                <w:b/>
                <w:bCs/>
                <w:kern w:val="0"/>
                <w:sz w:val="24"/>
                <w:szCs w:val="24"/>
                <w:highlight w:val="yellow"/>
                <w14:ligatures w14:val="none"/>
              </w:rPr>
              <w:t xml:space="preserve"> Control):</w:t>
            </w:r>
            <w:r w:rsidR="0009278F" w:rsidRPr="0009278F">
              <w:rPr>
                <w:rFonts w:ascii="Times New Roman" w:eastAsia="Times New Roman" w:hAnsi="Times New Roman" w:cs="Times New Roman"/>
                <w:kern w:val="0"/>
                <w:sz w:val="24"/>
                <w:szCs w:val="24"/>
                <w14:ligatures w14:val="none"/>
              </w:rPr>
              <w:t xml:space="preserve"> Received silymarin (50 mg/kg) daily for seven days, followed by paracetamol on day 7.</w:t>
            </w:r>
          </w:p>
        </w:tc>
      </w:tr>
      <w:tr w:rsidR="0009278F" w:rsidRPr="0009278F" w14:paraId="0539E6EC" w14:textId="77777777" w:rsidTr="0009278F">
        <w:tc>
          <w:tcPr>
            <w:tcW w:w="8856" w:type="dxa"/>
          </w:tcPr>
          <w:p w14:paraId="3E275021" w14:textId="77777777" w:rsidR="0009278F" w:rsidRPr="0009278F" w:rsidRDefault="0009278F" w:rsidP="004A4AE0">
            <w:pPr>
              <w:spacing w:before="100" w:beforeAutospacing="1" w:after="100" w:afterAutospacing="1" w:line="360" w:lineRule="auto"/>
              <w:rPr>
                <w:rFonts w:ascii="Times New Roman" w:eastAsia="Times New Roman" w:hAnsi="Times New Roman" w:cs="Times New Roman"/>
                <w:kern w:val="0"/>
                <w:sz w:val="24"/>
                <w:szCs w:val="24"/>
                <w14:ligatures w14:val="none"/>
              </w:rPr>
            </w:pPr>
            <w:r w:rsidRPr="0009278F">
              <w:rPr>
                <w:rFonts w:ascii="Times New Roman" w:eastAsia="Times New Roman" w:hAnsi="Times New Roman" w:cs="Times New Roman"/>
                <w:b/>
                <w:bCs/>
                <w:kern w:val="0"/>
                <w:sz w:val="24"/>
                <w:szCs w:val="24"/>
                <w14:ligatures w14:val="none"/>
              </w:rPr>
              <w:t>Group D (Treatment Group 1):</w:t>
            </w:r>
            <w:r w:rsidRPr="0009278F">
              <w:rPr>
                <w:rFonts w:ascii="Times New Roman" w:eastAsia="Times New Roman" w:hAnsi="Times New Roman" w:cs="Times New Roman"/>
                <w:kern w:val="0"/>
                <w:sz w:val="24"/>
                <w:szCs w:val="24"/>
                <w14:ligatures w14:val="none"/>
              </w:rPr>
              <w:t xml:space="preserve"> Received </w:t>
            </w:r>
            <w:r w:rsidRPr="0009278F">
              <w:rPr>
                <w:rFonts w:ascii="Times New Roman" w:eastAsia="Times New Roman" w:hAnsi="Times New Roman" w:cs="Times New Roman"/>
                <w:i/>
                <w:iCs/>
                <w:kern w:val="0"/>
                <w:sz w:val="24"/>
                <w:szCs w:val="24"/>
                <w14:ligatures w14:val="none"/>
              </w:rPr>
              <w:t>E. hirta</w:t>
            </w:r>
            <w:r w:rsidRPr="0009278F">
              <w:rPr>
                <w:rFonts w:ascii="Times New Roman" w:eastAsia="Times New Roman" w:hAnsi="Times New Roman" w:cs="Times New Roman"/>
                <w:kern w:val="0"/>
                <w:sz w:val="24"/>
                <w:szCs w:val="24"/>
                <w14:ligatures w14:val="none"/>
              </w:rPr>
              <w:t xml:space="preserve"> extract (125 mg/kg) orally for seven days, followed by paracetamol on day 7.</w:t>
            </w:r>
          </w:p>
        </w:tc>
      </w:tr>
      <w:tr w:rsidR="0009278F" w:rsidRPr="0009278F" w14:paraId="0F6EE226" w14:textId="77777777" w:rsidTr="0009278F">
        <w:tc>
          <w:tcPr>
            <w:tcW w:w="8856" w:type="dxa"/>
          </w:tcPr>
          <w:p w14:paraId="195C928D" w14:textId="77777777" w:rsidR="0009278F" w:rsidRPr="0009278F" w:rsidRDefault="0009278F" w:rsidP="004A4AE0">
            <w:pPr>
              <w:spacing w:before="100" w:beforeAutospacing="1" w:after="100" w:afterAutospacing="1" w:line="360" w:lineRule="auto"/>
              <w:rPr>
                <w:rFonts w:ascii="Times New Roman" w:eastAsia="Times New Roman" w:hAnsi="Times New Roman" w:cs="Times New Roman"/>
                <w:kern w:val="0"/>
                <w:sz w:val="24"/>
                <w:szCs w:val="24"/>
                <w14:ligatures w14:val="none"/>
              </w:rPr>
            </w:pPr>
            <w:r w:rsidRPr="0009278F">
              <w:rPr>
                <w:rFonts w:ascii="Times New Roman" w:eastAsia="Times New Roman" w:hAnsi="Times New Roman" w:cs="Times New Roman"/>
                <w:b/>
                <w:bCs/>
                <w:kern w:val="0"/>
                <w:sz w:val="24"/>
                <w:szCs w:val="24"/>
                <w14:ligatures w14:val="none"/>
              </w:rPr>
              <w:t>Group E (Treatment Group 2):</w:t>
            </w:r>
            <w:r w:rsidRPr="0009278F">
              <w:rPr>
                <w:rFonts w:ascii="Times New Roman" w:eastAsia="Times New Roman" w:hAnsi="Times New Roman" w:cs="Times New Roman"/>
                <w:kern w:val="0"/>
                <w:sz w:val="24"/>
                <w:szCs w:val="24"/>
                <w14:ligatures w14:val="none"/>
              </w:rPr>
              <w:t xml:space="preserve"> Received </w:t>
            </w:r>
            <w:r w:rsidRPr="0009278F">
              <w:rPr>
                <w:rFonts w:ascii="Times New Roman" w:eastAsia="Times New Roman" w:hAnsi="Times New Roman" w:cs="Times New Roman"/>
                <w:i/>
                <w:iCs/>
                <w:kern w:val="0"/>
                <w:sz w:val="24"/>
                <w:szCs w:val="24"/>
                <w14:ligatures w14:val="none"/>
              </w:rPr>
              <w:t>E. hirta</w:t>
            </w:r>
            <w:r w:rsidRPr="0009278F">
              <w:rPr>
                <w:rFonts w:ascii="Times New Roman" w:eastAsia="Times New Roman" w:hAnsi="Times New Roman" w:cs="Times New Roman"/>
                <w:kern w:val="0"/>
                <w:sz w:val="24"/>
                <w:szCs w:val="24"/>
                <w14:ligatures w14:val="none"/>
              </w:rPr>
              <w:t xml:space="preserve"> extract (250 mg/kg) orally for seven days, followed by paracetamol on day 7.</w:t>
            </w:r>
          </w:p>
        </w:tc>
      </w:tr>
    </w:tbl>
    <w:p w14:paraId="53A4CC0C" w14:textId="77777777" w:rsidR="0009278F" w:rsidRDefault="0009278F" w:rsidP="00AF5592">
      <w:pPr>
        <w:spacing w:after="0" w:line="480" w:lineRule="auto"/>
        <w:jc w:val="both"/>
        <w:rPr>
          <w:rFonts w:ascii="Times New Roman" w:hAnsi="Times New Roman" w:cs="Times New Roman"/>
          <w:b/>
          <w:sz w:val="24"/>
          <w:szCs w:val="24"/>
        </w:rPr>
      </w:pPr>
    </w:p>
    <w:p w14:paraId="2A43EB16" w14:textId="77777777" w:rsidR="0009278F" w:rsidRDefault="0009278F" w:rsidP="00AF5592">
      <w:pPr>
        <w:spacing w:after="0" w:line="480" w:lineRule="auto"/>
        <w:jc w:val="both"/>
        <w:rPr>
          <w:rFonts w:ascii="Times New Roman" w:hAnsi="Times New Roman" w:cs="Times New Roman"/>
          <w:b/>
          <w:sz w:val="24"/>
          <w:szCs w:val="24"/>
        </w:rPr>
      </w:pPr>
    </w:p>
    <w:p w14:paraId="140D1914" w14:textId="77777777" w:rsidR="0009278F" w:rsidRPr="0009278F" w:rsidRDefault="0009278F" w:rsidP="0009278F">
      <w:pPr>
        <w:spacing w:before="100" w:beforeAutospacing="1" w:after="100" w:afterAutospacing="1" w:line="360" w:lineRule="auto"/>
        <w:jc w:val="both"/>
        <w:outlineLvl w:val="2"/>
        <w:rPr>
          <w:rFonts w:ascii="Times New Roman" w:eastAsia="Times New Roman" w:hAnsi="Times New Roman" w:cs="Times New Roman"/>
          <w:b/>
          <w:bCs/>
          <w:kern w:val="0"/>
          <w:sz w:val="27"/>
          <w:szCs w:val="27"/>
          <w14:ligatures w14:val="none"/>
        </w:rPr>
      </w:pPr>
      <w:r w:rsidRPr="0009278F">
        <w:rPr>
          <w:rFonts w:ascii="Times New Roman" w:eastAsia="Times New Roman" w:hAnsi="Times New Roman" w:cs="Times New Roman"/>
          <w:b/>
          <w:bCs/>
          <w:kern w:val="0"/>
          <w:sz w:val="27"/>
          <w:szCs w:val="27"/>
          <w14:ligatures w14:val="none"/>
        </w:rPr>
        <w:t>Sample Collection and Preparation</w:t>
      </w:r>
    </w:p>
    <w:p w14:paraId="5587E350" w14:textId="77777777" w:rsidR="0009278F" w:rsidRPr="0009278F" w:rsidRDefault="0009278F" w:rsidP="0009278F">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09278F">
        <w:rPr>
          <w:rFonts w:ascii="Times New Roman" w:eastAsia="Times New Roman" w:hAnsi="Times New Roman" w:cs="Times New Roman"/>
          <w:kern w:val="0"/>
          <w:sz w:val="24"/>
          <w:szCs w:val="24"/>
          <w14:ligatures w14:val="none"/>
        </w:rPr>
        <w:t>Twenty-four hours after the final administration of the extract and toxicant, the rats were humanely sacrificed via cervical dislocation. Each animal was carefully dissected, and the liver was immediately excised, rinsed in ice-cold normal saline, and weighed. The organs were stored in plain polyethylene bags and frozen in a deep freezer for subsequent biochemical analysis.</w:t>
      </w:r>
    </w:p>
    <w:p w14:paraId="5928661A" w14:textId="77777777" w:rsidR="0009278F" w:rsidRPr="0009278F" w:rsidRDefault="0009278F" w:rsidP="0009278F">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09278F">
        <w:rPr>
          <w:rFonts w:ascii="Times New Roman" w:eastAsia="Times New Roman" w:hAnsi="Times New Roman" w:cs="Times New Roman"/>
          <w:kern w:val="0"/>
          <w:sz w:val="24"/>
          <w:szCs w:val="24"/>
          <w14:ligatures w14:val="none"/>
        </w:rPr>
        <w:t>For histological and immunohistochemical analysis, portions of the liver from each group were fixed in 10% formalin to preserve tissue integrity. Throughout the procedure, care was taken to prevent tissue degradation and ensure optimal sample quality.</w:t>
      </w:r>
    </w:p>
    <w:p w14:paraId="7DE1DED0" w14:textId="77777777" w:rsidR="0009278F" w:rsidRPr="0009278F" w:rsidRDefault="0009278F" w:rsidP="0009278F">
      <w:pPr>
        <w:spacing w:before="100" w:beforeAutospacing="1" w:after="100" w:afterAutospacing="1" w:line="360" w:lineRule="auto"/>
        <w:jc w:val="both"/>
        <w:outlineLvl w:val="2"/>
        <w:rPr>
          <w:rFonts w:ascii="Times New Roman" w:eastAsia="Times New Roman" w:hAnsi="Times New Roman" w:cs="Times New Roman"/>
          <w:b/>
          <w:bCs/>
          <w:kern w:val="0"/>
          <w:sz w:val="27"/>
          <w:szCs w:val="27"/>
          <w14:ligatures w14:val="none"/>
        </w:rPr>
      </w:pPr>
      <w:r w:rsidRPr="0009278F">
        <w:rPr>
          <w:rFonts w:ascii="Times New Roman" w:eastAsia="Times New Roman" w:hAnsi="Times New Roman" w:cs="Times New Roman"/>
          <w:b/>
          <w:bCs/>
          <w:kern w:val="0"/>
          <w:sz w:val="27"/>
          <w:szCs w:val="27"/>
          <w14:ligatures w14:val="none"/>
        </w:rPr>
        <w:t>Preparation of Serum and Liver Homogenate</w:t>
      </w:r>
    </w:p>
    <w:p w14:paraId="5D2DDCED" w14:textId="77777777" w:rsidR="0009278F" w:rsidRPr="0009278F" w:rsidRDefault="0009278F" w:rsidP="0009278F">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09278F">
        <w:rPr>
          <w:rFonts w:ascii="Times New Roman" w:eastAsia="Times New Roman" w:hAnsi="Times New Roman" w:cs="Times New Roman"/>
          <w:kern w:val="0"/>
          <w:sz w:val="24"/>
          <w:szCs w:val="24"/>
          <w14:ligatures w14:val="none"/>
        </w:rPr>
        <w:t>Blood samples were collected from each animal into plain sample bottles, allowed to clot, and centrifuged at 3000 rpm for 15 minutes. The resulting serum was carefully separated and stored under cold conditions for further biochemical analysis.</w:t>
      </w:r>
    </w:p>
    <w:p w14:paraId="43816A9B" w14:textId="77777777" w:rsidR="0009278F" w:rsidRPr="0009278F" w:rsidRDefault="0009278F" w:rsidP="0009278F">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09278F">
        <w:rPr>
          <w:rFonts w:ascii="Times New Roman" w:eastAsia="Times New Roman" w:hAnsi="Times New Roman" w:cs="Times New Roman"/>
          <w:kern w:val="0"/>
          <w:sz w:val="24"/>
          <w:szCs w:val="24"/>
          <w14:ligatures w14:val="none"/>
        </w:rPr>
        <w:t>For liver homogenate preparation, liver tissues were homogenized in ice-cold phosphate buffer (pH 7.2) to obtain a 10% homogenate solution. The homogenates were then centrifuged at 2000 rpm for 10 minutes, and the supernatants were stored in a deep freezer for biochemical evaluations. These samples were subsequently used to assess biochemical markers and enzyme levels in serum and liver tissues.</w:t>
      </w:r>
    </w:p>
    <w:p w14:paraId="56E39579" w14:textId="7374591B" w:rsidR="0009278F" w:rsidRPr="0009278F" w:rsidRDefault="0009278F" w:rsidP="0009278F">
      <w:pPr>
        <w:spacing w:after="0" w:line="360" w:lineRule="auto"/>
        <w:jc w:val="both"/>
        <w:rPr>
          <w:rFonts w:ascii="Times New Roman" w:eastAsia="Times New Roman" w:hAnsi="Times New Roman" w:cs="Times New Roman"/>
          <w:kern w:val="0"/>
          <w:sz w:val="24"/>
          <w:szCs w:val="24"/>
          <w14:ligatures w14:val="none"/>
        </w:rPr>
      </w:pPr>
    </w:p>
    <w:p w14:paraId="73EA22A3" w14:textId="77777777" w:rsidR="0009278F" w:rsidRPr="0009278F" w:rsidRDefault="0009278F" w:rsidP="0009278F">
      <w:pPr>
        <w:spacing w:before="100" w:beforeAutospacing="1" w:after="100" w:afterAutospacing="1" w:line="360" w:lineRule="auto"/>
        <w:jc w:val="both"/>
        <w:outlineLvl w:val="2"/>
        <w:rPr>
          <w:rFonts w:ascii="Times New Roman" w:eastAsia="Times New Roman" w:hAnsi="Times New Roman" w:cs="Times New Roman"/>
          <w:b/>
          <w:bCs/>
          <w:kern w:val="0"/>
          <w:sz w:val="27"/>
          <w:szCs w:val="27"/>
          <w14:ligatures w14:val="none"/>
        </w:rPr>
      </w:pPr>
      <w:r w:rsidRPr="0009278F">
        <w:rPr>
          <w:rFonts w:ascii="Times New Roman" w:eastAsia="Times New Roman" w:hAnsi="Times New Roman" w:cs="Times New Roman"/>
          <w:b/>
          <w:bCs/>
          <w:kern w:val="0"/>
          <w:sz w:val="27"/>
          <w:szCs w:val="27"/>
          <w14:ligatures w14:val="none"/>
        </w:rPr>
        <w:t>Biochemical Analysis</w:t>
      </w:r>
    </w:p>
    <w:p w14:paraId="783FC5B1" w14:textId="77777777" w:rsidR="0009278F" w:rsidRPr="0009278F" w:rsidRDefault="0009278F" w:rsidP="0009278F">
      <w:pPr>
        <w:spacing w:before="100" w:beforeAutospacing="1" w:after="100" w:afterAutospacing="1" w:line="360" w:lineRule="auto"/>
        <w:jc w:val="both"/>
        <w:outlineLvl w:val="3"/>
        <w:rPr>
          <w:rFonts w:ascii="Times New Roman" w:eastAsia="Times New Roman" w:hAnsi="Times New Roman" w:cs="Times New Roman"/>
          <w:b/>
          <w:bCs/>
          <w:kern w:val="0"/>
          <w:sz w:val="24"/>
          <w:szCs w:val="24"/>
          <w14:ligatures w14:val="none"/>
        </w:rPr>
      </w:pPr>
      <w:r w:rsidRPr="0009278F">
        <w:rPr>
          <w:rFonts w:ascii="Times New Roman" w:eastAsia="Times New Roman" w:hAnsi="Times New Roman" w:cs="Times New Roman"/>
          <w:b/>
          <w:bCs/>
          <w:kern w:val="0"/>
          <w:sz w:val="24"/>
          <w:szCs w:val="24"/>
          <w14:ligatures w14:val="none"/>
        </w:rPr>
        <w:t>Determination of Liver Function Parameters</w:t>
      </w:r>
    </w:p>
    <w:p w14:paraId="41900885" w14:textId="77777777" w:rsidR="0009278F" w:rsidRPr="0009278F" w:rsidRDefault="0009278F" w:rsidP="0009278F">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09278F">
        <w:rPr>
          <w:rFonts w:ascii="Times New Roman" w:eastAsia="Times New Roman" w:hAnsi="Times New Roman" w:cs="Times New Roman"/>
          <w:kern w:val="0"/>
          <w:sz w:val="24"/>
          <w:szCs w:val="24"/>
          <w14:ligatures w14:val="none"/>
        </w:rPr>
        <w:t>Serum enzyme markers of liver function, including bilirubin, aspartate aminotransferase (AST), and alanine aminotransferase (ALT), were quantified using commercially available diagnostic kits (Tietz et al., 2012).</w:t>
      </w:r>
    </w:p>
    <w:p w14:paraId="4DA39B7A" w14:textId="77777777" w:rsidR="0009278F" w:rsidRPr="0009278F" w:rsidRDefault="0009278F" w:rsidP="0009278F">
      <w:pPr>
        <w:spacing w:before="100" w:beforeAutospacing="1" w:after="100" w:afterAutospacing="1" w:line="360" w:lineRule="auto"/>
        <w:jc w:val="both"/>
        <w:outlineLvl w:val="3"/>
        <w:rPr>
          <w:rFonts w:ascii="Times New Roman" w:eastAsia="Times New Roman" w:hAnsi="Times New Roman" w:cs="Times New Roman"/>
          <w:b/>
          <w:bCs/>
          <w:kern w:val="0"/>
          <w:sz w:val="24"/>
          <w:szCs w:val="24"/>
          <w14:ligatures w14:val="none"/>
        </w:rPr>
      </w:pPr>
      <w:r w:rsidRPr="0009278F">
        <w:rPr>
          <w:rFonts w:ascii="Times New Roman" w:eastAsia="Times New Roman" w:hAnsi="Times New Roman" w:cs="Times New Roman"/>
          <w:b/>
          <w:bCs/>
          <w:kern w:val="0"/>
          <w:sz w:val="24"/>
          <w:szCs w:val="24"/>
          <w14:ligatures w14:val="none"/>
        </w:rPr>
        <w:t>Aspartate Aminotransferase (AST) Estimation</w:t>
      </w:r>
    </w:p>
    <w:p w14:paraId="189063E6" w14:textId="77777777" w:rsidR="0009278F" w:rsidRPr="0009278F" w:rsidRDefault="0009278F" w:rsidP="0009278F">
      <w:pPr>
        <w:spacing w:before="100" w:beforeAutospacing="1" w:after="100" w:afterAutospacing="1" w:line="360" w:lineRule="auto"/>
        <w:jc w:val="both"/>
        <w:outlineLvl w:val="4"/>
        <w:rPr>
          <w:rFonts w:ascii="Times New Roman" w:eastAsia="Times New Roman" w:hAnsi="Times New Roman" w:cs="Times New Roman"/>
          <w:b/>
          <w:bCs/>
          <w:kern w:val="0"/>
          <w:sz w:val="20"/>
          <w:szCs w:val="20"/>
          <w14:ligatures w14:val="none"/>
        </w:rPr>
      </w:pPr>
      <w:r w:rsidRPr="0009278F">
        <w:rPr>
          <w:rFonts w:ascii="Times New Roman" w:eastAsia="Times New Roman" w:hAnsi="Times New Roman" w:cs="Times New Roman"/>
          <w:b/>
          <w:bCs/>
          <w:kern w:val="0"/>
          <w:sz w:val="20"/>
          <w:szCs w:val="20"/>
          <w14:ligatures w14:val="none"/>
        </w:rPr>
        <w:t>Principle</w:t>
      </w:r>
    </w:p>
    <w:p w14:paraId="76553A74" w14:textId="77777777" w:rsidR="0009278F" w:rsidRPr="0009278F" w:rsidRDefault="0009278F" w:rsidP="0009278F">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09278F">
        <w:rPr>
          <w:rFonts w:ascii="Times New Roman" w:eastAsia="Times New Roman" w:hAnsi="Times New Roman" w:cs="Times New Roman"/>
          <w:kern w:val="0"/>
          <w:sz w:val="24"/>
          <w:szCs w:val="24"/>
          <w14:ligatures w14:val="none"/>
        </w:rPr>
        <w:t>AST catalyzes the transfer of an amino group from L-aspartate to 2-oxoglutarate, producing oxaloacetate and L-glutamate. In the presence of NADH and malate dehydrogenase (MDH), oxaloacetate is reduced to L-malate, leading to the oxidation of NADH to NAD. The reaction is monitored by measuring the decrease in absorbance at 340 nm due to NADH oxidation. To eliminate interference from endogenous pyruvate, lactate dehydrogenase (LDH) is added to ensure its rapid and complete reduction (Moss, 2009).</w:t>
      </w:r>
    </w:p>
    <w:p w14:paraId="3EB0746B" w14:textId="77777777" w:rsidR="0009278F" w:rsidRPr="0009278F" w:rsidRDefault="0009278F" w:rsidP="0009278F">
      <w:pPr>
        <w:spacing w:before="100" w:beforeAutospacing="1" w:after="100" w:afterAutospacing="1" w:line="360" w:lineRule="auto"/>
        <w:jc w:val="both"/>
        <w:outlineLvl w:val="4"/>
        <w:rPr>
          <w:rFonts w:ascii="Times New Roman" w:eastAsia="Times New Roman" w:hAnsi="Times New Roman" w:cs="Times New Roman"/>
          <w:b/>
          <w:bCs/>
          <w:kern w:val="0"/>
          <w:sz w:val="20"/>
          <w:szCs w:val="20"/>
          <w14:ligatures w14:val="none"/>
        </w:rPr>
      </w:pPr>
      <w:r w:rsidRPr="0009278F">
        <w:rPr>
          <w:rFonts w:ascii="Times New Roman" w:eastAsia="Times New Roman" w:hAnsi="Times New Roman" w:cs="Times New Roman"/>
          <w:b/>
          <w:bCs/>
          <w:kern w:val="0"/>
          <w:sz w:val="20"/>
          <w:szCs w:val="20"/>
          <w14:ligatures w14:val="none"/>
        </w:rPr>
        <w:t>Procedure</w:t>
      </w:r>
    </w:p>
    <w:p w14:paraId="126F0584" w14:textId="77777777" w:rsidR="0009278F" w:rsidRPr="0009278F" w:rsidRDefault="0009278F" w:rsidP="0009278F">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09278F">
        <w:rPr>
          <w:rFonts w:ascii="Times New Roman" w:eastAsia="Times New Roman" w:hAnsi="Times New Roman" w:cs="Times New Roman"/>
          <w:kern w:val="0"/>
          <w:sz w:val="24"/>
          <w:szCs w:val="24"/>
          <w14:ligatures w14:val="none"/>
        </w:rPr>
        <w:t>A 500 µL aliquot of the working reagent (AST enzyme and substrate reagent) was mixed with 50 µL of the sample. The initial absorbance was recorded at 340 nm after one minute, and subsequent readings were taken every one and two minutes. The mean absorbance change was calculated for further analysis.</w:t>
      </w:r>
    </w:p>
    <w:p w14:paraId="3B594A03" w14:textId="77777777" w:rsidR="00D6286F" w:rsidRDefault="00D6286F" w:rsidP="0009278F">
      <w:pPr>
        <w:spacing w:before="100" w:beforeAutospacing="1" w:after="100" w:afterAutospacing="1" w:line="360" w:lineRule="auto"/>
        <w:jc w:val="both"/>
        <w:outlineLvl w:val="3"/>
        <w:rPr>
          <w:rFonts w:ascii="Times New Roman" w:eastAsia="Times New Roman" w:hAnsi="Times New Roman" w:cs="Times New Roman"/>
          <w:b/>
          <w:bCs/>
          <w:kern w:val="0"/>
          <w:sz w:val="24"/>
          <w:szCs w:val="24"/>
          <w14:ligatures w14:val="none"/>
        </w:rPr>
      </w:pPr>
    </w:p>
    <w:p w14:paraId="483347DC" w14:textId="2A0FCDDC" w:rsidR="0009278F" w:rsidRPr="0009278F" w:rsidRDefault="0009278F" w:rsidP="0009278F">
      <w:pPr>
        <w:spacing w:before="100" w:beforeAutospacing="1" w:after="100" w:afterAutospacing="1" w:line="360" w:lineRule="auto"/>
        <w:jc w:val="both"/>
        <w:outlineLvl w:val="3"/>
        <w:rPr>
          <w:rFonts w:ascii="Times New Roman" w:eastAsia="Times New Roman" w:hAnsi="Times New Roman" w:cs="Times New Roman"/>
          <w:b/>
          <w:bCs/>
          <w:kern w:val="0"/>
          <w:sz w:val="24"/>
          <w:szCs w:val="24"/>
          <w14:ligatures w14:val="none"/>
        </w:rPr>
      </w:pPr>
      <w:r w:rsidRPr="0009278F">
        <w:rPr>
          <w:rFonts w:ascii="Times New Roman" w:eastAsia="Times New Roman" w:hAnsi="Times New Roman" w:cs="Times New Roman"/>
          <w:b/>
          <w:bCs/>
          <w:kern w:val="0"/>
          <w:sz w:val="24"/>
          <w:szCs w:val="24"/>
          <w14:ligatures w14:val="none"/>
        </w:rPr>
        <w:t>Alanine Aminotransferase (ALT) Estimation</w:t>
      </w:r>
    </w:p>
    <w:p w14:paraId="72589185" w14:textId="77777777" w:rsidR="0009278F" w:rsidRPr="0009278F" w:rsidRDefault="0009278F" w:rsidP="0009278F">
      <w:pPr>
        <w:spacing w:before="100" w:beforeAutospacing="1" w:after="100" w:afterAutospacing="1" w:line="360" w:lineRule="auto"/>
        <w:jc w:val="both"/>
        <w:outlineLvl w:val="4"/>
        <w:rPr>
          <w:rFonts w:ascii="Times New Roman" w:eastAsia="Times New Roman" w:hAnsi="Times New Roman" w:cs="Times New Roman"/>
          <w:b/>
          <w:bCs/>
          <w:kern w:val="0"/>
          <w:sz w:val="20"/>
          <w:szCs w:val="20"/>
          <w14:ligatures w14:val="none"/>
        </w:rPr>
      </w:pPr>
      <w:r w:rsidRPr="0009278F">
        <w:rPr>
          <w:rFonts w:ascii="Times New Roman" w:eastAsia="Times New Roman" w:hAnsi="Times New Roman" w:cs="Times New Roman"/>
          <w:b/>
          <w:bCs/>
          <w:kern w:val="0"/>
          <w:sz w:val="20"/>
          <w:szCs w:val="20"/>
          <w14:ligatures w14:val="none"/>
        </w:rPr>
        <w:t>Principle</w:t>
      </w:r>
    </w:p>
    <w:p w14:paraId="4AD389E9" w14:textId="77777777" w:rsidR="0009278F" w:rsidRPr="0009278F" w:rsidRDefault="0009278F" w:rsidP="0009278F">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09278F">
        <w:rPr>
          <w:rFonts w:ascii="Times New Roman" w:eastAsia="Times New Roman" w:hAnsi="Times New Roman" w:cs="Times New Roman"/>
          <w:kern w:val="0"/>
          <w:sz w:val="24"/>
          <w:szCs w:val="24"/>
          <w14:ligatures w14:val="none"/>
        </w:rPr>
        <w:t>ALT catalyzes the transfer of an amino group from alanine to 2-oxoglutarate, producing pyruvate and L-glutamate. Pyruvate is subsequently reduced to lactate by LDH in the reagent, with the simultaneous oxidation of NADH to NAD. The reaction progress is monitored by measuring the rate of decrease in absorbance at 340 nm. To prevent interference from endogenous pyruvate, LDH rapidly reduces it during the initial incubation period (Evans, 2009).</w:t>
      </w:r>
    </w:p>
    <w:p w14:paraId="305E8D62" w14:textId="77777777" w:rsidR="0009278F" w:rsidRPr="0009278F" w:rsidRDefault="0009278F" w:rsidP="0009278F">
      <w:pPr>
        <w:spacing w:before="100" w:beforeAutospacing="1" w:after="100" w:afterAutospacing="1" w:line="360" w:lineRule="auto"/>
        <w:jc w:val="both"/>
        <w:outlineLvl w:val="4"/>
        <w:rPr>
          <w:rFonts w:ascii="Times New Roman" w:eastAsia="Times New Roman" w:hAnsi="Times New Roman" w:cs="Times New Roman"/>
          <w:b/>
          <w:bCs/>
          <w:kern w:val="0"/>
          <w:sz w:val="20"/>
          <w:szCs w:val="20"/>
          <w14:ligatures w14:val="none"/>
        </w:rPr>
      </w:pPr>
      <w:r w:rsidRPr="0009278F">
        <w:rPr>
          <w:rFonts w:ascii="Times New Roman" w:eastAsia="Times New Roman" w:hAnsi="Times New Roman" w:cs="Times New Roman"/>
          <w:b/>
          <w:bCs/>
          <w:kern w:val="0"/>
          <w:sz w:val="20"/>
          <w:szCs w:val="20"/>
          <w14:ligatures w14:val="none"/>
        </w:rPr>
        <w:t>Procedure</w:t>
      </w:r>
    </w:p>
    <w:p w14:paraId="3662A4FF" w14:textId="41018C68" w:rsidR="0009278F" w:rsidRPr="0009278F" w:rsidRDefault="0009278F" w:rsidP="0009278F">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09278F">
        <w:rPr>
          <w:rFonts w:ascii="Times New Roman" w:eastAsia="Times New Roman" w:hAnsi="Times New Roman" w:cs="Times New Roman"/>
          <w:kern w:val="0"/>
          <w:sz w:val="24"/>
          <w:szCs w:val="24"/>
          <w14:ligatures w14:val="none"/>
        </w:rPr>
        <w:t>ALT was measured using both normal and high linear procedures with a 1 cm cuvette at an absorbance of 340 nm. Absorbance readings were taken every</w:t>
      </w:r>
      <w:r>
        <w:rPr>
          <w:rFonts w:ascii="Times New Roman" w:eastAsia="Times New Roman" w:hAnsi="Times New Roman" w:cs="Times New Roman"/>
          <w:kern w:val="0"/>
          <w:sz w:val="24"/>
          <w:szCs w:val="24"/>
          <w14:ligatures w14:val="none"/>
        </w:rPr>
        <w:t xml:space="preserve"> </w:t>
      </w:r>
      <w:r w:rsidRPr="0009278F">
        <w:rPr>
          <w:rFonts w:ascii="Times New Roman" w:eastAsia="Times New Roman" w:hAnsi="Times New Roman" w:cs="Times New Roman"/>
          <w:kern w:val="0"/>
          <w:sz w:val="24"/>
          <w:szCs w:val="24"/>
          <w14:ligatures w14:val="none"/>
        </w:rPr>
        <w:t>one and two minutes, and the mean absorbance change was calculated for analysis.</w:t>
      </w:r>
    </w:p>
    <w:p w14:paraId="2AB109E8" w14:textId="77777777" w:rsidR="00D03F8E" w:rsidRPr="005954ED" w:rsidRDefault="00D03F8E" w:rsidP="00D03F8E">
      <w:pPr>
        <w:pStyle w:val="s5"/>
        <w:spacing w:before="0" w:beforeAutospacing="0" w:after="0" w:afterAutospacing="0" w:line="480" w:lineRule="auto"/>
        <w:jc w:val="both"/>
        <w:rPr>
          <w:rStyle w:val="bumpedfont15"/>
        </w:rPr>
      </w:pPr>
      <w:r w:rsidRPr="005954ED">
        <w:rPr>
          <w:rStyle w:val="bumpedfont15"/>
        </w:rPr>
        <w:t>Calculations of ALT</w:t>
      </w:r>
    </w:p>
    <w:p w14:paraId="64D5CCCA" w14:textId="77777777" w:rsidR="00D03F8E" w:rsidRPr="005954ED" w:rsidRDefault="00D03F8E" w:rsidP="00D03F8E">
      <w:pPr>
        <w:pStyle w:val="s5"/>
        <w:spacing w:before="0" w:beforeAutospacing="0" w:after="0" w:afterAutospacing="0"/>
        <w:jc w:val="both"/>
      </w:pPr>
      <w:r w:rsidRPr="005954ED">
        <w:rPr>
          <w:rStyle w:val="bumpedfont15"/>
        </w:rPr>
        <w:t>Normal procedure factor:</w:t>
      </w:r>
    </w:p>
    <w:p w14:paraId="791E5FF9" w14:textId="77777777" w:rsidR="00D03F8E" w:rsidRPr="005954ED" w:rsidRDefault="00D03F8E" w:rsidP="00D03F8E">
      <w:pPr>
        <w:pStyle w:val="s5"/>
        <w:spacing w:before="0" w:beforeAutospacing="0" w:after="0" w:afterAutospacing="0"/>
        <w:ind w:left="2160" w:firstLine="720"/>
        <w:jc w:val="both"/>
      </w:pPr>
      <m:oMath>
        <m:r>
          <w:rPr>
            <w:rFonts w:ascii="Cambria Math" w:hAnsi="Cambria Math"/>
          </w:rPr>
          <m:t xml:space="preserve">ALT activity </m:t>
        </m:r>
        <m:d>
          <m:dPr>
            <m:ctrlPr>
              <w:rPr>
                <w:rFonts w:ascii="Cambria Math" w:hAnsi="Cambria Math"/>
                <w:i/>
              </w:rPr>
            </m:ctrlPr>
          </m:dPr>
          <m:e>
            <m:f>
              <m:fPr>
                <m:ctrlPr>
                  <w:rPr>
                    <w:rFonts w:ascii="Cambria Math" w:hAnsi="Cambria Math"/>
                    <w:i/>
                  </w:rPr>
                </m:ctrlPr>
              </m:fPr>
              <m:num>
                <m:r>
                  <w:rPr>
                    <w:rFonts w:ascii="Cambria Math" w:hAnsi="Cambria Math"/>
                  </w:rPr>
                  <m:t>U</m:t>
                </m:r>
              </m:num>
              <m:den>
                <m:r>
                  <w:rPr>
                    <w:rFonts w:ascii="Cambria Math" w:hAnsi="Cambria Math"/>
                  </w:rPr>
                  <m:t>L</m:t>
                </m:r>
              </m:den>
            </m:f>
          </m:e>
        </m:d>
        <m:r>
          <w:rPr>
            <w:rFonts w:ascii="Cambria Math" w:hAnsi="Cambria Math"/>
          </w:rPr>
          <m:t xml:space="preserve">= </m:t>
        </m:r>
        <m:r>
          <m:rPr>
            <m:sty m:val="p"/>
          </m:rPr>
          <w:rPr>
            <w:rStyle w:val="bumpedfont15"/>
            <w:rFonts w:ascii="Cambria Math" w:hAnsi="Cambria Math"/>
          </w:rPr>
          <m:t>Δ(A/min) ×1746</m:t>
        </m:r>
      </m:oMath>
      <w:r w:rsidRPr="005954ED">
        <w:t>=</w:t>
      </w:r>
    </w:p>
    <w:p w14:paraId="1D54BBFC" w14:textId="77777777" w:rsidR="00D03F8E" w:rsidRPr="005954ED" w:rsidRDefault="00D03F8E" w:rsidP="00D03F8E">
      <w:pPr>
        <w:pStyle w:val="s5"/>
        <w:spacing w:before="0" w:beforeAutospacing="0" w:after="0" w:afterAutospacing="0"/>
        <w:jc w:val="both"/>
        <w:rPr>
          <w:rStyle w:val="bumpedfont15"/>
        </w:rPr>
      </w:pPr>
    </w:p>
    <w:p w14:paraId="56BC7502" w14:textId="77777777" w:rsidR="00D03F8E" w:rsidRPr="005954ED" w:rsidRDefault="00D03F8E" w:rsidP="00D03F8E">
      <w:pPr>
        <w:pStyle w:val="s5"/>
        <w:spacing w:before="0" w:beforeAutospacing="0" w:after="0" w:afterAutospacing="0"/>
        <w:jc w:val="both"/>
        <w:rPr>
          <w:rStyle w:val="bumpedfont15"/>
        </w:rPr>
      </w:pPr>
      <w:r w:rsidRPr="005954ED">
        <w:rPr>
          <w:rStyle w:val="bumpedfont15"/>
        </w:rPr>
        <w:t>High linear procedure factor:</w:t>
      </w:r>
    </w:p>
    <w:p w14:paraId="16E1ABFD" w14:textId="77777777" w:rsidR="00050EF7" w:rsidRPr="005954ED" w:rsidRDefault="00D03F8E" w:rsidP="00D03F8E">
      <w:pPr>
        <w:pStyle w:val="s5"/>
        <w:spacing w:before="0" w:beforeAutospacing="0" w:after="0" w:afterAutospacing="0"/>
        <w:jc w:val="both"/>
      </w:pPr>
      <m:oMathPara>
        <m:oMath>
          <m:r>
            <w:rPr>
              <w:rFonts w:ascii="Cambria Math" w:hAnsi="Cambria Math"/>
            </w:rPr>
            <m:t xml:space="preserve">ALT activity </m:t>
          </m:r>
          <m:d>
            <m:dPr>
              <m:ctrlPr>
                <w:rPr>
                  <w:rFonts w:ascii="Cambria Math" w:hAnsi="Cambria Math"/>
                  <w:i/>
                </w:rPr>
              </m:ctrlPr>
            </m:dPr>
            <m:e>
              <m:f>
                <m:fPr>
                  <m:ctrlPr>
                    <w:rPr>
                      <w:rFonts w:ascii="Cambria Math" w:hAnsi="Cambria Math"/>
                      <w:i/>
                    </w:rPr>
                  </m:ctrlPr>
                </m:fPr>
                <m:num>
                  <m:r>
                    <w:rPr>
                      <w:rFonts w:ascii="Cambria Math" w:hAnsi="Cambria Math"/>
                    </w:rPr>
                    <m:t>U</m:t>
                  </m:r>
                </m:num>
                <m:den>
                  <m:r>
                    <w:rPr>
                      <w:rFonts w:ascii="Cambria Math" w:hAnsi="Cambria Math"/>
                    </w:rPr>
                    <m:t>L</m:t>
                  </m:r>
                </m:den>
              </m:f>
            </m:e>
          </m:d>
          <m:r>
            <w:rPr>
              <w:rFonts w:ascii="Cambria Math" w:hAnsi="Cambria Math"/>
            </w:rPr>
            <m:t>=</m:t>
          </m:r>
          <m:r>
            <m:rPr>
              <m:sty m:val="p"/>
            </m:rPr>
            <w:rPr>
              <w:rStyle w:val="bumpedfont15"/>
              <w:rFonts w:ascii="Cambria Math" w:hAnsi="Cambria Math"/>
            </w:rPr>
            <m:t>Δ</m:t>
          </m:r>
          <m:r>
            <m:rPr>
              <m:sty m:val="p"/>
            </m:rPr>
            <w:rPr>
              <w:rStyle w:val="bumpedfont15"/>
              <w:rFonts w:ascii="Cambria Math"/>
            </w:rPr>
            <m:t>(A/min</m:t>
          </m:r>
          <m:r>
            <m:rPr>
              <m:sty m:val="p"/>
            </m:rPr>
            <w:rPr>
              <w:rStyle w:val="bumpedfont15"/>
              <w:rFonts w:ascii="Cambria Math"/>
            </w:rPr>
            <m:t>⁡</m:t>
          </m:r>
          <m:r>
            <m:rPr>
              <m:sty m:val="p"/>
            </m:rPr>
            <w:rPr>
              <w:rStyle w:val="bumpedfont15"/>
              <w:rFonts w:ascii="Cambria Math"/>
            </w:rPr>
            <m:t xml:space="preserve"> )</m:t>
          </m:r>
          <m:r>
            <w:rPr>
              <w:rFonts w:ascii="Cambria Math" w:hAnsi="Cambria Math"/>
            </w:rPr>
            <m:t xml:space="preserve">x 8199 </m:t>
          </m:r>
        </m:oMath>
      </m:oMathPara>
    </w:p>
    <w:p w14:paraId="6A8FCFB7" w14:textId="77777777" w:rsidR="00D03F8E" w:rsidRPr="005954ED" w:rsidRDefault="00D03F8E" w:rsidP="00D03F8E">
      <w:pPr>
        <w:pStyle w:val="s5"/>
        <w:spacing w:before="0" w:beforeAutospacing="0" w:after="0" w:afterAutospacing="0"/>
        <w:jc w:val="both"/>
        <w:rPr>
          <w:rStyle w:val="bumpedfont15"/>
        </w:rPr>
      </w:pPr>
    </w:p>
    <w:p w14:paraId="10231078" w14:textId="77777777" w:rsidR="00A425B4" w:rsidRPr="00A425B4" w:rsidRDefault="00A425B4" w:rsidP="00A425B4">
      <w:pPr>
        <w:spacing w:before="100" w:beforeAutospacing="1" w:after="100" w:afterAutospacing="1" w:line="360" w:lineRule="auto"/>
        <w:jc w:val="both"/>
        <w:outlineLvl w:val="2"/>
        <w:rPr>
          <w:rFonts w:ascii="Times New Roman" w:eastAsia="Times New Roman" w:hAnsi="Times New Roman" w:cs="Times New Roman"/>
          <w:b/>
          <w:bCs/>
          <w:kern w:val="0"/>
          <w:sz w:val="27"/>
          <w:szCs w:val="27"/>
          <w14:ligatures w14:val="none"/>
        </w:rPr>
      </w:pPr>
      <w:r w:rsidRPr="00A425B4">
        <w:rPr>
          <w:rFonts w:ascii="Times New Roman" w:eastAsia="Times New Roman" w:hAnsi="Times New Roman" w:cs="Times New Roman"/>
          <w:b/>
          <w:bCs/>
          <w:kern w:val="0"/>
          <w:sz w:val="27"/>
          <w:szCs w:val="27"/>
          <w14:ligatures w14:val="none"/>
        </w:rPr>
        <w:t>Histopathological and Immunohistochemical Analysis of Liver Samples</w:t>
      </w:r>
    </w:p>
    <w:p w14:paraId="2C3B764E" w14:textId="77777777" w:rsidR="00A425B4" w:rsidRPr="00A425B4" w:rsidRDefault="00A425B4" w:rsidP="00A425B4">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A425B4">
        <w:rPr>
          <w:rFonts w:ascii="Times New Roman" w:eastAsia="Times New Roman" w:hAnsi="Times New Roman" w:cs="Times New Roman"/>
          <w:b/>
          <w:bCs/>
          <w:kern w:val="0"/>
          <w:sz w:val="24"/>
          <w:szCs w:val="24"/>
          <w14:ligatures w14:val="none"/>
        </w:rPr>
        <w:t>Histopathological Examination</w:t>
      </w:r>
    </w:p>
    <w:p w14:paraId="00365659" w14:textId="77777777" w:rsidR="00A425B4" w:rsidRPr="00A425B4" w:rsidRDefault="00A425B4" w:rsidP="00A425B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5B4">
        <w:rPr>
          <w:rFonts w:ascii="Times New Roman" w:eastAsia="Times New Roman" w:hAnsi="Times New Roman" w:cs="Times New Roman"/>
          <w:kern w:val="0"/>
          <w:sz w:val="24"/>
          <w:szCs w:val="24"/>
          <w14:ligatures w14:val="none"/>
        </w:rPr>
        <w:t>For histopathological analysis, male Wistar rats from all experimental groups were humanely sacrificed via cervical dislocation. The liver tissues were excised, washed in 0.9% saline solution, and fixed in 10% buffered formalin for 48 hours to preserve tissue integrity and assess drug-induced damage using hematoxylin and eosin (H&amp;E) staining (Saccomano, 2019).</w:t>
      </w:r>
    </w:p>
    <w:p w14:paraId="3F9B36CD" w14:textId="77777777" w:rsidR="00A425B4" w:rsidRPr="00A425B4" w:rsidRDefault="00A425B4" w:rsidP="00A425B4">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A425B4">
        <w:rPr>
          <w:rFonts w:ascii="Times New Roman" w:eastAsia="Times New Roman" w:hAnsi="Times New Roman" w:cs="Times New Roman"/>
          <w:b/>
          <w:bCs/>
          <w:kern w:val="0"/>
          <w:sz w:val="24"/>
          <w:szCs w:val="24"/>
          <w14:ligatures w14:val="none"/>
        </w:rPr>
        <w:t>Tissue Processing</w:t>
      </w:r>
    </w:p>
    <w:p w14:paraId="241B5F3F" w14:textId="7ADC2C15" w:rsidR="00A425B4" w:rsidRPr="00A425B4" w:rsidRDefault="00A425B4" w:rsidP="00A425B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5B4">
        <w:rPr>
          <w:rFonts w:ascii="Times New Roman" w:eastAsia="Times New Roman" w:hAnsi="Times New Roman" w:cs="Times New Roman"/>
          <w:kern w:val="0"/>
          <w:sz w:val="24"/>
          <w:szCs w:val="24"/>
          <w14:ligatures w14:val="none"/>
        </w:rPr>
        <w:t>Liver tissues were observed, cut into small pieces (≤4 mm thick), and placed in pre-labeled cassettes. These samples were further immersed in 10% formal saline for 24 hours for fixation. Tissue processing was performed using an automated tissue processor (Leica TP 1020). The samples passed through the following reagents:Fixation: 10% formal saline (stations 1 &amp; 2). Dehydration: Alcohol solutions (70%, 80%, 90%, 95%, absolute I &amp; II) (stations 3–7). Clearing: Xylene (stations 8 &amp; 9). Infiltration: Three wax baths. The process ran for 12 hours, with tissues remaining in each station for one hour.</w:t>
      </w:r>
    </w:p>
    <w:p w14:paraId="4921CB07" w14:textId="77777777" w:rsidR="00A425B4" w:rsidRPr="00A425B4" w:rsidRDefault="00A425B4" w:rsidP="00A425B4">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A425B4">
        <w:rPr>
          <w:rFonts w:ascii="Times New Roman" w:eastAsia="Times New Roman" w:hAnsi="Times New Roman" w:cs="Times New Roman"/>
          <w:b/>
          <w:bCs/>
          <w:kern w:val="0"/>
          <w:sz w:val="24"/>
          <w:szCs w:val="24"/>
          <w14:ligatures w14:val="none"/>
        </w:rPr>
        <w:t>Embedding and Sectioning</w:t>
      </w:r>
    </w:p>
    <w:p w14:paraId="3076AEE6" w14:textId="77777777" w:rsidR="00A425B4" w:rsidRPr="00A425B4" w:rsidRDefault="00A425B4" w:rsidP="00A425B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5B4">
        <w:rPr>
          <w:rFonts w:ascii="Times New Roman" w:eastAsia="Times New Roman" w:hAnsi="Times New Roman" w:cs="Times New Roman"/>
          <w:kern w:val="0"/>
          <w:sz w:val="24"/>
          <w:szCs w:val="24"/>
          <w14:ligatures w14:val="none"/>
        </w:rPr>
        <w:t>Processed tissues were embedded in paraffin wax to provide solid support using a semi-automatic embedding center. The molten paraffin was dispensed into metal molds, and tissues were oriented, labeled, and transferred to a cold plate for solidification. The resulting tissue blocks were sectioned at 4 µm thickness using a rotary microtome. The ribbon sections were floated on a 55°C water bath (Raymond Lamb) and mounted onto clean labeled slides.</w:t>
      </w:r>
    </w:p>
    <w:p w14:paraId="542081D9" w14:textId="77777777" w:rsidR="00A425B4" w:rsidRPr="00A425B4" w:rsidRDefault="00A425B4" w:rsidP="00A425B4">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A425B4">
        <w:rPr>
          <w:rFonts w:ascii="Times New Roman" w:eastAsia="Times New Roman" w:hAnsi="Times New Roman" w:cs="Times New Roman"/>
          <w:b/>
          <w:bCs/>
          <w:kern w:val="0"/>
          <w:sz w:val="24"/>
          <w:szCs w:val="24"/>
          <w14:ligatures w14:val="none"/>
        </w:rPr>
        <w:t>Hematoxylin and Eosin (H&amp;E) Staining Procedure</w:t>
      </w:r>
    </w:p>
    <w:p w14:paraId="7E2248EE" w14:textId="77777777" w:rsidR="00A425B4" w:rsidRPr="00A425B4" w:rsidRDefault="00A425B4" w:rsidP="00A425B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5B4">
        <w:rPr>
          <w:rFonts w:ascii="Times New Roman" w:eastAsia="Times New Roman" w:hAnsi="Times New Roman" w:cs="Times New Roman"/>
          <w:kern w:val="0"/>
          <w:sz w:val="24"/>
          <w:szCs w:val="24"/>
          <w14:ligatures w14:val="none"/>
        </w:rPr>
        <w:t>The slides were deparaffinized in xylene for 15 minutes, then rehydrated through absolute alcohol (95% and 70%), followed by rinsing in water. Samples were stained in Harris hematoxylin for 5 minutes, rinsed, and briefly differentiated in 1% acid alcohol. Bluing was performed under running tap water for 10 minutes. The sections were counterstained with 1% aqueous eosin for 2 minutes, dehydrated through ascending alcohol grades, cleared in xylene, and mounted in DPX. Under microscopy, nuclei appeared blue, while cytoplasm appeared pink.</w:t>
      </w:r>
    </w:p>
    <w:p w14:paraId="0454D045" w14:textId="77777777" w:rsidR="00A425B4" w:rsidRPr="00A425B4" w:rsidRDefault="00C651EB" w:rsidP="00A425B4">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noProof/>
          <w:kern w:val="0"/>
          <w:sz w:val="24"/>
          <w:szCs w:val="24"/>
          <w14:ligatures w14:val="none"/>
        </w:rPr>
      </w:r>
      <w:r w:rsidR="00C651EB">
        <w:rPr>
          <w:rFonts w:ascii="Times New Roman" w:eastAsia="Times New Roman" w:hAnsi="Times New Roman" w:cs="Times New Roman"/>
          <w:noProof/>
          <w:kern w:val="0"/>
          <w:sz w:val="24"/>
          <w:szCs w:val="24"/>
          <w14:ligatures w14:val="none"/>
        </w:rPr>
        <w:pict w14:anchorId="4D8865EC">
          <v:rect id="_x0000_i1025" style="width:0;height:1.5pt" o:hralign="center" o:hrstd="t" o:hr="t" fillcolor="#a0a0a0" stroked="f"/>
        </w:pict>
      </w:r>
    </w:p>
    <w:p w14:paraId="44C699A5" w14:textId="77777777" w:rsidR="00A425B4" w:rsidRPr="00A425B4" w:rsidRDefault="00A425B4" w:rsidP="00A425B4">
      <w:pPr>
        <w:spacing w:before="100" w:beforeAutospacing="1" w:after="100" w:afterAutospacing="1" w:line="360" w:lineRule="auto"/>
        <w:jc w:val="both"/>
        <w:outlineLvl w:val="2"/>
        <w:rPr>
          <w:rFonts w:ascii="Times New Roman" w:eastAsia="Times New Roman" w:hAnsi="Times New Roman" w:cs="Times New Roman"/>
          <w:b/>
          <w:bCs/>
          <w:kern w:val="0"/>
          <w:sz w:val="27"/>
          <w:szCs w:val="27"/>
          <w14:ligatures w14:val="none"/>
        </w:rPr>
      </w:pPr>
      <w:r w:rsidRPr="00A425B4">
        <w:rPr>
          <w:rFonts w:ascii="Times New Roman" w:eastAsia="Times New Roman" w:hAnsi="Times New Roman" w:cs="Times New Roman"/>
          <w:b/>
          <w:bCs/>
          <w:kern w:val="0"/>
          <w:sz w:val="27"/>
          <w:szCs w:val="27"/>
          <w14:ligatures w14:val="none"/>
        </w:rPr>
        <w:t>Immunohistochemical Analysis</w:t>
      </w:r>
    </w:p>
    <w:p w14:paraId="120119B9" w14:textId="77777777" w:rsidR="00A425B4" w:rsidRPr="00A425B4" w:rsidRDefault="00A425B4" w:rsidP="00A425B4">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A425B4">
        <w:rPr>
          <w:rFonts w:ascii="Times New Roman" w:eastAsia="Times New Roman" w:hAnsi="Times New Roman" w:cs="Times New Roman"/>
          <w:kern w:val="0"/>
          <w:sz w:val="24"/>
          <w:szCs w:val="24"/>
          <w14:ligatures w14:val="none"/>
        </w:rPr>
        <w:t>For immunohistochemical staining, formalin-fixed, paraffin-embedded tissue sections were deparaffinized in xylene (twice for 5 minutes each), followed by sequential hydration in 100%, 95%, and 70% alcohol for 3 minutes each. The slides were rinsed in wash buffer (twice for 5 minutes each).</w:t>
      </w:r>
    </w:p>
    <w:p w14:paraId="4F448C52" w14:textId="77777777" w:rsidR="00A425B4" w:rsidRPr="00A425B4" w:rsidRDefault="00A425B4" w:rsidP="00A425B4">
      <w:pPr>
        <w:spacing w:before="100" w:beforeAutospacing="1" w:after="100" w:afterAutospacing="1" w:line="360" w:lineRule="auto"/>
        <w:jc w:val="both"/>
        <w:outlineLvl w:val="3"/>
        <w:rPr>
          <w:rFonts w:ascii="Times New Roman" w:eastAsia="Times New Roman" w:hAnsi="Times New Roman" w:cs="Times New Roman"/>
          <w:b/>
          <w:bCs/>
          <w:kern w:val="0"/>
          <w:sz w:val="24"/>
          <w:szCs w:val="24"/>
          <w14:ligatures w14:val="none"/>
        </w:rPr>
      </w:pPr>
      <w:r w:rsidRPr="00A425B4">
        <w:rPr>
          <w:rFonts w:ascii="Times New Roman" w:eastAsia="Times New Roman" w:hAnsi="Times New Roman" w:cs="Times New Roman"/>
          <w:b/>
          <w:bCs/>
          <w:kern w:val="0"/>
          <w:sz w:val="24"/>
          <w:szCs w:val="24"/>
          <w14:ligatures w14:val="none"/>
        </w:rPr>
        <w:t>Antigen Retrieval and Staining Procedure</w:t>
      </w:r>
    </w:p>
    <w:p w14:paraId="13C815E3" w14:textId="77777777" w:rsidR="00A425B4" w:rsidRPr="00A425B4" w:rsidRDefault="00A425B4" w:rsidP="00A425B4">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A425B4">
        <w:rPr>
          <w:rFonts w:ascii="Times New Roman" w:eastAsia="Times New Roman" w:hAnsi="Times New Roman" w:cs="Times New Roman"/>
          <w:kern w:val="0"/>
          <w:sz w:val="24"/>
          <w:szCs w:val="24"/>
          <w14:ligatures w14:val="none"/>
        </w:rPr>
        <w:t>Antigen retrieval was performed by incubating slides in preheated citrate buffer (pH 6.0) or EDTA buffer (pH 9.0) at 95–100°C for 10–20 minutes. The slides were cooled for 20 minutes and washed twice with buffer. Blocking buffer (10% fetal bovine serum or 3% H₂O₂) was applied for 15 minutes in a humidified chamber. The buffer was drained, and slides were washed before applying 130 µL of primary antibody solution, incubated for one hour at room temperature. After washing, an antibody amplifier and polymer-HRP secondary antibody were applied for 15 minutes. The slides were washed and incubated with a DAB substrate solution (0.05% DAB – 0.015% H₂O₂ in PBS) for color development (&lt;5 minutes). After washing, the slides were counterstained with hematoxylin, rinsed, dehydrated, cleared in xylene, and mounted. The slides were examined under a microscope for antibody-stained tissue sections.</w:t>
      </w:r>
    </w:p>
    <w:p w14:paraId="7DFC4EBF" w14:textId="4E89AEF0" w:rsidR="00A425B4" w:rsidRPr="00A425B4" w:rsidRDefault="00A425B4" w:rsidP="00A425B4">
      <w:pPr>
        <w:spacing w:after="0" w:line="240" w:lineRule="auto"/>
        <w:rPr>
          <w:rFonts w:ascii="Times New Roman" w:eastAsia="Times New Roman" w:hAnsi="Times New Roman" w:cs="Times New Roman"/>
          <w:kern w:val="0"/>
          <w:sz w:val="24"/>
          <w:szCs w:val="24"/>
          <w14:ligatures w14:val="none"/>
        </w:rPr>
      </w:pPr>
    </w:p>
    <w:p w14:paraId="5F33C8A0" w14:textId="77777777" w:rsidR="00A425B4" w:rsidRDefault="00A425B4" w:rsidP="00A425B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20BBC9D6" w14:textId="77777777" w:rsidR="00A425B4" w:rsidRDefault="00A425B4" w:rsidP="00A425B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704C76E8" w14:textId="77777777" w:rsidR="00A425B4" w:rsidRDefault="00A425B4" w:rsidP="00A425B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22DF1413" w14:textId="77777777" w:rsidR="00D6286F" w:rsidRDefault="00D6286F" w:rsidP="00A425B4">
      <w:pPr>
        <w:spacing w:before="100" w:beforeAutospacing="1" w:after="100" w:afterAutospacing="1" w:line="480" w:lineRule="auto"/>
        <w:jc w:val="both"/>
        <w:outlineLvl w:val="2"/>
        <w:rPr>
          <w:rFonts w:ascii="Times New Roman" w:eastAsia="Times New Roman" w:hAnsi="Times New Roman" w:cs="Times New Roman"/>
          <w:b/>
          <w:bCs/>
          <w:kern w:val="0"/>
          <w:sz w:val="27"/>
          <w:szCs w:val="27"/>
          <w14:ligatures w14:val="none"/>
        </w:rPr>
      </w:pPr>
    </w:p>
    <w:p w14:paraId="5365F8CF" w14:textId="6B792DCD" w:rsidR="00A425B4" w:rsidRPr="00A425B4" w:rsidRDefault="00A425B4" w:rsidP="00A425B4">
      <w:pPr>
        <w:spacing w:before="100" w:beforeAutospacing="1" w:after="100" w:afterAutospacing="1" w:line="480" w:lineRule="auto"/>
        <w:jc w:val="both"/>
        <w:outlineLvl w:val="2"/>
        <w:rPr>
          <w:rFonts w:ascii="Times New Roman" w:eastAsia="Times New Roman" w:hAnsi="Times New Roman" w:cs="Times New Roman"/>
          <w:b/>
          <w:bCs/>
          <w:kern w:val="0"/>
          <w:sz w:val="27"/>
          <w:szCs w:val="27"/>
          <w14:ligatures w14:val="none"/>
        </w:rPr>
      </w:pPr>
      <w:r w:rsidRPr="00A425B4">
        <w:rPr>
          <w:rFonts w:ascii="Times New Roman" w:eastAsia="Times New Roman" w:hAnsi="Times New Roman" w:cs="Times New Roman"/>
          <w:b/>
          <w:bCs/>
          <w:kern w:val="0"/>
          <w:sz w:val="27"/>
          <w:szCs w:val="27"/>
          <w14:ligatures w14:val="none"/>
        </w:rPr>
        <w:t>Results</w:t>
      </w:r>
    </w:p>
    <w:p w14:paraId="0A070E1F" w14:textId="77777777" w:rsidR="00A425B4" w:rsidRPr="00A425B4" w:rsidRDefault="00A425B4" w:rsidP="00A425B4">
      <w:pPr>
        <w:spacing w:before="100" w:beforeAutospacing="1" w:after="100" w:afterAutospacing="1" w:line="480" w:lineRule="auto"/>
        <w:jc w:val="both"/>
        <w:outlineLvl w:val="3"/>
        <w:rPr>
          <w:rFonts w:ascii="Times New Roman" w:eastAsia="Times New Roman" w:hAnsi="Times New Roman" w:cs="Times New Roman"/>
          <w:b/>
          <w:bCs/>
          <w:kern w:val="0"/>
          <w:sz w:val="24"/>
          <w:szCs w:val="24"/>
          <w14:ligatures w14:val="none"/>
        </w:rPr>
      </w:pPr>
      <w:r w:rsidRPr="00A425B4">
        <w:rPr>
          <w:rFonts w:ascii="Times New Roman" w:eastAsia="Times New Roman" w:hAnsi="Times New Roman" w:cs="Times New Roman"/>
          <w:b/>
          <w:bCs/>
          <w:kern w:val="0"/>
          <w:sz w:val="24"/>
          <w:szCs w:val="24"/>
          <w14:ligatures w14:val="none"/>
        </w:rPr>
        <w:t xml:space="preserve">Effects of </w:t>
      </w:r>
      <w:r w:rsidRPr="00A425B4">
        <w:rPr>
          <w:rFonts w:ascii="Times New Roman" w:eastAsia="Times New Roman" w:hAnsi="Times New Roman" w:cs="Times New Roman"/>
          <w:b/>
          <w:bCs/>
          <w:i/>
          <w:iCs/>
          <w:kern w:val="0"/>
          <w:sz w:val="24"/>
          <w:szCs w:val="24"/>
          <w14:ligatures w14:val="none"/>
        </w:rPr>
        <w:t>Euphorbia hirta</w:t>
      </w:r>
      <w:r w:rsidRPr="00A425B4">
        <w:rPr>
          <w:rFonts w:ascii="Times New Roman" w:eastAsia="Times New Roman" w:hAnsi="Times New Roman" w:cs="Times New Roman"/>
          <w:b/>
          <w:bCs/>
          <w:kern w:val="0"/>
          <w:sz w:val="24"/>
          <w:szCs w:val="24"/>
          <w14:ligatures w14:val="none"/>
        </w:rPr>
        <w:t xml:space="preserve"> Extract on Paracetamol-Induced Liver Toxicity</w:t>
      </w:r>
    </w:p>
    <w:p w14:paraId="08DC4C0E" w14:textId="7A7E8916" w:rsidR="00A425B4" w:rsidRPr="00A425B4" w:rsidRDefault="00A425B4" w:rsidP="00A425B4">
      <w:pPr>
        <w:spacing w:before="100" w:beforeAutospacing="1" w:after="100" w:afterAutospacing="1" w:line="480" w:lineRule="auto"/>
        <w:jc w:val="both"/>
        <w:rPr>
          <w:rFonts w:ascii="Times New Roman" w:eastAsia="Times New Roman" w:hAnsi="Times New Roman" w:cs="Times New Roman"/>
          <w:kern w:val="0"/>
          <w:sz w:val="24"/>
          <w:szCs w:val="24"/>
          <w14:ligatures w14:val="none"/>
        </w:rPr>
      </w:pPr>
      <w:r w:rsidRPr="00A425B4">
        <w:rPr>
          <w:rFonts w:ascii="Times New Roman" w:eastAsia="Times New Roman" w:hAnsi="Times New Roman" w:cs="Times New Roman"/>
          <w:kern w:val="0"/>
          <w:sz w:val="24"/>
          <w:szCs w:val="24"/>
          <w14:ligatures w14:val="none"/>
        </w:rPr>
        <w:t xml:space="preserve">Table 2 presents the serum activities of aspartate aminotransferase (AST) and alanine aminotransferase (ALT) following paracetamol and </w:t>
      </w:r>
      <w:r w:rsidRPr="00A425B4">
        <w:rPr>
          <w:rFonts w:ascii="Times New Roman" w:eastAsia="Times New Roman" w:hAnsi="Times New Roman" w:cs="Times New Roman"/>
          <w:i/>
          <w:iCs/>
          <w:kern w:val="0"/>
          <w:sz w:val="24"/>
          <w:szCs w:val="24"/>
          <w14:ligatures w14:val="none"/>
        </w:rPr>
        <w:t>Euphorbia hirta</w:t>
      </w:r>
      <w:r w:rsidRPr="00A425B4">
        <w:rPr>
          <w:rFonts w:ascii="Times New Roman" w:eastAsia="Times New Roman" w:hAnsi="Times New Roman" w:cs="Times New Roman"/>
          <w:kern w:val="0"/>
          <w:sz w:val="24"/>
          <w:szCs w:val="24"/>
          <w14:ligatures w14:val="none"/>
        </w:rPr>
        <w:t xml:space="preserve"> extract administration. A significant increase (p &lt; 0.05) in AST and ALT levels was observed in the group administered a toxic dose of paracetamol (150 mg/kg bod</w:t>
      </w:r>
      <w:r w:rsidR="00EA43CA">
        <w:rPr>
          <w:rFonts w:ascii="Times New Roman" w:eastAsia="Times New Roman" w:hAnsi="Times New Roman" w:cs="Times New Roman"/>
          <w:kern w:val="0"/>
          <w:sz w:val="24"/>
          <w:szCs w:val="24"/>
          <w14:ligatures w14:val="none"/>
        </w:rPr>
        <w:t xml:space="preserve">y weight) compared to the </w:t>
      </w:r>
      <w:r w:rsidR="00EA43CA" w:rsidRPr="00EA43CA">
        <w:rPr>
          <w:rFonts w:ascii="Times New Roman" w:eastAsia="Times New Roman" w:hAnsi="Times New Roman" w:cs="Times New Roman"/>
          <w:kern w:val="0"/>
          <w:sz w:val="24"/>
          <w:szCs w:val="24"/>
          <w:highlight w:val="yellow"/>
          <w14:ligatures w14:val="none"/>
        </w:rPr>
        <w:t>negative</w:t>
      </w:r>
      <w:r w:rsidRPr="00EA43CA">
        <w:rPr>
          <w:rFonts w:ascii="Times New Roman" w:eastAsia="Times New Roman" w:hAnsi="Times New Roman" w:cs="Times New Roman"/>
          <w:kern w:val="0"/>
          <w:sz w:val="24"/>
          <w:szCs w:val="24"/>
          <w:highlight w:val="yellow"/>
          <w14:ligatures w14:val="none"/>
        </w:rPr>
        <w:t xml:space="preserve"> control group</w:t>
      </w:r>
      <w:r w:rsidRPr="00A425B4">
        <w:rPr>
          <w:rFonts w:ascii="Times New Roman" w:eastAsia="Times New Roman" w:hAnsi="Times New Roman" w:cs="Times New Roman"/>
          <w:kern w:val="0"/>
          <w:sz w:val="24"/>
          <w:szCs w:val="24"/>
          <w14:ligatures w14:val="none"/>
        </w:rPr>
        <w:t xml:space="preserve">, indicating liver injury. However, no significant (p &gt; 0.05) difference was observed in the serum AST and ALT levels in the group pre-administered </w:t>
      </w:r>
      <w:r w:rsidRPr="00A425B4">
        <w:rPr>
          <w:rFonts w:ascii="Times New Roman" w:eastAsia="Times New Roman" w:hAnsi="Times New Roman" w:cs="Times New Roman"/>
          <w:i/>
          <w:iCs/>
          <w:kern w:val="0"/>
          <w:sz w:val="24"/>
          <w:szCs w:val="24"/>
          <w14:ligatures w14:val="none"/>
        </w:rPr>
        <w:t>Euphorbia hirta</w:t>
      </w:r>
      <w:r w:rsidRPr="00A425B4">
        <w:rPr>
          <w:rFonts w:ascii="Times New Roman" w:eastAsia="Times New Roman" w:hAnsi="Times New Roman" w:cs="Times New Roman"/>
          <w:kern w:val="0"/>
          <w:sz w:val="24"/>
          <w:szCs w:val="24"/>
          <w14:ligatures w14:val="none"/>
        </w:rPr>
        <w:t xml:space="preserve"> extract (250 mg/kg body weight) before paracetamol administration compared to the </w:t>
      </w:r>
      <w:r w:rsidRPr="00EA43CA">
        <w:rPr>
          <w:rFonts w:ascii="Times New Roman" w:eastAsia="Times New Roman" w:hAnsi="Times New Roman" w:cs="Times New Roman"/>
          <w:kern w:val="0"/>
          <w:sz w:val="24"/>
          <w:szCs w:val="24"/>
          <w:highlight w:val="yellow"/>
          <w14:ligatures w14:val="none"/>
        </w:rPr>
        <w:t>n</w:t>
      </w:r>
      <w:r w:rsidR="00EA43CA" w:rsidRPr="00EA43CA">
        <w:rPr>
          <w:rFonts w:ascii="Times New Roman" w:eastAsia="Times New Roman" w:hAnsi="Times New Roman" w:cs="Times New Roman"/>
          <w:kern w:val="0"/>
          <w:sz w:val="24"/>
          <w:szCs w:val="24"/>
          <w:highlight w:val="yellow"/>
          <w14:ligatures w14:val="none"/>
        </w:rPr>
        <w:t>egative</w:t>
      </w:r>
      <w:r w:rsidRPr="00EA43CA">
        <w:rPr>
          <w:rFonts w:ascii="Times New Roman" w:eastAsia="Times New Roman" w:hAnsi="Times New Roman" w:cs="Times New Roman"/>
          <w:kern w:val="0"/>
          <w:sz w:val="24"/>
          <w:szCs w:val="24"/>
          <w:highlight w:val="yellow"/>
          <w14:ligatures w14:val="none"/>
        </w:rPr>
        <w:t xml:space="preserve"> control group.</w:t>
      </w:r>
      <w:r w:rsidRPr="00A425B4">
        <w:rPr>
          <w:rFonts w:ascii="Times New Roman" w:eastAsia="Times New Roman" w:hAnsi="Times New Roman" w:cs="Times New Roman"/>
          <w:kern w:val="0"/>
          <w:sz w:val="24"/>
          <w:szCs w:val="24"/>
          <w14:ligatures w14:val="none"/>
        </w:rPr>
        <w:t xml:space="preserve"> This suggests that </w:t>
      </w:r>
      <w:r w:rsidRPr="00A425B4">
        <w:rPr>
          <w:rFonts w:ascii="Times New Roman" w:eastAsia="Times New Roman" w:hAnsi="Times New Roman" w:cs="Times New Roman"/>
          <w:i/>
          <w:iCs/>
          <w:kern w:val="0"/>
          <w:sz w:val="24"/>
          <w:szCs w:val="24"/>
          <w14:ligatures w14:val="none"/>
        </w:rPr>
        <w:t>E. hirta</w:t>
      </w:r>
      <w:r w:rsidRPr="00A425B4">
        <w:rPr>
          <w:rFonts w:ascii="Times New Roman" w:eastAsia="Times New Roman" w:hAnsi="Times New Roman" w:cs="Times New Roman"/>
          <w:kern w:val="0"/>
          <w:sz w:val="24"/>
          <w:szCs w:val="24"/>
          <w14:ligatures w14:val="none"/>
        </w:rPr>
        <w:t xml:space="preserve"> extract exhibited hepatoprotective effects by preventing liver enzyme elevation, thereby mitigating hepatotoxicity.</w:t>
      </w:r>
    </w:p>
    <w:p w14:paraId="35C0E8DF" w14:textId="77777777" w:rsidR="0003622C" w:rsidRPr="005954ED" w:rsidRDefault="00D03F8E" w:rsidP="00D03F8E">
      <w:pPr>
        <w:spacing w:after="0" w:line="240" w:lineRule="auto"/>
        <w:jc w:val="both"/>
        <w:rPr>
          <w:rFonts w:ascii="Times New Roman" w:hAnsi="Times New Roman" w:cs="Times New Roman"/>
          <w:b/>
          <w:bCs/>
          <w:sz w:val="24"/>
          <w:szCs w:val="24"/>
        </w:rPr>
      </w:pPr>
      <w:r w:rsidRPr="005954ED">
        <w:rPr>
          <w:rFonts w:ascii="Times New Roman" w:hAnsi="Times New Roman" w:cs="Times New Roman"/>
          <w:b/>
          <w:bCs/>
          <w:sz w:val="24"/>
          <w:szCs w:val="24"/>
        </w:rPr>
        <w:t xml:space="preserve">Table </w:t>
      </w:r>
      <w:r w:rsidR="0003622C" w:rsidRPr="005954ED">
        <w:rPr>
          <w:rFonts w:ascii="Times New Roman" w:hAnsi="Times New Roman" w:cs="Times New Roman"/>
          <w:b/>
          <w:bCs/>
          <w:sz w:val="24"/>
          <w:szCs w:val="24"/>
        </w:rPr>
        <w:t xml:space="preserve">2 Effects of Paracetamol on selected hepatic parameters of rats treated with aqueous extracts of </w:t>
      </w:r>
      <w:r w:rsidR="0003622C" w:rsidRPr="005954ED">
        <w:rPr>
          <w:rFonts w:ascii="Times New Roman" w:hAnsi="Times New Roman" w:cs="Times New Roman"/>
          <w:b/>
          <w:i/>
          <w:iCs/>
          <w:sz w:val="24"/>
          <w:szCs w:val="24"/>
        </w:rPr>
        <w:t>Euphorbia hirta</w:t>
      </w:r>
    </w:p>
    <w:tbl>
      <w:tblPr>
        <w:tblStyle w:val="TableGrid"/>
        <w:tblW w:w="8928" w:type="dxa"/>
        <w:tblBorders>
          <w:insideH w:val="none" w:sz="0" w:space="0" w:color="auto"/>
          <w:insideV w:val="none" w:sz="0" w:space="0" w:color="auto"/>
        </w:tblBorders>
        <w:tblLook w:val="04A0" w:firstRow="1" w:lastRow="0" w:firstColumn="1" w:lastColumn="0" w:noHBand="0" w:noVBand="1"/>
      </w:tblPr>
      <w:tblGrid>
        <w:gridCol w:w="5770"/>
        <w:gridCol w:w="1448"/>
        <w:gridCol w:w="1710"/>
      </w:tblGrid>
      <w:tr w:rsidR="005954ED" w:rsidRPr="005954ED" w14:paraId="00457D35" w14:textId="77777777" w:rsidTr="002E6DC6">
        <w:tc>
          <w:tcPr>
            <w:tcW w:w="5770" w:type="dxa"/>
            <w:tcBorders>
              <w:top w:val="single" w:sz="4" w:space="0" w:color="auto"/>
              <w:left w:val="nil"/>
              <w:bottom w:val="nil"/>
            </w:tcBorders>
          </w:tcPr>
          <w:p w14:paraId="44B275B3" w14:textId="77777777" w:rsidR="00EE6C73" w:rsidRPr="005954ED" w:rsidRDefault="00EE6C73" w:rsidP="00D03F8E">
            <w:pPr>
              <w:spacing w:after="0" w:line="240" w:lineRule="auto"/>
              <w:jc w:val="both"/>
              <w:rPr>
                <w:rFonts w:ascii="Times New Roman" w:hAnsi="Times New Roman" w:cs="Times New Roman"/>
                <w:b/>
                <w:sz w:val="24"/>
                <w:szCs w:val="24"/>
              </w:rPr>
            </w:pPr>
            <w:r w:rsidRPr="005954ED">
              <w:rPr>
                <w:rFonts w:ascii="Times New Roman" w:hAnsi="Times New Roman" w:cs="Times New Roman"/>
                <w:b/>
                <w:sz w:val="24"/>
                <w:szCs w:val="24"/>
              </w:rPr>
              <w:t>GROUP</w:t>
            </w:r>
          </w:p>
        </w:tc>
        <w:tc>
          <w:tcPr>
            <w:tcW w:w="1448" w:type="dxa"/>
          </w:tcPr>
          <w:p w14:paraId="0D5A20D5" w14:textId="77777777" w:rsidR="00EE6C73" w:rsidRPr="005954ED" w:rsidRDefault="00EE6C73" w:rsidP="00D03F8E">
            <w:pPr>
              <w:spacing w:after="0" w:line="240" w:lineRule="auto"/>
              <w:jc w:val="both"/>
              <w:rPr>
                <w:rFonts w:ascii="Times New Roman" w:hAnsi="Times New Roman" w:cs="Times New Roman"/>
                <w:b/>
                <w:sz w:val="24"/>
                <w:szCs w:val="24"/>
              </w:rPr>
            </w:pPr>
            <w:r w:rsidRPr="005954ED">
              <w:rPr>
                <w:rFonts w:ascii="Times New Roman" w:hAnsi="Times New Roman" w:cs="Times New Roman"/>
                <w:b/>
                <w:sz w:val="24"/>
                <w:szCs w:val="24"/>
              </w:rPr>
              <w:t>AST (µ/l)</w:t>
            </w:r>
          </w:p>
        </w:tc>
        <w:tc>
          <w:tcPr>
            <w:tcW w:w="1710" w:type="dxa"/>
          </w:tcPr>
          <w:p w14:paraId="55AA45D2" w14:textId="77777777" w:rsidR="00EE6C73" w:rsidRPr="005954ED" w:rsidRDefault="00EE6C73" w:rsidP="00D03F8E">
            <w:pPr>
              <w:spacing w:after="0" w:line="240" w:lineRule="auto"/>
              <w:jc w:val="both"/>
              <w:rPr>
                <w:rFonts w:ascii="Times New Roman" w:hAnsi="Times New Roman" w:cs="Times New Roman"/>
                <w:b/>
                <w:sz w:val="24"/>
                <w:szCs w:val="24"/>
              </w:rPr>
            </w:pPr>
            <w:r w:rsidRPr="005954ED">
              <w:rPr>
                <w:rFonts w:ascii="Times New Roman" w:hAnsi="Times New Roman" w:cs="Times New Roman"/>
                <w:b/>
                <w:sz w:val="24"/>
                <w:szCs w:val="24"/>
              </w:rPr>
              <w:t>ALT (µ/l)</w:t>
            </w:r>
          </w:p>
        </w:tc>
      </w:tr>
      <w:tr w:rsidR="005954ED" w:rsidRPr="005954ED" w14:paraId="5548A546" w14:textId="77777777" w:rsidTr="002E6DC6">
        <w:tc>
          <w:tcPr>
            <w:tcW w:w="5770" w:type="dxa"/>
            <w:tcBorders>
              <w:top w:val="nil"/>
              <w:left w:val="nil"/>
              <w:bottom w:val="nil"/>
            </w:tcBorders>
          </w:tcPr>
          <w:p w14:paraId="04E10DA9" w14:textId="039E40F5" w:rsidR="00EE6C73" w:rsidRPr="005954ED" w:rsidRDefault="00E415E2" w:rsidP="00D03F8E">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Group A: Negative</w:t>
            </w:r>
            <w:r w:rsidR="00EE6C73" w:rsidRPr="005954ED">
              <w:rPr>
                <w:rFonts w:ascii="Times New Roman" w:hAnsi="Times New Roman" w:cs="Times New Roman"/>
                <w:b/>
                <w:bCs/>
                <w:sz w:val="24"/>
                <w:szCs w:val="24"/>
              </w:rPr>
              <w:t xml:space="preserve"> Control</w:t>
            </w:r>
          </w:p>
        </w:tc>
        <w:tc>
          <w:tcPr>
            <w:tcW w:w="1448" w:type="dxa"/>
          </w:tcPr>
          <w:p w14:paraId="48D5B0BC" w14:textId="77777777" w:rsidR="00EE6C73" w:rsidRPr="005954ED" w:rsidRDefault="00EE6C73" w:rsidP="00D03F8E">
            <w:pPr>
              <w:spacing w:line="240" w:lineRule="auto"/>
              <w:jc w:val="both"/>
              <w:rPr>
                <w:rFonts w:ascii="Times New Roman" w:hAnsi="Times New Roman" w:cs="Times New Roman"/>
                <w:sz w:val="24"/>
                <w:szCs w:val="24"/>
              </w:rPr>
            </w:pPr>
            <w:r w:rsidRPr="005954ED">
              <w:rPr>
                <w:rFonts w:ascii="Times New Roman" w:hAnsi="Times New Roman" w:cs="Times New Roman"/>
                <w:sz w:val="24"/>
                <w:szCs w:val="24"/>
              </w:rPr>
              <w:t>0.87±0.00</w:t>
            </w:r>
            <w:r w:rsidRPr="005954ED">
              <w:rPr>
                <w:rFonts w:ascii="Times New Roman" w:hAnsi="Times New Roman" w:cs="Times New Roman"/>
                <w:sz w:val="24"/>
                <w:szCs w:val="24"/>
                <w:vertAlign w:val="superscript"/>
              </w:rPr>
              <w:t>a</w:t>
            </w:r>
          </w:p>
        </w:tc>
        <w:tc>
          <w:tcPr>
            <w:tcW w:w="1710" w:type="dxa"/>
          </w:tcPr>
          <w:p w14:paraId="48EA082E" w14:textId="77777777" w:rsidR="00EE6C73" w:rsidRPr="005954ED" w:rsidRDefault="00EE6C73" w:rsidP="00D03F8E">
            <w:pPr>
              <w:spacing w:line="240" w:lineRule="auto"/>
              <w:jc w:val="both"/>
              <w:rPr>
                <w:rFonts w:ascii="Times New Roman" w:hAnsi="Times New Roman" w:cs="Times New Roman"/>
                <w:sz w:val="24"/>
                <w:szCs w:val="24"/>
              </w:rPr>
            </w:pPr>
            <w:r w:rsidRPr="005954ED">
              <w:rPr>
                <w:rFonts w:ascii="Times New Roman" w:hAnsi="Times New Roman" w:cs="Times New Roman"/>
                <w:sz w:val="24"/>
                <w:szCs w:val="24"/>
              </w:rPr>
              <w:t>1.16±0.29</w:t>
            </w:r>
            <w:r w:rsidRPr="005954ED">
              <w:rPr>
                <w:rFonts w:ascii="Times New Roman" w:hAnsi="Times New Roman" w:cs="Times New Roman"/>
                <w:sz w:val="24"/>
                <w:szCs w:val="24"/>
                <w:vertAlign w:val="superscript"/>
              </w:rPr>
              <w:t>a</w:t>
            </w:r>
          </w:p>
        </w:tc>
      </w:tr>
      <w:tr w:rsidR="005954ED" w:rsidRPr="005954ED" w14:paraId="5DF94021" w14:textId="77777777" w:rsidTr="002E6DC6">
        <w:tc>
          <w:tcPr>
            <w:tcW w:w="5770" w:type="dxa"/>
            <w:tcBorders>
              <w:top w:val="nil"/>
              <w:left w:val="nil"/>
              <w:bottom w:val="nil"/>
            </w:tcBorders>
          </w:tcPr>
          <w:p w14:paraId="5EF96317" w14:textId="77777777" w:rsidR="00EE6C73" w:rsidRPr="005954ED" w:rsidRDefault="00EE6C73" w:rsidP="00D03F8E">
            <w:pPr>
              <w:spacing w:after="0" w:line="240" w:lineRule="auto"/>
              <w:jc w:val="both"/>
              <w:rPr>
                <w:rFonts w:ascii="Times New Roman" w:hAnsi="Times New Roman" w:cs="Times New Roman"/>
                <w:b/>
                <w:bCs/>
                <w:sz w:val="24"/>
                <w:szCs w:val="24"/>
              </w:rPr>
            </w:pPr>
            <w:r w:rsidRPr="005954ED">
              <w:rPr>
                <w:rFonts w:ascii="Times New Roman" w:hAnsi="Times New Roman" w:cs="Times New Roman"/>
                <w:b/>
                <w:bCs/>
                <w:sz w:val="24"/>
                <w:szCs w:val="24"/>
              </w:rPr>
              <w:t>Group B: PCM</w:t>
            </w:r>
          </w:p>
          <w:p w14:paraId="205B6271" w14:textId="77777777" w:rsidR="00EE6C73" w:rsidRPr="005954ED" w:rsidRDefault="00EE6C73" w:rsidP="00D03F8E">
            <w:pPr>
              <w:spacing w:after="0" w:line="240" w:lineRule="auto"/>
              <w:jc w:val="both"/>
              <w:rPr>
                <w:rFonts w:ascii="Times New Roman" w:hAnsi="Times New Roman" w:cs="Times New Roman"/>
                <w:b/>
                <w:bCs/>
                <w:sz w:val="24"/>
                <w:szCs w:val="24"/>
              </w:rPr>
            </w:pPr>
            <w:r w:rsidRPr="005954ED">
              <w:rPr>
                <w:rFonts w:ascii="Times New Roman" w:hAnsi="Times New Roman" w:cs="Times New Roman"/>
                <w:b/>
                <w:bCs/>
                <w:sz w:val="24"/>
                <w:szCs w:val="24"/>
              </w:rPr>
              <w:t>(150mg/kg b.w)</w:t>
            </w:r>
          </w:p>
        </w:tc>
        <w:tc>
          <w:tcPr>
            <w:tcW w:w="1448" w:type="dxa"/>
          </w:tcPr>
          <w:p w14:paraId="6CDC50E8" w14:textId="77777777" w:rsidR="00EE6C73" w:rsidRPr="005954ED" w:rsidRDefault="00EE6C73" w:rsidP="00D03F8E">
            <w:pPr>
              <w:spacing w:after="0" w:line="240" w:lineRule="auto"/>
              <w:jc w:val="both"/>
              <w:rPr>
                <w:rFonts w:ascii="Times New Roman" w:hAnsi="Times New Roman" w:cs="Times New Roman"/>
                <w:sz w:val="24"/>
                <w:szCs w:val="24"/>
              </w:rPr>
            </w:pPr>
            <w:r w:rsidRPr="005954ED">
              <w:rPr>
                <w:rFonts w:ascii="Times New Roman" w:hAnsi="Times New Roman" w:cs="Times New Roman"/>
                <w:sz w:val="24"/>
                <w:szCs w:val="24"/>
              </w:rPr>
              <w:t>2.90±0.0.38</w:t>
            </w:r>
            <w:r w:rsidRPr="005954ED">
              <w:rPr>
                <w:rFonts w:ascii="Times New Roman" w:hAnsi="Times New Roman" w:cs="Times New Roman"/>
                <w:sz w:val="24"/>
                <w:szCs w:val="24"/>
                <w:vertAlign w:val="superscript"/>
              </w:rPr>
              <w:t>b</w:t>
            </w:r>
          </w:p>
        </w:tc>
        <w:tc>
          <w:tcPr>
            <w:tcW w:w="1710" w:type="dxa"/>
          </w:tcPr>
          <w:p w14:paraId="5B18B589" w14:textId="77777777" w:rsidR="00EE6C73" w:rsidRPr="005954ED" w:rsidRDefault="00EE6C73" w:rsidP="00D03F8E">
            <w:pPr>
              <w:spacing w:after="0" w:line="240" w:lineRule="auto"/>
              <w:jc w:val="both"/>
              <w:rPr>
                <w:rFonts w:ascii="Times New Roman" w:hAnsi="Times New Roman" w:cs="Times New Roman"/>
                <w:sz w:val="24"/>
                <w:szCs w:val="24"/>
              </w:rPr>
            </w:pPr>
            <w:r w:rsidRPr="005954ED">
              <w:rPr>
                <w:rFonts w:ascii="Times New Roman" w:hAnsi="Times New Roman" w:cs="Times New Roman"/>
                <w:sz w:val="24"/>
                <w:szCs w:val="24"/>
              </w:rPr>
              <w:t>3.20±0.29</w:t>
            </w:r>
            <w:r w:rsidRPr="005954ED">
              <w:rPr>
                <w:rFonts w:ascii="Times New Roman" w:hAnsi="Times New Roman" w:cs="Times New Roman"/>
                <w:sz w:val="24"/>
                <w:szCs w:val="24"/>
                <w:vertAlign w:val="superscript"/>
              </w:rPr>
              <w:t xml:space="preserve"> b</w:t>
            </w:r>
          </w:p>
        </w:tc>
      </w:tr>
      <w:tr w:rsidR="005954ED" w:rsidRPr="005954ED" w14:paraId="61D68890" w14:textId="77777777" w:rsidTr="002E6DC6">
        <w:trPr>
          <w:trHeight w:val="990"/>
        </w:trPr>
        <w:tc>
          <w:tcPr>
            <w:tcW w:w="5770" w:type="dxa"/>
            <w:tcBorders>
              <w:top w:val="nil"/>
              <w:left w:val="nil"/>
              <w:bottom w:val="nil"/>
            </w:tcBorders>
          </w:tcPr>
          <w:p w14:paraId="3E1E1964" w14:textId="77777777" w:rsidR="00EE6C73" w:rsidRPr="005954ED" w:rsidRDefault="002E6DC6" w:rsidP="00D03F8E">
            <w:pPr>
              <w:spacing w:after="0" w:line="240" w:lineRule="auto"/>
              <w:rPr>
                <w:rFonts w:ascii="Times New Roman" w:hAnsi="Times New Roman" w:cs="Times New Roman"/>
                <w:b/>
                <w:bCs/>
                <w:sz w:val="24"/>
                <w:szCs w:val="24"/>
              </w:rPr>
            </w:pPr>
            <w:r w:rsidRPr="005954ED">
              <w:rPr>
                <w:rFonts w:ascii="Times New Roman" w:hAnsi="Times New Roman" w:cs="Times New Roman"/>
                <w:b/>
                <w:bCs/>
                <w:sz w:val="24"/>
                <w:szCs w:val="24"/>
              </w:rPr>
              <w:t xml:space="preserve">Group C: </w:t>
            </w:r>
            <w:r w:rsidR="00EE6C73" w:rsidRPr="005954ED">
              <w:rPr>
                <w:rFonts w:ascii="Times New Roman" w:hAnsi="Times New Roman" w:cs="Times New Roman"/>
                <w:b/>
                <w:bCs/>
                <w:sz w:val="24"/>
                <w:szCs w:val="24"/>
              </w:rPr>
              <w:t>Paracetamol</w:t>
            </w:r>
            <w:r w:rsidRPr="005954ED">
              <w:rPr>
                <w:rFonts w:ascii="Times New Roman" w:hAnsi="Times New Roman" w:cs="Times New Roman"/>
                <w:b/>
                <w:bCs/>
                <w:sz w:val="24"/>
                <w:szCs w:val="24"/>
              </w:rPr>
              <w:t xml:space="preserve"> </w:t>
            </w:r>
            <w:r w:rsidR="00EE6C73" w:rsidRPr="005954ED">
              <w:rPr>
                <w:rFonts w:ascii="Times New Roman" w:hAnsi="Times New Roman" w:cs="Times New Roman"/>
                <w:b/>
                <w:bCs/>
                <w:sz w:val="24"/>
                <w:szCs w:val="24"/>
              </w:rPr>
              <w:t>(150mg/kg b.w) +Sylimarin</w:t>
            </w:r>
          </w:p>
          <w:p w14:paraId="23C0DE48" w14:textId="77777777" w:rsidR="00EE6C73" w:rsidRPr="005954ED" w:rsidRDefault="00EE6C73" w:rsidP="00D03F8E">
            <w:pPr>
              <w:spacing w:after="0" w:line="240" w:lineRule="auto"/>
              <w:rPr>
                <w:rFonts w:ascii="Times New Roman" w:hAnsi="Times New Roman" w:cs="Times New Roman"/>
                <w:b/>
                <w:bCs/>
                <w:sz w:val="24"/>
                <w:szCs w:val="24"/>
              </w:rPr>
            </w:pPr>
            <w:r w:rsidRPr="005954ED">
              <w:rPr>
                <w:rFonts w:ascii="Times New Roman" w:hAnsi="Times New Roman" w:cs="Times New Roman"/>
                <w:b/>
                <w:bCs/>
                <w:sz w:val="24"/>
                <w:szCs w:val="24"/>
              </w:rPr>
              <w:t>(2mg/kg b.w)</w:t>
            </w:r>
          </w:p>
        </w:tc>
        <w:tc>
          <w:tcPr>
            <w:tcW w:w="1448" w:type="dxa"/>
          </w:tcPr>
          <w:p w14:paraId="391C388A" w14:textId="77777777" w:rsidR="00EE6C73" w:rsidRPr="005954ED" w:rsidRDefault="00EE6C73" w:rsidP="00D03F8E">
            <w:pPr>
              <w:spacing w:line="240" w:lineRule="auto"/>
              <w:jc w:val="both"/>
              <w:rPr>
                <w:rFonts w:ascii="Times New Roman" w:hAnsi="Times New Roman" w:cs="Times New Roman"/>
                <w:sz w:val="24"/>
                <w:szCs w:val="24"/>
              </w:rPr>
            </w:pPr>
            <w:r w:rsidRPr="005954ED">
              <w:rPr>
                <w:rFonts w:ascii="Times New Roman" w:hAnsi="Times New Roman" w:cs="Times New Roman"/>
                <w:sz w:val="24"/>
                <w:szCs w:val="24"/>
              </w:rPr>
              <w:t>0.87±0.00</w:t>
            </w:r>
            <w:r w:rsidRPr="005954ED">
              <w:rPr>
                <w:rFonts w:ascii="Times New Roman" w:hAnsi="Times New Roman" w:cs="Times New Roman"/>
                <w:sz w:val="24"/>
                <w:szCs w:val="24"/>
                <w:vertAlign w:val="superscript"/>
              </w:rPr>
              <w:t xml:space="preserve"> a</w:t>
            </w:r>
          </w:p>
        </w:tc>
        <w:tc>
          <w:tcPr>
            <w:tcW w:w="1710" w:type="dxa"/>
          </w:tcPr>
          <w:p w14:paraId="0AB1CB72" w14:textId="77777777" w:rsidR="00EE6C73" w:rsidRPr="005954ED" w:rsidRDefault="00EE6C73" w:rsidP="00D03F8E">
            <w:pPr>
              <w:spacing w:line="240" w:lineRule="auto"/>
              <w:jc w:val="both"/>
              <w:rPr>
                <w:rFonts w:ascii="Times New Roman" w:hAnsi="Times New Roman" w:cs="Times New Roman"/>
                <w:sz w:val="24"/>
                <w:szCs w:val="24"/>
              </w:rPr>
            </w:pPr>
            <w:r w:rsidRPr="005954ED">
              <w:rPr>
                <w:rFonts w:ascii="Times New Roman" w:hAnsi="Times New Roman" w:cs="Times New Roman"/>
                <w:sz w:val="24"/>
                <w:szCs w:val="24"/>
              </w:rPr>
              <w:t>0.87±0.00</w:t>
            </w:r>
            <w:r w:rsidRPr="005954ED">
              <w:rPr>
                <w:rFonts w:ascii="Times New Roman" w:hAnsi="Times New Roman" w:cs="Times New Roman"/>
                <w:sz w:val="24"/>
                <w:szCs w:val="24"/>
                <w:vertAlign w:val="superscript"/>
              </w:rPr>
              <w:t xml:space="preserve"> a</w:t>
            </w:r>
          </w:p>
        </w:tc>
      </w:tr>
      <w:tr w:rsidR="005954ED" w:rsidRPr="005954ED" w14:paraId="2CCC9469" w14:textId="77777777" w:rsidTr="002E6DC6">
        <w:tc>
          <w:tcPr>
            <w:tcW w:w="5770" w:type="dxa"/>
            <w:tcBorders>
              <w:top w:val="nil"/>
              <w:left w:val="nil"/>
              <w:bottom w:val="single" w:sz="4" w:space="0" w:color="auto"/>
            </w:tcBorders>
          </w:tcPr>
          <w:p w14:paraId="7E41E655" w14:textId="77777777" w:rsidR="00EE6C73" w:rsidRPr="005954ED" w:rsidRDefault="002E6DC6" w:rsidP="00D03F8E">
            <w:pPr>
              <w:spacing w:after="0" w:line="240" w:lineRule="auto"/>
              <w:rPr>
                <w:rFonts w:ascii="Times New Roman" w:hAnsi="Times New Roman" w:cs="Times New Roman"/>
                <w:b/>
                <w:bCs/>
                <w:sz w:val="24"/>
                <w:szCs w:val="24"/>
              </w:rPr>
            </w:pPr>
            <w:r w:rsidRPr="005954ED">
              <w:rPr>
                <w:rFonts w:ascii="Times New Roman" w:hAnsi="Times New Roman" w:cs="Times New Roman"/>
                <w:b/>
                <w:bCs/>
                <w:sz w:val="24"/>
                <w:szCs w:val="24"/>
              </w:rPr>
              <w:t>Group D</w:t>
            </w:r>
            <w:r w:rsidR="00EE6C73" w:rsidRPr="005954ED">
              <w:rPr>
                <w:rFonts w:ascii="Times New Roman" w:hAnsi="Times New Roman" w:cs="Times New Roman"/>
                <w:b/>
                <w:bCs/>
                <w:sz w:val="24"/>
                <w:szCs w:val="24"/>
              </w:rPr>
              <w:t>: PCM</w:t>
            </w:r>
            <w:r w:rsidRPr="005954ED">
              <w:rPr>
                <w:rFonts w:ascii="Times New Roman" w:hAnsi="Times New Roman" w:cs="Times New Roman"/>
                <w:b/>
                <w:bCs/>
                <w:sz w:val="24"/>
                <w:szCs w:val="24"/>
              </w:rPr>
              <w:t xml:space="preserve"> </w:t>
            </w:r>
            <w:r w:rsidR="00EE6C73" w:rsidRPr="005954ED">
              <w:rPr>
                <w:rFonts w:ascii="Times New Roman" w:hAnsi="Times New Roman" w:cs="Times New Roman"/>
                <w:b/>
                <w:bCs/>
                <w:sz w:val="24"/>
                <w:szCs w:val="24"/>
              </w:rPr>
              <w:t>(150mg/kg b.w) +</w:t>
            </w:r>
          </w:p>
          <w:p w14:paraId="412E4BE8" w14:textId="77777777" w:rsidR="00EE6C73" w:rsidRPr="005954ED" w:rsidRDefault="00EE6C73" w:rsidP="00D03F8E">
            <w:pPr>
              <w:spacing w:after="0" w:line="240" w:lineRule="auto"/>
              <w:rPr>
                <w:rFonts w:ascii="Times New Roman" w:hAnsi="Times New Roman" w:cs="Times New Roman"/>
                <w:b/>
                <w:bCs/>
                <w:sz w:val="24"/>
                <w:szCs w:val="24"/>
              </w:rPr>
            </w:pPr>
            <w:r w:rsidRPr="005954ED">
              <w:rPr>
                <w:rFonts w:ascii="Times New Roman" w:hAnsi="Times New Roman" w:cs="Times New Roman"/>
                <w:b/>
                <w:bCs/>
                <w:i/>
                <w:iCs/>
                <w:sz w:val="24"/>
                <w:szCs w:val="24"/>
              </w:rPr>
              <w:t>Euphorbia hirta</w:t>
            </w:r>
            <w:r w:rsidRPr="005954ED">
              <w:rPr>
                <w:rFonts w:ascii="Times New Roman" w:hAnsi="Times New Roman" w:cs="Times New Roman"/>
                <w:b/>
                <w:bCs/>
                <w:sz w:val="24"/>
                <w:szCs w:val="24"/>
              </w:rPr>
              <w:t xml:space="preserve"> (125mg/kg b.w)</w:t>
            </w:r>
          </w:p>
          <w:p w14:paraId="2822D4E1" w14:textId="77777777" w:rsidR="00EE6C73" w:rsidRPr="005954ED" w:rsidRDefault="002E6DC6" w:rsidP="00D03F8E">
            <w:pPr>
              <w:spacing w:after="0" w:line="240" w:lineRule="auto"/>
              <w:rPr>
                <w:rFonts w:ascii="Times New Roman" w:hAnsi="Times New Roman" w:cs="Times New Roman"/>
                <w:b/>
                <w:bCs/>
                <w:sz w:val="24"/>
                <w:szCs w:val="24"/>
              </w:rPr>
            </w:pPr>
            <w:r w:rsidRPr="005954ED">
              <w:rPr>
                <w:rFonts w:ascii="Times New Roman" w:hAnsi="Times New Roman" w:cs="Times New Roman"/>
                <w:b/>
                <w:bCs/>
                <w:sz w:val="24"/>
                <w:szCs w:val="24"/>
              </w:rPr>
              <w:t>Group E</w:t>
            </w:r>
            <w:r w:rsidR="00EE6C73" w:rsidRPr="005954ED">
              <w:rPr>
                <w:rFonts w:ascii="Times New Roman" w:hAnsi="Times New Roman" w:cs="Times New Roman"/>
                <w:b/>
                <w:bCs/>
                <w:sz w:val="24"/>
                <w:szCs w:val="24"/>
              </w:rPr>
              <w:t>: PCM(150mg/kg b.w) +</w:t>
            </w:r>
          </w:p>
          <w:p w14:paraId="5B4D8E28" w14:textId="77777777" w:rsidR="00EE6C73" w:rsidRPr="005954ED" w:rsidRDefault="00EE6C73" w:rsidP="00D03F8E">
            <w:pPr>
              <w:spacing w:after="0" w:line="240" w:lineRule="auto"/>
              <w:rPr>
                <w:rFonts w:ascii="Times New Roman" w:hAnsi="Times New Roman" w:cs="Times New Roman"/>
                <w:b/>
                <w:bCs/>
                <w:sz w:val="24"/>
                <w:szCs w:val="24"/>
              </w:rPr>
            </w:pPr>
            <w:r w:rsidRPr="005954ED">
              <w:rPr>
                <w:rFonts w:ascii="Times New Roman" w:hAnsi="Times New Roman" w:cs="Times New Roman"/>
                <w:b/>
                <w:bCs/>
                <w:i/>
                <w:iCs/>
                <w:sz w:val="24"/>
                <w:szCs w:val="24"/>
              </w:rPr>
              <w:t>Euphorbia hirta</w:t>
            </w:r>
            <w:r w:rsidRPr="005954ED">
              <w:rPr>
                <w:rFonts w:ascii="Times New Roman" w:hAnsi="Times New Roman" w:cs="Times New Roman"/>
                <w:b/>
                <w:bCs/>
                <w:sz w:val="24"/>
                <w:szCs w:val="24"/>
              </w:rPr>
              <w:t xml:space="preserve"> (250mg/kg b.w</w:t>
            </w:r>
          </w:p>
        </w:tc>
        <w:tc>
          <w:tcPr>
            <w:tcW w:w="1448" w:type="dxa"/>
          </w:tcPr>
          <w:p w14:paraId="49538D3E" w14:textId="77777777" w:rsidR="00EE6C73" w:rsidRPr="005954ED" w:rsidRDefault="00EE6C73" w:rsidP="00D03F8E">
            <w:pPr>
              <w:spacing w:line="240" w:lineRule="auto"/>
              <w:rPr>
                <w:rFonts w:ascii="Times New Roman" w:hAnsi="Times New Roman" w:cs="Times New Roman"/>
                <w:sz w:val="24"/>
                <w:szCs w:val="24"/>
              </w:rPr>
            </w:pPr>
            <w:r w:rsidRPr="005954ED">
              <w:rPr>
                <w:rFonts w:ascii="Times New Roman" w:hAnsi="Times New Roman" w:cs="Times New Roman"/>
                <w:sz w:val="24"/>
                <w:szCs w:val="24"/>
              </w:rPr>
              <w:t>1.16±0.29</w:t>
            </w:r>
            <w:r w:rsidRPr="005954ED">
              <w:rPr>
                <w:rFonts w:ascii="Times New Roman" w:hAnsi="Times New Roman" w:cs="Times New Roman"/>
                <w:sz w:val="24"/>
                <w:szCs w:val="24"/>
                <w:vertAlign w:val="superscript"/>
              </w:rPr>
              <w:t xml:space="preserve"> a</w:t>
            </w:r>
          </w:p>
          <w:p w14:paraId="255E4EE7" w14:textId="77777777" w:rsidR="00EE6C73" w:rsidRPr="005954ED" w:rsidRDefault="00EE6C73" w:rsidP="00D03F8E">
            <w:pPr>
              <w:spacing w:line="240" w:lineRule="auto"/>
              <w:rPr>
                <w:rFonts w:ascii="Times New Roman" w:hAnsi="Times New Roman" w:cs="Times New Roman"/>
                <w:sz w:val="24"/>
                <w:szCs w:val="24"/>
              </w:rPr>
            </w:pPr>
            <w:r w:rsidRPr="005954ED">
              <w:rPr>
                <w:rFonts w:ascii="Times New Roman" w:hAnsi="Times New Roman" w:cs="Times New Roman"/>
                <w:sz w:val="24"/>
                <w:szCs w:val="24"/>
              </w:rPr>
              <w:t>1.46±0.30</w:t>
            </w:r>
            <w:r w:rsidRPr="005954ED">
              <w:rPr>
                <w:rFonts w:ascii="Times New Roman" w:hAnsi="Times New Roman" w:cs="Times New Roman"/>
                <w:sz w:val="24"/>
                <w:szCs w:val="24"/>
                <w:vertAlign w:val="superscript"/>
              </w:rPr>
              <w:t>a</w:t>
            </w:r>
          </w:p>
          <w:p w14:paraId="2E05C36B" w14:textId="77777777" w:rsidR="00EE6C73" w:rsidRPr="005954ED" w:rsidRDefault="00EE6C73" w:rsidP="00D03F8E">
            <w:pPr>
              <w:spacing w:line="240" w:lineRule="auto"/>
              <w:rPr>
                <w:rFonts w:ascii="Times New Roman" w:hAnsi="Times New Roman" w:cs="Times New Roman"/>
                <w:sz w:val="24"/>
                <w:szCs w:val="24"/>
              </w:rPr>
            </w:pPr>
          </w:p>
        </w:tc>
        <w:tc>
          <w:tcPr>
            <w:tcW w:w="1710" w:type="dxa"/>
          </w:tcPr>
          <w:p w14:paraId="2E26AEFF" w14:textId="77777777" w:rsidR="00EE6C73" w:rsidRPr="005954ED" w:rsidRDefault="00EE6C73" w:rsidP="00D03F8E">
            <w:pPr>
              <w:spacing w:line="240" w:lineRule="auto"/>
              <w:rPr>
                <w:rFonts w:ascii="Times New Roman" w:hAnsi="Times New Roman" w:cs="Times New Roman"/>
                <w:sz w:val="24"/>
                <w:szCs w:val="24"/>
              </w:rPr>
            </w:pPr>
            <w:r w:rsidRPr="005954ED">
              <w:rPr>
                <w:rFonts w:ascii="Times New Roman" w:hAnsi="Times New Roman" w:cs="Times New Roman"/>
                <w:sz w:val="24"/>
                <w:szCs w:val="24"/>
              </w:rPr>
              <w:t>1.16±0.30</w:t>
            </w:r>
            <w:r w:rsidRPr="005954ED">
              <w:rPr>
                <w:rFonts w:ascii="Times New Roman" w:hAnsi="Times New Roman" w:cs="Times New Roman"/>
                <w:sz w:val="24"/>
                <w:szCs w:val="24"/>
                <w:vertAlign w:val="superscript"/>
              </w:rPr>
              <w:t xml:space="preserve"> a</w:t>
            </w:r>
          </w:p>
          <w:p w14:paraId="1D143F49" w14:textId="77777777" w:rsidR="00EE6C73" w:rsidRPr="005954ED" w:rsidRDefault="00EE6C73" w:rsidP="00D03F8E">
            <w:pPr>
              <w:spacing w:line="240" w:lineRule="auto"/>
              <w:rPr>
                <w:rFonts w:ascii="Times New Roman" w:hAnsi="Times New Roman" w:cs="Times New Roman"/>
                <w:sz w:val="24"/>
                <w:szCs w:val="24"/>
              </w:rPr>
            </w:pPr>
            <w:r w:rsidRPr="005954ED">
              <w:rPr>
                <w:rFonts w:ascii="Times New Roman" w:hAnsi="Times New Roman" w:cs="Times New Roman"/>
                <w:sz w:val="24"/>
                <w:szCs w:val="24"/>
              </w:rPr>
              <w:t>1.16±0.29</w:t>
            </w:r>
            <w:r w:rsidRPr="005954ED">
              <w:rPr>
                <w:rFonts w:ascii="Times New Roman" w:hAnsi="Times New Roman" w:cs="Times New Roman"/>
                <w:sz w:val="24"/>
                <w:szCs w:val="24"/>
                <w:vertAlign w:val="superscript"/>
              </w:rPr>
              <w:t xml:space="preserve"> a</w:t>
            </w:r>
          </w:p>
        </w:tc>
      </w:tr>
    </w:tbl>
    <w:p w14:paraId="3F663F29" w14:textId="77777777" w:rsidR="002E6DC6" w:rsidRPr="005954ED" w:rsidRDefault="002E6DC6" w:rsidP="00D03F8E">
      <w:pPr>
        <w:spacing w:after="0" w:line="240" w:lineRule="auto"/>
        <w:jc w:val="both"/>
        <w:rPr>
          <w:rFonts w:ascii="Times New Roman" w:hAnsi="Times New Roman" w:cs="Times New Roman"/>
          <w:b/>
          <w:bCs/>
          <w:sz w:val="24"/>
          <w:szCs w:val="24"/>
        </w:rPr>
      </w:pPr>
      <w:r w:rsidRPr="005954ED">
        <w:rPr>
          <w:rFonts w:ascii="Times New Roman" w:hAnsi="Times New Roman" w:cs="Times New Roman"/>
          <w:b/>
          <w:bCs/>
          <w:sz w:val="24"/>
          <w:szCs w:val="24"/>
        </w:rPr>
        <w:t xml:space="preserve">Values were expressed as Mean ± SEM Different alphabets superscripts denote significant difference at p&lt;0.05 </w:t>
      </w:r>
    </w:p>
    <w:p w14:paraId="5091D884" w14:textId="77777777" w:rsidR="00D03F8E" w:rsidRPr="005954ED" w:rsidRDefault="00D03F8E" w:rsidP="00D03F8E">
      <w:pPr>
        <w:spacing w:after="0" w:line="240" w:lineRule="auto"/>
        <w:jc w:val="both"/>
        <w:rPr>
          <w:rFonts w:ascii="Times New Roman" w:hAnsi="Times New Roman" w:cs="Times New Roman"/>
          <w:b/>
          <w:bCs/>
          <w:sz w:val="24"/>
          <w:szCs w:val="24"/>
        </w:rPr>
      </w:pPr>
    </w:p>
    <w:p w14:paraId="3A06B8A9" w14:textId="77777777" w:rsidR="00A425B4" w:rsidRDefault="00A425B4" w:rsidP="00AF5592">
      <w:pPr>
        <w:spacing w:line="480" w:lineRule="auto"/>
        <w:rPr>
          <w:rFonts w:ascii="Times New Roman" w:hAnsi="Times New Roman" w:cs="Times New Roman"/>
          <w:b/>
          <w:bCs/>
          <w:sz w:val="24"/>
          <w:szCs w:val="24"/>
        </w:rPr>
      </w:pPr>
    </w:p>
    <w:p w14:paraId="711F67B1" w14:textId="77777777" w:rsidR="00A425B4" w:rsidRDefault="00A425B4" w:rsidP="00AF5592">
      <w:pPr>
        <w:spacing w:line="480" w:lineRule="auto"/>
        <w:rPr>
          <w:rFonts w:ascii="Times New Roman" w:hAnsi="Times New Roman" w:cs="Times New Roman"/>
          <w:b/>
          <w:bCs/>
          <w:sz w:val="24"/>
          <w:szCs w:val="24"/>
        </w:rPr>
      </w:pPr>
    </w:p>
    <w:p w14:paraId="28DA6ECE" w14:textId="77777777" w:rsidR="00A425B4" w:rsidRPr="00A425B4" w:rsidRDefault="00A425B4" w:rsidP="00A425B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425B4">
        <w:rPr>
          <w:rFonts w:ascii="Times New Roman" w:eastAsia="Times New Roman" w:hAnsi="Times New Roman" w:cs="Times New Roman"/>
          <w:b/>
          <w:bCs/>
          <w:kern w:val="0"/>
          <w:sz w:val="27"/>
          <w:szCs w:val="27"/>
          <w14:ligatures w14:val="none"/>
        </w:rPr>
        <w:t xml:space="preserve">Effects of </w:t>
      </w:r>
      <w:r w:rsidRPr="00A425B4">
        <w:rPr>
          <w:rFonts w:ascii="Times New Roman" w:eastAsia="Times New Roman" w:hAnsi="Times New Roman" w:cs="Times New Roman"/>
          <w:b/>
          <w:bCs/>
          <w:i/>
          <w:iCs/>
          <w:kern w:val="0"/>
          <w:sz w:val="27"/>
          <w:szCs w:val="27"/>
          <w14:ligatures w14:val="none"/>
        </w:rPr>
        <w:t>Euphorbia hirta</w:t>
      </w:r>
      <w:r w:rsidRPr="00A425B4">
        <w:rPr>
          <w:rFonts w:ascii="Times New Roman" w:eastAsia="Times New Roman" w:hAnsi="Times New Roman" w:cs="Times New Roman"/>
          <w:b/>
          <w:bCs/>
          <w:kern w:val="0"/>
          <w:sz w:val="27"/>
          <w:szCs w:val="27"/>
          <w14:ligatures w14:val="none"/>
        </w:rPr>
        <w:t xml:space="preserve"> Extract and Paracetamol Administration on Liver Histology in Rats</w:t>
      </w:r>
    </w:p>
    <w:p w14:paraId="5F3FFDD4" w14:textId="0F51CD4B" w:rsidR="00A425B4" w:rsidRDefault="00A425B4" w:rsidP="00A425B4">
      <w:pPr>
        <w:spacing w:before="100" w:beforeAutospacing="1" w:after="100" w:afterAutospacing="1" w:line="480" w:lineRule="auto"/>
        <w:jc w:val="both"/>
        <w:rPr>
          <w:rFonts w:ascii="Times New Roman" w:eastAsia="Times New Roman" w:hAnsi="Times New Roman" w:cs="Times New Roman"/>
          <w:kern w:val="0"/>
          <w:sz w:val="24"/>
          <w:szCs w:val="24"/>
          <w14:ligatures w14:val="none"/>
        </w:rPr>
      </w:pPr>
      <w:r w:rsidRPr="00A425B4">
        <w:rPr>
          <w:rFonts w:ascii="Times New Roman" w:eastAsia="Times New Roman" w:hAnsi="Times New Roman" w:cs="Times New Roman"/>
          <w:kern w:val="0"/>
          <w:sz w:val="24"/>
          <w:szCs w:val="24"/>
          <w14:ligatures w14:val="none"/>
        </w:rPr>
        <w:t>As shown in Figure 1, rats administered paracetamol exhibited severe hepatic damage characterized by chronic hepatic steatosis (blue arrow), fat infiltration (white arrow), and extensive necrosis. Additionally, these untreated rats showed intense vascular congestion, steatohepatitis, karyopyknosis, and nuclear alterations, indicating significant hepatocellular injury.</w:t>
      </w:r>
      <w:r>
        <w:rPr>
          <w:rFonts w:ascii="Times New Roman" w:eastAsia="Times New Roman" w:hAnsi="Times New Roman" w:cs="Times New Roman"/>
          <w:kern w:val="0"/>
          <w:sz w:val="24"/>
          <w:szCs w:val="24"/>
          <w14:ligatures w14:val="none"/>
        </w:rPr>
        <w:t xml:space="preserve"> </w:t>
      </w:r>
      <w:r w:rsidRPr="00A425B4">
        <w:rPr>
          <w:rFonts w:ascii="Times New Roman" w:eastAsia="Times New Roman" w:hAnsi="Times New Roman" w:cs="Times New Roman"/>
          <w:kern w:val="0"/>
          <w:sz w:val="24"/>
          <w:szCs w:val="24"/>
          <w14:ligatures w14:val="none"/>
        </w:rPr>
        <w:t xml:space="preserve">In contrast, the group pre-treated with </w:t>
      </w:r>
      <w:r w:rsidRPr="00A425B4">
        <w:rPr>
          <w:rFonts w:ascii="Times New Roman" w:eastAsia="Times New Roman" w:hAnsi="Times New Roman" w:cs="Times New Roman"/>
          <w:i/>
          <w:iCs/>
          <w:kern w:val="0"/>
          <w:sz w:val="24"/>
          <w:szCs w:val="24"/>
          <w14:ligatures w14:val="none"/>
        </w:rPr>
        <w:t>Euphorbia hirta</w:t>
      </w:r>
      <w:r w:rsidRPr="00A425B4">
        <w:rPr>
          <w:rFonts w:ascii="Times New Roman" w:eastAsia="Times New Roman" w:hAnsi="Times New Roman" w:cs="Times New Roman"/>
          <w:kern w:val="0"/>
          <w:sz w:val="24"/>
          <w:szCs w:val="24"/>
          <w14:ligatures w14:val="none"/>
        </w:rPr>
        <w:t xml:space="preserve"> extract at 250 mg/kg displayed improved liver architecture with no significant histological alterations. Although mild cytoplasmic hydropic degeneration was observed, overall liver parenchyma appeared well-preserved. Similarly, the group pre-treated with </w:t>
      </w:r>
      <w:r w:rsidRPr="00A425B4">
        <w:rPr>
          <w:rFonts w:ascii="Times New Roman" w:eastAsia="Times New Roman" w:hAnsi="Times New Roman" w:cs="Times New Roman"/>
          <w:i/>
          <w:iCs/>
          <w:kern w:val="0"/>
          <w:sz w:val="24"/>
          <w:szCs w:val="24"/>
          <w14:ligatures w14:val="none"/>
        </w:rPr>
        <w:t>Euphorbia hirta</w:t>
      </w:r>
      <w:r w:rsidRPr="00A425B4">
        <w:rPr>
          <w:rFonts w:ascii="Times New Roman" w:eastAsia="Times New Roman" w:hAnsi="Times New Roman" w:cs="Times New Roman"/>
          <w:kern w:val="0"/>
          <w:sz w:val="24"/>
          <w:szCs w:val="24"/>
          <w14:ligatures w14:val="none"/>
        </w:rPr>
        <w:t xml:space="preserve"> extract at 125 mg/kg showed normal central venules (white arrow), intact hepatocyte morphology (blue arrow), and a localized area of mild inflammatory cell aggregation (slender arrow). These findings suggest that </w:t>
      </w:r>
      <w:r w:rsidRPr="00A425B4">
        <w:rPr>
          <w:rFonts w:ascii="Times New Roman" w:eastAsia="Times New Roman" w:hAnsi="Times New Roman" w:cs="Times New Roman"/>
          <w:i/>
          <w:iCs/>
          <w:kern w:val="0"/>
          <w:sz w:val="24"/>
          <w:szCs w:val="24"/>
          <w14:ligatures w14:val="none"/>
        </w:rPr>
        <w:t>Euphorbia hirta</w:t>
      </w:r>
      <w:r w:rsidRPr="00A425B4">
        <w:rPr>
          <w:rFonts w:ascii="Times New Roman" w:eastAsia="Times New Roman" w:hAnsi="Times New Roman" w:cs="Times New Roman"/>
          <w:kern w:val="0"/>
          <w:sz w:val="24"/>
          <w:szCs w:val="24"/>
          <w14:ligatures w14:val="none"/>
        </w:rPr>
        <w:t xml:space="preserve"> exhibits hepatoprotective properties by mitigating paracetamol-induced liver damage and preserving hepatic structure.</w:t>
      </w:r>
    </w:p>
    <w:p w14:paraId="616394FA" w14:textId="77777777" w:rsidR="00A425B4" w:rsidRDefault="00A425B4" w:rsidP="00A425B4">
      <w:pPr>
        <w:spacing w:before="100" w:beforeAutospacing="1" w:after="100" w:afterAutospacing="1" w:line="480" w:lineRule="auto"/>
        <w:jc w:val="both"/>
        <w:rPr>
          <w:rFonts w:ascii="Times New Roman" w:eastAsia="Times New Roman" w:hAnsi="Times New Roman" w:cs="Times New Roman"/>
          <w:kern w:val="0"/>
          <w:sz w:val="24"/>
          <w:szCs w:val="24"/>
          <w14:ligatures w14:val="none"/>
        </w:rPr>
      </w:pPr>
    </w:p>
    <w:p w14:paraId="5F74FE63" w14:textId="77777777" w:rsidR="00A425B4" w:rsidRDefault="00A425B4" w:rsidP="00A425B4">
      <w:pPr>
        <w:spacing w:before="100" w:beforeAutospacing="1" w:after="100" w:afterAutospacing="1" w:line="480" w:lineRule="auto"/>
        <w:jc w:val="both"/>
        <w:rPr>
          <w:rFonts w:ascii="Times New Roman" w:eastAsia="Times New Roman" w:hAnsi="Times New Roman" w:cs="Times New Roman"/>
          <w:kern w:val="0"/>
          <w:sz w:val="24"/>
          <w:szCs w:val="24"/>
          <w14:ligatures w14:val="none"/>
        </w:rPr>
      </w:pPr>
    </w:p>
    <w:p w14:paraId="67AF0DD0" w14:textId="77777777" w:rsidR="00A425B4" w:rsidRDefault="00A425B4" w:rsidP="00A425B4">
      <w:pPr>
        <w:spacing w:before="100" w:beforeAutospacing="1" w:after="100" w:afterAutospacing="1" w:line="480" w:lineRule="auto"/>
        <w:jc w:val="both"/>
        <w:rPr>
          <w:rFonts w:ascii="Times New Roman" w:eastAsia="Times New Roman" w:hAnsi="Times New Roman" w:cs="Times New Roman"/>
          <w:kern w:val="0"/>
          <w:sz w:val="24"/>
          <w:szCs w:val="24"/>
          <w14:ligatures w14:val="none"/>
        </w:rPr>
      </w:pPr>
    </w:p>
    <w:p w14:paraId="5CD67096" w14:textId="77777777" w:rsidR="00A425B4" w:rsidRPr="00A425B4" w:rsidRDefault="00A425B4" w:rsidP="00A425B4">
      <w:pPr>
        <w:spacing w:before="100" w:beforeAutospacing="1" w:after="100" w:afterAutospacing="1" w:line="480" w:lineRule="auto"/>
        <w:jc w:val="both"/>
        <w:rPr>
          <w:rFonts w:ascii="Times New Roman" w:eastAsia="Times New Roman" w:hAnsi="Times New Roman" w:cs="Times New Roman"/>
          <w:kern w:val="0"/>
          <w:sz w:val="24"/>
          <w:szCs w:val="24"/>
          <w14:ligatures w14:val="none"/>
        </w:rPr>
      </w:pPr>
      <w:bookmarkStart w:id="0" w:name="_Hlk192319851"/>
    </w:p>
    <w:p w14:paraId="1F78C2CC" w14:textId="77777777" w:rsidR="00EC3D18" w:rsidRPr="005954ED" w:rsidRDefault="00161DE0" w:rsidP="00EC3D18">
      <w:pPr>
        <w:spacing w:after="0" w:line="240" w:lineRule="auto"/>
        <w:jc w:val="both"/>
        <w:rPr>
          <w:rFonts w:ascii="Times New Roman" w:hAnsi="Times New Roman" w:cs="Times New Roman"/>
          <w:b/>
          <w:bCs/>
          <w:sz w:val="24"/>
          <w:szCs w:val="24"/>
        </w:rPr>
      </w:pPr>
      <w:r>
        <w:rPr>
          <w:rFonts w:ascii="Times New Roman" w:hAnsi="Times New Roman" w:cs="Times New Roman"/>
          <w:noProof/>
          <w:sz w:val="24"/>
          <w:szCs w:val="24"/>
          <w14:ligatures w14:val="none"/>
        </w:rPr>
        <mc:AlternateContent>
          <mc:Choice Requires="wps">
            <w:drawing>
              <wp:anchor distT="0" distB="0" distL="114300" distR="114300" simplePos="0" relativeHeight="251664384" behindDoc="0" locked="0" layoutInCell="1" allowOverlap="1" wp14:anchorId="16EAFC6C" wp14:editId="4FE28111">
                <wp:simplePos x="0" y="0"/>
                <wp:positionH relativeFrom="column">
                  <wp:posOffset>4991100</wp:posOffset>
                </wp:positionH>
                <wp:positionV relativeFrom="paragraph">
                  <wp:posOffset>800102</wp:posOffset>
                </wp:positionV>
                <wp:extent cx="1057275" cy="45719"/>
                <wp:effectExtent l="19050" t="19050" r="28575" b="31115"/>
                <wp:wrapNone/>
                <wp:docPr id="6" name="Right Arrow 6"/>
                <wp:cNvGraphicFramePr/>
                <a:graphic xmlns:a="http://schemas.openxmlformats.org/drawingml/2006/main">
                  <a:graphicData uri="http://schemas.microsoft.com/office/word/2010/wordprocessingShape">
                    <wps:wsp>
                      <wps:cNvSpPr/>
                      <wps:spPr>
                        <a:xfrm rot="10800000">
                          <a:off x="0" y="0"/>
                          <a:ext cx="1057275" cy="45719"/>
                        </a:xfrm>
                        <a:prstGeom prst="rightArrow">
                          <a:avLst/>
                        </a:prstGeom>
                        <a:ln>
                          <a:solidFill>
                            <a:schemeClr val="bg1"/>
                          </a:solidFill>
                        </a:ln>
                      </wps:spPr>
                      <wps:style>
                        <a:lnRef idx="2">
                          <a:schemeClr val="accent6"/>
                        </a:lnRef>
                        <a:fillRef idx="100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6339D0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026" type="#_x0000_t13" style="position:absolute;margin-left:393pt;margin-top:63pt;width:83.25pt;height:3.6pt;rotation:180;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" adj="21133" fillcolor="white [3201]" strokecolor="white [3212]" strokeweight="2pt"/>
            </w:pict>
          </mc:Fallback>
        </mc:AlternateContent>
      </w:r>
      <w:r w:rsidRPr="005954ED">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3F7E4E1B" wp14:editId="6B872EFB">
                <wp:simplePos x="0" y="0"/>
                <wp:positionH relativeFrom="column">
                  <wp:posOffset>3002280</wp:posOffset>
                </wp:positionH>
                <wp:positionV relativeFrom="paragraph">
                  <wp:posOffset>498475</wp:posOffset>
                </wp:positionV>
                <wp:extent cx="784860" cy="95250"/>
                <wp:effectExtent l="0" t="0" r="15240" b="38100"/>
                <wp:wrapNone/>
                <wp:docPr id="2" name="Arrow: Left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95250"/>
                        </a:xfrm>
                        <a:prstGeom prst="leftArrow">
                          <a:avLst>
                            <a:gd name="adj1" fmla="val 50000"/>
                            <a:gd name="adj2" fmla="val 123601"/>
                          </a:avLst>
                        </a:prstGeom>
                        <a:gradFill rotWithShape="0">
                          <a:gsLst>
                            <a:gs pos="0">
                              <a:srgbClr val="4BACC6"/>
                            </a:gs>
                            <a:gs pos="100000">
                              <a:srgbClr val="308298"/>
                            </a:gs>
                          </a:gsLst>
                          <a:path path="rect">
                            <a:fillToRect l="50000" t="50000" r="50000" b="50000"/>
                          </a:path>
                        </a:gradFill>
                        <a:ln>
                          <a:noFill/>
                        </a:ln>
                        <a:effectLst>
                          <a:outerShdw dist="28398" dir="3806097" algn="ctr" rotWithShape="0">
                            <a:srgbClr val="205867"/>
                          </a:outerShdw>
                        </a:effectLst>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3FB38C"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36" o:spid="_x0000_s1026" type="#_x0000_t66" style="position:absolute;margin-left:236.4pt;margin-top:39.25pt;width:61.8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" adj="3240" fillcolor="#4bacc6" stroked="f" strokeweight="0">
                <v:fill color2="#308298" focusposition=".5,.5" focussize="" focus="100%" type="gradientRadial">
                  <o:fill v:ext="view" type="gradientCenter"/>
                </v:fill>
                <v:shadow on="t" color="#205867" offset="1pt"/>
              </v:shape>
            </w:pict>
          </mc:Fallback>
        </mc:AlternateContent>
      </w:r>
      <w:r w:rsidR="00EE6C73" w:rsidRPr="005954ED">
        <w:rPr>
          <w:rFonts w:ascii="Times New Roman" w:hAnsi="Times New Roman" w:cs="Times New Roman"/>
          <w:noProof/>
          <w:sz w:val="24"/>
          <w:szCs w:val="24"/>
        </w:rPr>
        <w:drawing>
          <wp:inline distT="0" distB="0" distL="0" distR="0" wp14:anchorId="3C2256D5" wp14:editId="0C6A08C4">
            <wp:extent cx="1676400" cy="1484366"/>
            <wp:effectExtent l="0" t="0" r="0" b="1905"/>
            <wp:docPr id="1555153494" name="Picture 1" descr="C:\Users\JONATHAN\Pictures\MONSURAT\IMG209903280048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JONATHAN\Pictures\MONSURAT\IMG2099032800482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5618" cy="1501383"/>
                    </a:xfrm>
                    <a:prstGeom prst="rect">
                      <a:avLst/>
                    </a:prstGeom>
                    <a:noFill/>
                    <a:ln>
                      <a:noFill/>
                    </a:ln>
                  </pic:spPr>
                </pic:pic>
              </a:graphicData>
            </a:graphic>
          </wp:inline>
        </w:drawing>
      </w:r>
      <w:r w:rsidR="00EC3D18">
        <w:rPr>
          <w:rFonts w:ascii="Times New Roman" w:hAnsi="Times New Roman" w:cs="Times New Roman"/>
          <w:b/>
          <w:bCs/>
          <w:sz w:val="24"/>
          <w:szCs w:val="24"/>
        </w:rPr>
        <w:t xml:space="preserve">   </w:t>
      </w:r>
      <w:r w:rsidR="00EE6C73" w:rsidRPr="005954ED">
        <w:rPr>
          <w:rFonts w:ascii="Times New Roman" w:hAnsi="Times New Roman" w:cs="Times New Roman"/>
          <w:b/>
          <w:bCs/>
          <w:sz w:val="24"/>
          <w:szCs w:val="24"/>
        </w:rPr>
        <w:t xml:space="preserve"> </w:t>
      </w:r>
      <w:r w:rsidR="00EE6C73" w:rsidRPr="005954ED">
        <w:rPr>
          <w:rFonts w:ascii="Times New Roman" w:hAnsi="Times New Roman" w:cs="Times New Roman"/>
          <w:noProof/>
          <w:sz w:val="24"/>
          <w:szCs w:val="24"/>
        </w:rPr>
        <w:drawing>
          <wp:inline distT="0" distB="0" distL="0" distR="0" wp14:anchorId="5ADF0372" wp14:editId="389407C1">
            <wp:extent cx="1885950" cy="1485900"/>
            <wp:effectExtent l="0" t="0" r="0" b="0"/>
            <wp:docPr id="1757851231" name="Picture 64" descr="C:\Users\JONATHAN\Pictures\MONSURAT\IMG209903280056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JONATHAN\Pictures\MONSURAT\IMG2099032800560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7713" cy="1487289"/>
                    </a:xfrm>
                    <a:prstGeom prst="rect">
                      <a:avLst/>
                    </a:prstGeom>
                    <a:noFill/>
                    <a:ln>
                      <a:noFill/>
                    </a:ln>
                  </pic:spPr>
                </pic:pic>
              </a:graphicData>
            </a:graphic>
          </wp:inline>
        </w:drawing>
      </w:r>
      <w:r w:rsidR="00EC3D18">
        <w:rPr>
          <w:rFonts w:ascii="Times New Roman" w:hAnsi="Times New Roman" w:cs="Times New Roman"/>
          <w:b/>
          <w:bCs/>
          <w:sz w:val="24"/>
          <w:szCs w:val="24"/>
        </w:rPr>
        <w:t xml:space="preserve">  </w:t>
      </w:r>
      <w:r w:rsidR="00EC3D18" w:rsidRPr="00BD0C43">
        <w:rPr>
          <w:noProof/>
        </w:rPr>
        <w:drawing>
          <wp:inline distT="0" distB="0" distL="0" distR="0" wp14:anchorId="21FA3AB3" wp14:editId="17AAB8BA">
            <wp:extent cx="2000250" cy="1543050"/>
            <wp:effectExtent l="0" t="0" r="0" b="0"/>
            <wp:docPr id="1989938408" name="Picture 27" descr="C:\Users\JONATHAN\Pictures\MONSURAT\IMG20990328020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C:\Users\JONATHAN\Pictures\MONSURAT\IMG2099032802012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6012" cy="1547495"/>
                    </a:xfrm>
                    <a:prstGeom prst="rect">
                      <a:avLst/>
                    </a:prstGeom>
                    <a:noFill/>
                    <a:ln>
                      <a:noFill/>
                    </a:ln>
                  </pic:spPr>
                </pic:pic>
              </a:graphicData>
            </a:graphic>
          </wp:inline>
        </w:drawing>
      </w:r>
      <w:r w:rsidR="00EC3D18">
        <w:rPr>
          <w:rFonts w:ascii="Times New Roman" w:hAnsi="Times New Roman" w:cs="Times New Roman"/>
          <w:b/>
          <w:bCs/>
          <w:sz w:val="24"/>
          <w:szCs w:val="24"/>
        </w:rPr>
        <w:t xml:space="preserve"> </w:t>
      </w:r>
    </w:p>
    <w:p w14:paraId="76D5DA8E" w14:textId="77777777" w:rsidR="00EC3D18" w:rsidRDefault="00D03F8E" w:rsidP="00EC3D18">
      <w:pPr>
        <w:spacing w:after="0" w:line="240" w:lineRule="auto"/>
        <w:jc w:val="both"/>
        <w:rPr>
          <w:rFonts w:ascii="Times New Roman" w:hAnsi="Times New Roman" w:cs="Times New Roman"/>
          <w:sz w:val="24"/>
          <w:szCs w:val="24"/>
        </w:rPr>
      </w:pPr>
      <w:r w:rsidRPr="005954ED">
        <w:rPr>
          <w:rFonts w:ascii="Times New Roman" w:hAnsi="Times New Roman" w:cs="Times New Roman"/>
          <w:b/>
          <w:bCs/>
          <w:sz w:val="24"/>
          <w:szCs w:val="24"/>
        </w:rPr>
        <w:t xml:space="preserve">  </w:t>
      </w:r>
      <w:r w:rsidR="00EE6C73" w:rsidRPr="005954ED">
        <w:rPr>
          <w:rFonts w:ascii="Times New Roman" w:hAnsi="Times New Roman" w:cs="Times New Roman"/>
          <w:b/>
          <w:bCs/>
          <w:sz w:val="24"/>
          <w:szCs w:val="24"/>
        </w:rPr>
        <w:t>A Normal control</w:t>
      </w:r>
      <w:r w:rsidR="00EC3D18">
        <w:rPr>
          <w:rFonts w:ascii="Times New Roman" w:hAnsi="Times New Roman" w:cs="Times New Roman"/>
          <w:b/>
          <w:bCs/>
          <w:sz w:val="24"/>
          <w:szCs w:val="24"/>
        </w:rPr>
        <w:t xml:space="preserve">                  </w:t>
      </w:r>
      <w:r w:rsidRPr="005954ED">
        <w:rPr>
          <w:rFonts w:ascii="Times New Roman" w:hAnsi="Times New Roman" w:cs="Times New Roman"/>
          <w:b/>
          <w:bCs/>
          <w:sz w:val="24"/>
          <w:szCs w:val="24"/>
        </w:rPr>
        <w:t xml:space="preserve"> </w:t>
      </w:r>
      <w:r w:rsidR="00EE6C73" w:rsidRPr="005954ED">
        <w:rPr>
          <w:rFonts w:ascii="Times New Roman" w:hAnsi="Times New Roman" w:cs="Times New Roman"/>
          <w:b/>
          <w:bCs/>
          <w:sz w:val="24"/>
          <w:szCs w:val="24"/>
        </w:rPr>
        <w:t>B Paracetamol Only.</w:t>
      </w:r>
      <w:r w:rsidR="00EE6C73" w:rsidRPr="005954ED">
        <w:rPr>
          <w:rFonts w:ascii="Times New Roman" w:hAnsi="Times New Roman" w:cs="Times New Roman"/>
          <w:sz w:val="24"/>
          <w:szCs w:val="24"/>
        </w:rPr>
        <w:t xml:space="preserve"> </w:t>
      </w:r>
      <w:r w:rsidR="00EC3D18">
        <w:rPr>
          <w:rFonts w:ascii="Times New Roman" w:hAnsi="Times New Roman" w:cs="Times New Roman"/>
          <w:sz w:val="24"/>
          <w:szCs w:val="24"/>
        </w:rPr>
        <w:tab/>
      </w:r>
      <w:r w:rsidR="00EC3D18">
        <w:rPr>
          <w:rFonts w:ascii="Times New Roman" w:hAnsi="Times New Roman" w:cs="Times New Roman"/>
          <w:sz w:val="24"/>
          <w:szCs w:val="24"/>
        </w:rPr>
        <w:tab/>
      </w:r>
      <w:r w:rsidR="00EC3D18" w:rsidRPr="00EC3D18">
        <w:rPr>
          <w:rFonts w:ascii="Times New Roman" w:hAnsi="Times New Roman" w:cs="Times New Roman"/>
          <w:b/>
          <w:sz w:val="24"/>
          <w:szCs w:val="24"/>
        </w:rPr>
        <w:t>PCM+</w:t>
      </w:r>
      <w:r w:rsidR="00161DE0">
        <w:rPr>
          <w:rFonts w:ascii="Times New Roman" w:hAnsi="Times New Roman" w:cs="Times New Roman"/>
          <w:b/>
          <w:sz w:val="24"/>
          <w:szCs w:val="24"/>
        </w:rPr>
        <w:t xml:space="preserve"> </w:t>
      </w:r>
      <w:r w:rsidR="00EC3D18" w:rsidRPr="00EC3D18">
        <w:rPr>
          <w:rFonts w:ascii="Times New Roman" w:hAnsi="Times New Roman" w:cs="Times New Roman"/>
          <w:b/>
          <w:sz w:val="24"/>
          <w:szCs w:val="24"/>
        </w:rPr>
        <w:t>Silymarin</w:t>
      </w:r>
      <w:r w:rsidR="00EE6C73" w:rsidRPr="005954ED">
        <w:rPr>
          <w:rFonts w:ascii="Times New Roman" w:hAnsi="Times New Roman" w:cs="Times New Roman"/>
          <w:sz w:val="24"/>
          <w:szCs w:val="24"/>
        </w:rPr>
        <w:t xml:space="preserve">   </w:t>
      </w:r>
    </w:p>
    <w:p w14:paraId="052E809C" w14:textId="77777777" w:rsidR="00EC3D18" w:rsidRDefault="00EC3D18" w:rsidP="00D03F8E">
      <w:pPr>
        <w:spacing w:after="0" w:line="240" w:lineRule="auto"/>
        <w:jc w:val="both"/>
        <w:rPr>
          <w:rFonts w:ascii="Times New Roman" w:hAnsi="Times New Roman" w:cs="Times New Roman"/>
          <w:sz w:val="24"/>
          <w:szCs w:val="24"/>
        </w:rPr>
      </w:pPr>
    </w:p>
    <w:p w14:paraId="6408A049" w14:textId="77777777" w:rsidR="00EE6C73" w:rsidRPr="005954ED" w:rsidRDefault="00EE6C73" w:rsidP="00D03F8E">
      <w:pPr>
        <w:spacing w:after="0" w:line="240" w:lineRule="auto"/>
        <w:jc w:val="both"/>
        <w:rPr>
          <w:rFonts w:ascii="Times New Roman" w:hAnsi="Times New Roman" w:cs="Times New Roman"/>
          <w:b/>
          <w:bCs/>
          <w:sz w:val="24"/>
          <w:szCs w:val="24"/>
        </w:rPr>
      </w:pPr>
      <w:r w:rsidRPr="005954ED">
        <w:rPr>
          <w:rFonts w:ascii="Times New Roman" w:hAnsi="Times New Roman" w:cs="Times New Roman"/>
          <w:sz w:val="24"/>
          <w:szCs w:val="24"/>
        </w:rPr>
        <w:t xml:space="preserve">                                                                      </w:t>
      </w:r>
    </w:p>
    <w:p w14:paraId="39F9F287" w14:textId="77777777" w:rsidR="00EE6C73" w:rsidRPr="005954ED" w:rsidRDefault="00EC3D18" w:rsidP="00D03F8E">
      <w:pPr>
        <w:spacing w:after="0" w:line="240" w:lineRule="auto"/>
        <w:rPr>
          <w:rFonts w:ascii="Times New Roman" w:hAnsi="Times New Roman" w:cs="Times New Roman"/>
          <w:sz w:val="24"/>
          <w:szCs w:val="24"/>
        </w:rPr>
      </w:pPr>
      <w:r w:rsidRPr="005954ED">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0B7D66EE" wp14:editId="64E26424">
                <wp:simplePos x="0" y="0"/>
                <wp:positionH relativeFrom="column">
                  <wp:posOffset>4295775</wp:posOffset>
                </wp:positionH>
                <wp:positionV relativeFrom="paragraph">
                  <wp:posOffset>1419225</wp:posOffset>
                </wp:positionV>
                <wp:extent cx="904875" cy="100330"/>
                <wp:effectExtent l="38100" t="19050" r="104775" b="33020"/>
                <wp:wrapNone/>
                <wp:docPr id="1261756858" name="Arrow: Left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100330"/>
                        </a:xfrm>
                        <a:prstGeom prst="leftArrow">
                          <a:avLst>
                            <a:gd name="adj1" fmla="val 50000"/>
                            <a:gd name="adj2" fmla="val 144755"/>
                          </a:avLst>
                        </a:prstGeom>
                        <a:gradFill rotWithShape="0">
                          <a:gsLst>
                            <a:gs pos="0">
                              <a:srgbClr val="7F7F7F"/>
                            </a:gs>
                            <a:gs pos="100000">
                              <a:srgbClr val="000000"/>
                            </a:gs>
                          </a:gsLst>
                          <a:lin ang="2700000" scaled="1"/>
                        </a:gradFill>
                        <a:ln w="12700">
                          <a:solidFill>
                            <a:srgbClr val="F2F2F2"/>
                          </a:solidFill>
                          <a:miter lim="800000"/>
                          <a:headEnd/>
                          <a:tailEnd/>
                        </a:ln>
                        <a:effectLst>
                          <a:outerShdw sy="50000" kx="-2453608" rotWithShape="0">
                            <a:srgbClr val="999999">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8EC7E" id="Arrow: Left 34" o:spid="_x0000_s1026" type="#_x0000_t66" style="position:absolute;margin-left:338.25pt;margin-top:111.75pt;width:71.25pt;height: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" adj="3467" fillcolor="#7f7f7f" strokecolor="#f2f2f2" strokeweight="1pt">
                <v:fill color2="black" angle="45" focus="100%" type="gradient"/>
                <v:shadow on="t" type="perspective" color="#999" opacity=".5" origin=",.5" offset="0,0" matrix=",-56756f,,.5"/>
              </v:shape>
            </w:pict>
          </mc:Fallback>
        </mc:AlternateContent>
      </w:r>
      <w:r w:rsidRPr="005954ED">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C28B54F" wp14:editId="20C077AF">
                <wp:simplePos x="0" y="0"/>
                <wp:positionH relativeFrom="column">
                  <wp:posOffset>4474210</wp:posOffset>
                </wp:positionH>
                <wp:positionV relativeFrom="paragraph">
                  <wp:posOffset>320040</wp:posOffset>
                </wp:positionV>
                <wp:extent cx="784860" cy="95250"/>
                <wp:effectExtent l="0" t="0" r="15240" b="38100"/>
                <wp:wrapNone/>
                <wp:docPr id="1209228820" name="Arrow: Left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95250"/>
                        </a:xfrm>
                        <a:prstGeom prst="leftArrow">
                          <a:avLst>
                            <a:gd name="adj1" fmla="val 50000"/>
                            <a:gd name="adj2" fmla="val 123601"/>
                          </a:avLst>
                        </a:prstGeom>
                        <a:gradFill rotWithShape="0">
                          <a:gsLst>
                            <a:gs pos="0">
                              <a:srgbClr val="4BACC6"/>
                            </a:gs>
                            <a:gs pos="100000">
                              <a:srgbClr val="308298"/>
                            </a:gs>
                          </a:gsLst>
                          <a:path path="rect">
                            <a:fillToRect l="50000" t="50000" r="50000" b="50000"/>
                          </a:path>
                        </a:gradFill>
                        <a:ln>
                          <a:noFill/>
                        </a:ln>
                        <a:effectLst>
                          <a:outerShdw dist="28398" dir="3806097" algn="ctr" rotWithShape="0">
                            <a:srgbClr val="205867"/>
                          </a:outerShdw>
                        </a:effectLst>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C1D14" id="Arrow: Left 36" o:spid="_x0000_s1026" type="#_x0000_t66" style="position:absolute;margin-left:352.3pt;margin-top:25.2pt;width:61.8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" adj="3240" fillcolor="#4bacc6" stroked="f" strokeweight="0">
                <v:fill color2="#308298" focusposition=".5,.5" focussize="" focus="100%" type="gradientRadial">
                  <o:fill v:ext="view" type="gradientCenter"/>
                </v:fill>
                <v:shadow on="t" color="#205867" offset="1pt"/>
              </v:shape>
            </w:pict>
          </mc:Fallback>
        </mc:AlternateContent>
      </w:r>
      <w:r w:rsidR="00EE6C73" w:rsidRPr="005954ED">
        <w:rPr>
          <w:rFonts w:ascii="Times New Roman" w:hAnsi="Times New Roman" w:cs="Times New Roman"/>
          <w:noProof/>
          <w:sz w:val="24"/>
          <w:szCs w:val="24"/>
        </w:rPr>
        <w:drawing>
          <wp:inline distT="0" distB="0" distL="0" distR="0" wp14:anchorId="12BC4234" wp14:editId="5B447F42">
            <wp:extent cx="2179674" cy="1966620"/>
            <wp:effectExtent l="0" t="0" r="0" b="0"/>
            <wp:docPr id="1947669374" name="Picture 41" descr="C:\Users\JONATHAN\Pictures\MONSURAT\IMG209903280202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C:\Users\JONATHAN\Pictures\MONSURAT\IMG2099032802025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9915" cy="1966837"/>
                    </a:xfrm>
                    <a:prstGeom prst="rect">
                      <a:avLst/>
                    </a:prstGeom>
                    <a:noFill/>
                    <a:ln>
                      <a:noFill/>
                    </a:ln>
                  </pic:spPr>
                </pic:pic>
              </a:graphicData>
            </a:graphic>
          </wp:inline>
        </w:drawing>
      </w:r>
      <w:r>
        <w:rPr>
          <w:rFonts w:ascii="Times New Roman" w:hAnsi="Times New Roman" w:cs="Times New Roman"/>
          <w:noProof/>
          <w:sz w:val="24"/>
          <w:szCs w:val="24"/>
        </w:rPr>
        <w:t xml:space="preserve">      </w:t>
      </w:r>
      <w:r w:rsidR="00CA021E" w:rsidRPr="005954ED">
        <w:rPr>
          <w:rFonts w:ascii="Times New Roman" w:hAnsi="Times New Roman" w:cs="Times New Roman"/>
          <w:noProof/>
          <w:sz w:val="24"/>
          <w:szCs w:val="24"/>
        </w:rPr>
        <w:t xml:space="preserve">  </w:t>
      </w:r>
      <w:r w:rsidR="00EE6C73" w:rsidRPr="005954ED">
        <w:rPr>
          <w:rFonts w:ascii="Times New Roman" w:hAnsi="Times New Roman" w:cs="Times New Roman"/>
          <w:noProof/>
          <w:sz w:val="24"/>
          <w:szCs w:val="24"/>
        </w:rPr>
        <w:t xml:space="preserve">   </w:t>
      </w:r>
      <w:r w:rsidR="00EE6C73" w:rsidRPr="005954ED">
        <w:rPr>
          <w:rFonts w:ascii="Times New Roman" w:hAnsi="Times New Roman" w:cs="Times New Roman"/>
          <w:noProof/>
          <w:sz w:val="24"/>
          <w:szCs w:val="24"/>
        </w:rPr>
        <w:drawing>
          <wp:inline distT="0" distB="0" distL="0" distR="0" wp14:anchorId="6DD2F3EB" wp14:editId="50E4829E">
            <wp:extent cx="2307264" cy="1956391"/>
            <wp:effectExtent l="0" t="0" r="0" b="6350"/>
            <wp:docPr id="1436404640" name="Picture 54" descr="C:\Users\JONATHAN\Pictures\MONSURAT\IMG209903280155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C:\Users\JONATHAN\Pictures\MONSURAT\IMG2099032801550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3107" cy="1961345"/>
                    </a:xfrm>
                    <a:prstGeom prst="rect">
                      <a:avLst/>
                    </a:prstGeom>
                    <a:noFill/>
                    <a:ln>
                      <a:noFill/>
                    </a:ln>
                  </pic:spPr>
                </pic:pic>
              </a:graphicData>
            </a:graphic>
          </wp:inline>
        </w:drawing>
      </w:r>
    </w:p>
    <w:p w14:paraId="44D9EEFF" w14:textId="77777777" w:rsidR="00D03F8E" w:rsidRPr="005954ED" w:rsidRDefault="00EE6C73" w:rsidP="00D03F8E">
      <w:pPr>
        <w:spacing w:after="0" w:line="240" w:lineRule="auto"/>
        <w:rPr>
          <w:rFonts w:ascii="Times New Roman" w:hAnsi="Times New Roman" w:cs="Times New Roman"/>
          <w:b/>
          <w:bCs/>
          <w:sz w:val="24"/>
          <w:szCs w:val="24"/>
        </w:rPr>
      </w:pPr>
      <w:r w:rsidRPr="005954ED">
        <w:rPr>
          <w:rFonts w:ascii="Times New Roman" w:hAnsi="Times New Roman" w:cs="Times New Roman"/>
          <w:b/>
          <w:bCs/>
          <w:sz w:val="24"/>
          <w:szCs w:val="24"/>
        </w:rPr>
        <w:t xml:space="preserve">PCM </w:t>
      </w:r>
      <w:r w:rsidRPr="005954ED">
        <w:rPr>
          <w:rFonts w:ascii="Times New Roman" w:hAnsi="Times New Roman" w:cs="Times New Roman"/>
          <w:b/>
          <w:bCs/>
          <w:i/>
          <w:iCs/>
          <w:sz w:val="24"/>
          <w:szCs w:val="24"/>
        </w:rPr>
        <w:t>+Euphorbia hirta</w:t>
      </w:r>
      <w:r w:rsidRPr="005954ED">
        <w:rPr>
          <w:rFonts w:ascii="Times New Roman" w:hAnsi="Times New Roman" w:cs="Times New Roman"/>
          <w:b/>
          <w:bCs/>
          <w:sz w:val="24"/>
          <w:szCs w:val="24"/>
        </w:rPr>
        <w:t xml:space="preserve"> 250mg/kg                 PCM+ </w:t>
      </w:r>
      <w:r w:rsidRPr="005954ED">
        <w:rPr>
          <w:rFonts w:ascii="Times New Roman" w:hAnsi="Times New Roman" w:cs="Times New Roman"/>
          <w:b/>
          <w:bCs/>
          <w:i/>
          <w:iCs/>
          <w:sz w:val="24"/>
          <w:szCs w:val="24"/>
        </w:rPr>
        <w:t>Euphorbia hirta</w:t>
      </w:r>
      <w:r w:rsidRPr="005954ED">
        <w:rPr>
          <w:rFonts w:ascii="Times New Roman" w:hAnsi="Times New Roman" w:cs="Times New Roman"/>
          <w:b/>
          <w:bCs/>
          <w:sz w:val="24"/>
          <w:szCs w:val="24"/>
        </w:rPr>
        <w:t xml:space="preserve"> 125mg/kg  </w:t>
      </w:r>
    </w:p>
    <w:p w14:paraId="77B29130" w14:textId="77777777" w:rsidR="00EE6C73" w:rsidRPr="005954ED" w:rsidRDefault="00EE6C73" w:rsidP="00D03F8E">
      <w:pPr>
        <w:spacing w:after="0" w:line="240" w:lineRule="auto"/>
        <w:rPr>
          <w:rFonts w:ascii="Times New Roman" w:hAnsi="Times New Roman" w:cs="Times New Roman"/>
          <w:b/>
          <w:bCs/>
          <w:sz w:val="24"/>
          <w:szCs w:val="24"/>
        </w:rPr>
      </w:pPr>
      <w:r w:rsidRPr="005954ED">
        <w:rPr>
          <w:rFonts w:ascii="Times New Roman" w:hAnsi="Times New Roman" w:cs="Times New Roman"/>
          <w:b/>
          <w:bCs/>
          <w:sz w:val="24"/>
          <w:szCs w:val="24"/>
        </w:rPr>
        <w:t xml:space="preserve">              </w:t>
      </w:r>
    </w:p>
    <w:p w14:paraId="1878D580" w14:textId="397A9A13" w:rsidR="003C5577" w:rsidRPr="005954ED" w:rsidRDefault="00CA021E" w:rsidP="003C5577">
      <w:pPr>
        <w:spacing w:after="0" w:line="240" w:lineRule="auto"/>
        <w:rPr>
          <w:rFonts w:ascii="Times New Roman" w:hAnsi="Times New Roman" w:cs="Times New Roman"/>
          <w:b/>
          <w:i/>
          <w:iCs/>
          <w:sz w:val="24"/>
          <w:szCs w:val="24"/>
        </w:rPr>
      </w:pPr>
      <w:bookmarkStart w:id="1" w:name="OLE_LINK1"/>
      <w:r w:rsidRPr="005954ED">
        <w:rPr>
          <w:rFonts w:ascii="Times New Roman" w:hAnsi="Times New Roman" w:cs="Times New Roman"/>
          <w:b/>
          <w:sz w:val="24"/>
          <w:szCs w:val="24"/>
        </w:rPr>
        <w:t>Fig. 1:</w:t>
      </w:r>
      <w:r w:rsidR="00EE6C73" w:rsidRPr="005954ED">
        <w:rPr>
          <w:rFonts w:ascii="Times New Roman" w:hAnsi="Times New Roman" w:cs="Times New Roman"/>
          <w:b/>
          <w:sz w:val="24"/>
          <w:szCs w:val="24"/>
        </w:rPr>
        <w:t xml:space="preserve"> Photomicrographs of liver section stain by haematoxyl</w:t>
      </w:r>
      <w:r w:rsidR="00E415E2">
        <w:rPr>
          <w:rFonts w:ascii="Times New Roman" w:hAnsi="Times New Roman" w:cs="Times New Roman"/>
          <w:b/>
          <w:sz w:val="24"/>
          <w:szCs w:val="24"/>
        </w:rPr>
        <w:t>in and eosin (400X) of A (</w:t>
      </w:r>
      <w:r w:rsidR="00E415E2" w:rsidRPr="00E415E2">
        <w:rPr>
          <w:rFonts w:ascii="Times New Roman" w:hAnsi="Times New Roman" w:cs="Times New Roman"/>
          <w:b/>
          <w:sz w:val="24"/>
          <w:szCs w:val="24"/>
          <w:highlight w:val="yellow"/>
        </w:rPr>
        <w:t>negative</w:t>
      </w:r>
      <w:r w:rsidR="00EE6C73" w:rsidRPr="00E415E2">
        <w:rPr>
          <w:rFonts w:ascii="Times New Roman" w:hAnsi="Times New Roman" w:cs="Times New Roman"/>
          <w:b/>
          <w:sz w:val="24"/>
          <w:szCs w:val="24"/>
          <w:highlight w:val="yellow"/>
        </w:rPr>
        <w:t xml:space="preserve"> control</w:t>
      </w:r>
      <w:r w:rsidR="00EE6C73" w:rsidRPr="005954ED">
        <w:rPr>
          <w:rFonts w:ascii="Times New Roman" w:hAnsi="Times New Roman" w:cs="Times New Roman"/>
          <w:b/>
          <w:sz w:val="24"/>
          <w:szCs w:val="24"/>
        </w:rPr>
        <w:t xml:space="preserve">), B (PCM only), C (PCM+ </w:t>
      </w:r>
      <w:r w:rsidR="00EE6C73" w:rsidRPr="005954ED">
        <w:rPr>
          <w:rFonts w:ascii="Times New Roman" w:hAnsi="Times New Roman" w:cs="Times New Roman"/>
          <w:b/>
          <w:i/>
          <w:iCs/>
          <w:sz w:val="24"/>
          <w:szCs w:val="24"/>
        </w:rPr>
        <w:t>Euphorbia hirta</w:t>
      </w:r>
      <w:r w:rsidR="00EE6C73" w:rsidRPr="005954ED">
        <w:rPr>
          <w:rFonts w:ascii="Times New Roman" w:hAnsi="Times New Roman" w:cs="Times New Roman"/>
          <w:b/>
          <w:sz w:val="24"/>
          <w:szCs w:val="24"/>
        </w:rPr>
        <w:t xml:space="preserve"> 125mg/kg body weight), E (PCM+ </w:t>
      </w:r>
      <w:r w:rsidR="00EE6C73" w:rsidRPr="005954ED">
        <w:rPr>
          <w:rFonts w:ascii="Times New Roman" w:hAnsi="Times New Roman" w:cs="Times New Roman"/>
          <w:b/>
          <w:i/>
          <w:iCs/>
          <w:sz w:val="24"/>
          <w:szCs w:val="24"/>
        </w:rPr>
        <w:t>Euphorbia hirta</w:t>
      </w:r>
      <w:r w:rsidR="00EE6C73" w:rsidRPr="005954ED">
        <w:rPr>
          <w:rFonts w:ascii="Times New Roman" w:hAnsi="Times New Roman" w:cs="Times New Roman"/>
          <w:b/>
          <w:sz w:val="24"/>
          <w:szCs w:val="24"/>
        </w:rPr>
        <w:t xml:space="preserve"> 250mg/kg body weight). PCM=Paracetamol, AEEH=Aqueous leaf extract of </w:t>
      </w:r>
      <w:r w:rsidR="00EE6C73" w:rsidRPr="005954ED">
        <w:rPr>
          <w:rFonts w:ascii="Times New Roman" w:hAnsi="Times New Roman" w:cs="Times New Roman"/>
          <w:b/>
          <w:i/>
          <w:iCs/>
          <w:sz w:val="24"/>
          <w:szCs w:val="24"/>
        </w:rPr>
        <w:t>Euphorbia hirt</w:t>
      </w:r>
      <w:bookmarkEnd w:id="1"/>
      <w:r w:rsidR="00EE6C73" w:rsidRPr="005954ED">
        <w:rPr>
          <w:rFonts w:ascii="Times New Roman" w:hAnsi="Times New Roman" w:cs="Times New Roman"/>
          <w:b/>
          <w:i/>
          <w:iCs/>
          <w:sz w:val="24"/>
          <w:szCs w:val="24"/>
        </w:rPr>
        <w:t>a.</w:t>
      </w:r>
    </w:p>
    <w:p w14:paraId="6EA35B1A" w14:textId="77777777" w:rsidR="00D03F8E" w:rsidRPr="005954ED" w:rsidRDefault="00D03F8E" w:rsidP="003C5577">
      <w:pPr>
        <w:spacing w:after="0" w:line="240" w:lineRule="auto"/>
        <w:rPr>
          <w:rFonts w:ascii="Times New Roman" w:hAnsi="Times New Roman" w:cs="Times New Roman"/>
          <w:b/>
          <w:i/>
          <w:iCs/>
          <w:sz w:val="24"/>
          <w:szCs w:val="24"/>
        </w:rPr>
      </w:pPr>
    </w:p>
    <w:bookmarkEnd w:id="0"/>
    <w:p w14:paraId="583863B5" w14:textId="77777777" w:rsidR="008C215B" w:rsidRDefault="008C215B" w:rsidP="00D03F8E">
      <w:pPr>
        <w:spacing w:after="0" w:line="240" w:lineRule="auto"/>
        <w:jc w:val="both"/>
        <w:rPr>
          <w:rFonts w:ascii="Times New Roman" w:hAnsi="Times New Roman" w:cs="Times New Roman"/>
          <w:b/>
          <w:bCs/>
          <w:sz w:val="24"/>
          <w:szCs w:val="24"/>
        </w:rPr>
      </w:pPr>
    </w:p>
    <w:p w14:paraId="2AED3E07" w14:textId="77777777" w:rsidR="008C215B" w:rsidRDefault="008C215B" w:rsidP="00D03F8E">
      <w:pPr>
        <w:spacing w:after="0" w:line="240" w:lineRule="auto"/>
        <w:jc w:val="both"/>
        <w:rPr>
          <w:rFonts w:ascii="Times New Roman" w:hAnsi="Times New Roman" w:cs="Times New Roman"/>
          <w:b/>
          <w:bCs/>
          <w:sz w:val="24"/>
          <w:szCs w:val="24"/>
        </w:rPr>
      </w:pPr>
    </w:p>
    <w:p w14:paraId="1C23FF9B" w14:textId="77777777" w:rsidR="008C215B" w:rsidRDefault="008C215B" w:rsidP="00D03F8E">
      <w:pPr>
        <w:spacing w:after="0" w:line="240" w:lineRule="auto"/>
        <w:jc w:val="both"/>
        <w:rPr>
          <w:rFonts w:ascii="Times New Roman" w:hAnsi="Times New Roman" w:cs="Times New Roman"/>
          <w:b/>
          <w:bCs/>
          <w:sz w:val="24"/>
          <w:szCs w:val="24"/>
        </w:rPr>
      </w:pPr>
    </w:p>
    <w:p w14:paraId="387945DD" w14:textId="77777777" w:rsidR="008C215B" w:rsidRDefault="008C215B" w:rsidP="00D03F8E">
      <w:pPr>
        <w:spacing w:after="0" w:line="240" w:lineRule="auto"/>
        <w:jc w:val="both"/>
        <w:rPr>
          <w:rFonts w:ascii="Times New Roman" w:hAnsi="Times New Roman" w:cs="Times New Roman"/>
          <w:b/>
          <w:bCs/>
          <w:sz w:val="24"/>
          <w:szCs w:val="24"/>
        </w:rPr>
      </w:pPr>
    </w:p>
    <w:p w14:paraId="29608F6B" w14:textId="77777777" w:rsidR="008C215B" w:rsidRDefault="008C215B" w:rsidP="00D03F8E">
      <w:pPr>
        <w:spacing w:after="0" w:line="240" w:lineRule="auto"/>
        <w:jc w:val="both"/>
        <w:rPr>
          <w:rFonts w:ascii="Times New Roman" w:hAnsi="Times New Roman" w:cs="Times New Roman"/>
          <w:b/>
          <w:bCs/>
          <w:sz w:val="24"/>
          <w:szCs w:val="24"/>
        </w:rPr>
      </w:pPr>
    </w:p>
    <w:p w14:paraId="319626D5" w14:textId="77777777" w:rsidR="008C215B" w:rsidRDefault="008C215B" w:rsidP="00D03F8E">
      <w:pPr>
        <w:spacing w:after="0" w:line="240" w:lineRule="auto"/>
        <w:jc w:val="both"/>
        <w:rPr>
          <w:rFonts w:ascii="Times New Roman" w:hAnsi="Times New Roman" w:cs="Times New Roman"/>
          <w:b/>
          <w:bCs/>
          <w:sz w:val="24"/>
          <w:szCs w:val="24"/>
        </w:rPr>
      </w:pPr>
    </w:p>
    <w:p w14:paraId="3E21CFB6" w14:textId="77777777" w:rsidR="008C215B" w:rsidRDefault="008C215B" w:rsidP="00D03F8E">
      <w:pPr>
        <w:spacing w:after="0" w:line="240" w:lineRule="auto"/>
        <w:jc w:val="both"/>
        <w:rPr>
          <w:rFonts w:ascii="Times New Roman" w:hAnsi="Times New Roman" w:cs="Times New Roman"/>
          <w:b/>
          <w:bCs/>
          <w:sz w:val="24"/>
          <w:szCs w:val="24"/>
        </w:rPr>
      </w:pPr>
    </w:p>
    <w:p w14:paraId="1D4D0C36" w14:textId="77777777" w:rsidR="008C215B" w:rsidRDefault="008C215B" w:rsidP="00D03F8E">
      <w:pPr>
        <w:spacing w:after="0" w:line="240" w:lineRule="auto"/>
        <w:jc w:val="both"/>
        <w:rPr>
          <w:rFonts w:ascii="Times New Roman" w:hAnsi="Times New Roman" w:cs="Times New Roman"/>
          <w:b/>
          <w:bCs/>
          <w:sz w:val="24"/>
          <w:szCs w:val="24"/>
        </w:rPr>
      </w:pPr>
    </w:p>
    <w:p w14:paraId="62A6EC86" w14:textId="77777777" w:rsidR="008C215B" w:rsidRDefault="008C215B" w:rsidP="00D03F8E">
      <w:pPr>
        <w:spacing w:after="0" w:line="240" w:lineRule="auto"/>
        <w:jc w:val="both"/>
        <w:rPr>
          <w:rFonts w:ascii="Times New Roman" w:hAnsi="Times New Roman" w:cs="Times New Roman"/>
          <w:b/>
          <w:bCs/>
          <w:sz w:val="24"/>
          <w:szCs w:val="24"/>
        </w:rPr>
      </w:pPr>
    </w:p>
    <w:p w14:paraId="1EF5BF25" w14:textId="77777777" w:rsidR="008C215B" w:rsidRDefault="008C215B" w:rsidP="00D03F8E">
      <w:pPr>
        <w:spacing w:after="0" w:line="240" w:lineRule="auto"/>
        <w:jc w:val="both"/>
        <w:rPr>
          <w:rFonts w:ascii="Times New Roman" w:hAnsi="Times New Roman" w:cs="Times New Roman"/>
          <w:b/>
          <w:bCs/>
          <w:sz w:val="24"/>
          <w:szCs w:val="24"/>
        </w:rPr>
      </w:pPr>
    </w:p>
    <w:p w14:paraId="67925CA8" w14:textId="77777777" w:rsidR="008C215B" w:rsidRDefault="008C215B" w:rsidP="00D03F8E">
      <w:pPr>
        <w:spacing w:after="0" w:line="240" w:lineRule="auto"/>
        <w:jc w:val="both"/>
        <w:rPr>
          <w:rFonts w:ascii="Times New Roman" w:hAnsi="Times New Roman" w:cs="Times New Roman"/>
          <w:b/>
          <w:bCs/>
          <w:sz w:val="24"/>
          <w:szCs w:val="24"/>
        </w:rPr>
      </w:pPr>
    </w:p>
    <w:p w14:paraId="243F3E14" w14:textId="77777777" w:rsidR="008C215B" w:rsidRDefault="008C215B" w:rsidP="00D03F8E">
      <w:pPr>
        <w:spacing w:after="0" w:line="240" w:lineRule="auto"/>
        <w:jc w:val="both"/>
        <w:rPr>
          <w:rFonts w:ascii="Times New Roman" w:hAnsi="Times New Roman" w:cs="Times New Roman"/>
          <w:b/>
          <w:bCs/>
          <w:sz w:val="24"/>
          <w:szCs w:val="24"/>
        </w:rPr>
      </w:pPr>
    </w:p>
    <w:p w14:paraId="2E3211A0" w14:textId="77777777" w:rsidR="008C215B" w:rsidRDefault="008C215B" w:rsidP="00D03F8E">
      <w:pPr>
        <w:spacing w:after="0" w:line="240" w:lineRule="auto"/>
        <w:jc w:val="both"/>
        <w:rPr>
          <w:rFonts w:ascii="Times New Roman" w:hAnsi="Times New Roman" w:cs="Times New Roman"/>
          <w:b/>
          <w:bCs/>
          <w:sz w:val="24"/>
          <w:szCs w:val="24"/>
        </w:rPr>
      </w:pPr>
    </w:p>
    <w:p w14:paraId="58A72213" w14:textId="77777777" w:rsidR="008C215B" w:rsidRDefault="008C215B" w:rsidP="00D03F8E">
      <w:pPr>
        <w:spacing w:after="0" w:line="240" w:lineRule="auto"/>
        <w:jc w:val="both"/>
        <w:rPr>
          <w:rFonts w:ascii="Times New Roman" w:hAnsi="Times New Roman" w:cs="Times New Roman"/>
          <w:b/>
          <w:bCs/>
          <w:sz w:val="24"/>
          <w:szCs w:val="24"/>
        </w:rPr>
      </w:pPr>
    </w:p>
    <w:p w14:paraId="2493848E" w14:textId="77777777" w:rsidR="008C215B" w:rsidRDefault="008C215B" w:rsidP="00D03F8E">
      <w:pPr>
        <w:spacing w:after="0" w:line="240" w:lineRule="auto"/>
        <w:jc w:val="both"/>
        <w:rPr>
          <w:rFonts w:ascii="Times New Roman" w:hAnsi="Times New Roman" w:cs="Times New Roman"/>
          <w:b/>
          <w:bCs/>
          <w:sz w:val="24"/>
          <w:szCs w:val="24"/>
        </w:rPr>
      </w:pPr>
    </w:p>
    <w:p w14:paraId="218DA0D8" w14:textId="77777777" w:rsidR="008C215B" w:rsidRDefault="008C215B" w:rsidP="00D03F8E">
      <w:pPr>
        <w:spacing w:after="0" w:line="240" w:lineRule="auto"/>
        <w:jc w:val="both"/>
        <w:rPr>
          <w:rFonts w:ascii="Times New Roman" w:hAnsi="Times New Roman" w:cs="Times New Roman"/>
          <w:b/>
          <w:bCs/>
          <w:sz w:val="24"/>
          <w:szCs w:val="24"/>
        </w:rPr>
      </w:pPr>
    </w:p>
    <w:p w14:paraId="74B34833" w14:textId="77777777" w:rsidR="008C215B" w:rsidRDefault="008C215B" w:rsidP="00D03F8E">
      <w:pPr>
        <w:spacing w:after="0" w:line="240" w:lineRule="auto"/>
        <w:jc w:val="both"/>
        <w:rPr>
          <w:rFonts w:ascii="Times New Roman" w:hAnsi="Times New Roman" w:cs="Times New Roman"/>
          <w:b/>
          <w:bCs/>
          <w:sz w:val="24"/>
          <w:szCs w:val="24"/>
        </w:rPr>
      </w:pPr>
    </w:p>
    <w:p w14:paraId="0BEAD8DA" w14:textId="5160413B" w:rsidR="00EE6C73" w:rsidRPr="005954ED" w:rsidRDefault="00EE6C73" w:rsidP="00D03F8E">
      <w:pPr>
        <w:spacing w:after="0" w:line="240" w:lineRule="auto"/>
        <w:jc w:val="both"/>
        <w:rPr>
          <w:rFonts w:ascii="Times New Roman" w:hAnsi="Times New Roman" w:cs="Times New Roman"/>
          <w:b/>
          <w:bCs/>
          <w:sz w:val="24"/>
          <w:szCs w:val="24"/>
        </w:rPr>
      </w:pPr>
      <w:r w:rsidRPr="005954ED">
        <w:rPr>
          <w:rFonts w:ascii="Times New Roman" w:hAnsi="Times New Roman" w:cs="Times New Roman"/>
          <w:b/>
          <w:bCs/>
          <w:sz w:val="24"/>
          <w:szCs w:val="24"/>
        </w:rPr>
        <w:t>Effects of extracts and paracetamol administration on immun</w:t>
      </w:r>
      <w:r w:rsidR="00D03F8E" w:rsidRPr="005954ED">
        <w:rPr>
          <w:rFonts w:ascii="Times New Roman" w:hAnsi="Times New Roman" w:cs="Times New Roman"/>
          <w:b/>
          <w:bCs/>
          <w:sz w:val="24"/>
          <w:szCs w:val="24"/>
        </w:rPr>
        <w:t>ohistochemical studies using Bax</w:t>
      </w:r>
    </w:p>
    <w:p w14:paraId="4B8DE5F5" w14:textId="77777777" w:rsidR="00D03F8E" w:rsidRPr="005954ED" w:rsidRDefault="00D03F8E" w:rsidP="00D03F8E">
      <w:pPr>
        <w:spacing w:after="0" w:line="240" w:lineRule="auto"/>
        <w:jc w:val="both"/>
        <w:rPr>
          <w:rFonts w:ascii="Times New Roman" w:hAnsi="Times New Roman" w:cs="Times New Roman"/>
          <w:b/>
          <w:bCs/>
          <w:sz w:val="24"/>
          <w:szCs w:val="24"/>
        </w:rPr>
      </w:pPr>
    </w:p>
    <w:p w14:paraId="1DBBBBC7" w14:textId="4BC88687" w:rsidR="008C215B" w:rsidRDefault="00EE6C73" w:rsidP="00AF5592">
      <w:pPr>
        <w:spacing w:line="480" w:lineRule="auto"/>
        <w:jc w:val="both"/>
        <w:rPr>
          <w:rFonts w:ascii="Times New Roman" w:hAnsi="Times New Roman" w:cs="Times New Roman"/>
          <w:sz w:val="24"/>
          <w:szCs w:val="24"/>
        </w:rPr>
      </w:pPr>
      <w:r w:rsidRPr="005954ED">
        <w:rPr>
          <w:rFonts w:ascii="Times New Roman" w:hAnsi="Times New Roman" w:cs="Times New Roman"/>
          <w:sz w:val="24"/>
          <w:szCs w:val="24"/>
        </w:rPr>
        <w:t>Quantitative analysis using Image</w:t>
      </w:r>
      <w:r w:rsidR="00D03F8E" w:rsidRPr="005954ED">
        <w:rPr>
          <w:rFonts w:ascii="Times New Roman" w:hAnsi="Times New Roman" w:cs="Times New Roman"/>
          <w:sz w:val="24"/>
          <w:szCs w:val="24"/>
        </w:rPr>
        <w:t xml:space="preserve"> J as shown in </w:t>
      </w:r>
      <w:r w:rsidR="005954ED" w:rsidRPr="005954ED">
        <w:rPr>
          <w:rFonts w:ascii="Times New Roman" w:hAnsi="Times New Roman" w:cs="Times New Roman"/>
          <w:sz w:val="24"/>
          <w:szCs w:val="24"/>
        </w:rPr>
        <w:t xml:space="preserve">figure 2 and </w:t>
      </w:r>
      <w:r w:rsidR="00D03F8E" w:rsidRPr="005954ED">
        <w:rPr>
          <w:rFonts w:ascii="Times New Roman" w:hAnsi="Times New Roman" w:cs="Times New Roman"/>
          <w:sz w:val="24"/>
          <w:szCs w:val="24"/>
        </w:rPr>
        <w:t>Table 3</w:t>
      </w:r>
      <w:r w:rsidRPr="005954ED">
        <w:rPr>
          <w:rFonts w:ascii="Times New Roman" w:hAnsi="Times New Roman" w:cs="Times New Roman"/>
          <w:sz w:val="24"/>
          <w:szCs w:val="24"/>
        </w:rPr>
        <w:t xml:space="preserve"> confirmed a significant increase in Bax levels in rats exposed to paracetamol. However, no significant difference in Bax expression was observed between the silymarin and 250 mg/kg </w:t>
      </w:r>
      <w:r w:rsidRPr="005954ED">
        <w:rPr>
          <w:rFonts w:ascii="Times New Roman" w:hAnsi="Times New Roman" w:cs="Times New Roman"/>
          <w:i/>
          <w:iCs/>
          <w:sz w:val="24"/>
          <w:szCs w:val="24"/>
        </w:rPr>
        <w:t xml:space="preserve">Euphorbia hirta </w:t>
      </w:r>
      <w:r w:rsidRPr="005954ED">
        <w:rPr>
          <w:rFonts w:ascii="Times New Roman" w:hAnsi="Times New Roman" w:cs="Times New Roman"/>
          <w:sz w:val="24"/>
          <w:szCs w:val="24"/>
        </w:rPr>
        <w:t xml:space="preserve">extract similarly as that of 125mg/kg. The effects of paracetamol on experimental animals pretreated with aqueous extract of </w:t>
      </w:r>
      <w:r w:rsidRPr="005954ED">
        <w:rPr>
          <w:rFonts w:ascii="Times New Roman" w:hAnsi="Times New Roman" w:cs="Times New Roman"/>
          <w:i/>
          <w:iCs/>
          <w:sz w:val="24"/>
          <w:szCs w:val="24"/>
        </w:rPr>
        <w:t xml:space="preserve">Euphorbia hirta </w:t>
      </w:r>
      <w:r w:rsidRPr="005954ED">
        <w:rPr>
          <w:rFonts w:ascii="Times New Roman" w:hAnsi="Times New Roman" w:cs="Times New Roman"/>
          <w:sz w:val="24"/>
          <w:szCs w:val="24"/>
        </w:rPr>
        <w:t xml:space="preserve">leaves extracts on immunohistochemical analysis which reveals moderate Bax expression compared to the </w:t>
      </w:r>
      <w:r w:rsidRPr="00E415E2">
        <w:rPr>
          <w:rFonts w:ascii="Times New Roman" w:hAnsi="Times New Roman" w:cs="Times New Roman"/>
          <w:sz w:val="24"/>
          <w:szCs w:val="24"/>
          <w:highlight w:val="yellow"/>
        </w:rPr>
        <w:t>n</w:t>
      </w:r>
      <w:r w:rsidR="00E415E2" w:rsidRPr="00E415E2">
        <w:rPr>
          <w:rFonts w:ascii="Times New Roman" w:hAnsi="Times New Roman" w:cs="Times New Roman"/>
          <w:sz w:val="24"/>
          <w:szCs w:val="24"/>
          <w:highlight w:val="yellow"/>
        </w:rPr>
        <w:t>egative</w:t>
      </w:r>
      <w:r w:rsidRPr="00E415E2">
        <w:rPr>
          <w:rFonts w:ascii="Times New Roman" w:hAnsi="Times New Roman" w:cs="Times New Roman"/>
          <w:sz w:val="24"/>
          <w:szCs w:val="24"/>
          <w:highlight w:val="yellow"/>
        </w:rPr>
        <w:t xml:space="preserve"> control group</w:t>
      </w:r>
      <w:r w:rsidRPr="005954ED">
        <w:rPr>
          <w:rFonts w:ascii="Times New Roman" w:hAnsi="Times New Roman" w:cs="Times New Roman"/>
          <w:sz w:val="24"/>
          <w:szCs w:val="24"/>
        </w:rPr>
        <w:t xml:space="preserve">. The administration of paracetamol only led to a significant (p&lt;0.05) severe expression of Bcl-2- associated X protein (Bax) in livers of rats exposed to paracetamol overdose.  </w:t>
      </w:r>
    </w:p>
    <w:p w14:paraId="5C57A4D9" w14:textId="77777777" w:rsidR="008C215B" w:rsidRDefault="008C215B">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14:paraId="37592EC4" w14:textId="77777777" w:rsidR="00AF5592" w:rsidRPr="005954ED" w:rsidRDefault="00AF5592" w:rsidP="00AF5592">
      <w:pPr>
        <w:spacing w:line="480" w:lineRule="auto"/>
        <w:jc w:val="both"/>
        <w:rPr>
          <w:rFonts w:ascii="Times New Roman" w:hAnsi="Times New Roman" w:cs="Times New Roman"/>
          <w:sz w:val="24"/>
          <w:szCs w:val="24"/>
        </w:rPr>
      </w:pPr>
    </w:p>
    <w:p w14:paraId="461F779E" w14:textId="77777777" w:rsidR="005954ED" w:rsidRPr="005954ED" w:rsidRDefault="00161DE0" w:rsidP="005954ED">
      <w:pPr>
        <w:spacing w:after="0" w:line="240" w:lineRule="auto"/>
        <w:jc w:val="both"/>
        <w:rPr>
          <w:rFonts w:ascii="Times New Roman" w:hAnsi="Times New Roman" w:cs="Times New Roman"/>
          <w:sz w:val="24"/>
          <w:szCs w:val="24"/>
        </w:rPr>
      </w:pPr>
      <w:r>
        <w:rPr>
          <w:noProof/>
          <w14:ligatures w14:val="none"/>
        </w:rPr>
        <mc:AlternateContent>
          <mc:Choice Requires="wps">
            <w:drawing>
              <wp:anchor distT="0" distB="0" distL="114300" distR="114300" simplePos="0" relativeHeight="251665408" behindDoc="0" locked="0" layoutInCell="1" allowOverlap="1" wp14:anchorId="6973D82A" wp14:editId="1C38AB43">
                <wp:simplePos x="0" y="0"/>
                <wp:positionH relativeFrom="column">
                  <wp:posOffset>1476375</wp:posOffset>
                </wp:positionH>
                <wp:positionV relativeFrom="paragraph">
                  <wp:posOffset>514350</wp:posOffset>
                </wp:positionV>
                <wp:extent cx="819150" cy="552450"/>
                <wp:effectExtent l="57150" t="19050" r="57150" b="95250"/>
                <wp:wrapNone/>
                <wp:docPr id="7" name="Straight Arrow Connector 7"/>
                <wp:cNvGraphicFramePr/>
                <a:graphic xmlns:a="http://schemas.openxmlformats.org/drawingml/2006/main">
                  <a:graphicData uri="http://schemas.microsoft.com/office/word/2010/wordprocessingShape">
                    <wps:wsp>
                      <wps:cNvCnPr/>
                      <wps:spPr>
                        <a:xfrm flipH="1">
                          <a:off x="0" y="0"/>
                          <a:ext cx="819150" cy="5524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E3FF8EC" id="_x0000_t32" coordsize="21600,21600" o:spt="32" o:oned="t" path="m,l21600,21600e" filled="f">
                <v:path arrowok="t" fillok="f" o:connecttype="none"/>
                <o:lock v:ext="edit" shapetype="t"/>
              </v:shapetype>
              <v:shape id="Straight Arrow Connector 7" o:spid="_x0000_s1026" type="#_x0000_t32" style="position:absolute;margin-left:116.25pt;margin-top:40.5pt;width:64.5pt;height:43.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" strokecolor="black [3200]" strokeweight="2pt">
                <v:stroke endarrow="open"/>
                <v:shadow on="t" color="black" opacity="24903f" origin=",.5" offset="0,.55556mm"/>
              </v:shape>
            </w:pict>
          </mc:Fallback>
        </mc:AlternateContent>
      </w:r>
      <w:r w:rsidR="005954ED" w:rsidRPr="005954ED">
        <w:rPr>
          <w:noProof/>
        </w:rPr>
        <w:drawing>
          <wp:inline distT="0" distB="0" distL="0" distR="0" wp14:anchorId="450EE150" wp14:editId="66E687D6">
            <wp:extent cx="2714625" cy="1752600"/>
            <wp:effectExtent l="0" t="0" r="9525" b="0"/>
            <wp:docPr id="1" name="Picture 3" descr="C:\Users\JONATHAN\Pictures\Monsurat ihc\IMG209905042347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NATHAN\Pictures\Monsurat ihc\IMG20990504234719.jpg"/>
                    <pic:cNvPicPr>
                      <a:picLocks noChangeAspect="1" noChangeArrowheads="1"/>
                    </pic:cNvPicPr>
                  </pic:nvPicPr>
                  <pic:blipFill>
                    <a:blip r:embed="rId12"/>
                    <a:srcRect/>
                    <a:stretch>
                      <a:fillRect/>
                    </a:stretch>
                  </pic:blipFill>
                  <pic:spPr bwMode="auto">
                    <a:xfrm>
                      <a:off x="0" y="0"/>
                      <a:ext cx="2714625" cy="1752600"/>
                    </a:xfrm>
                    <a:prstGeom prst="rect">
                      <a:avLst/>
                    </a:prstGeom>
                    <a:noFill/>
                    <a:ln w="9525">
                      <a:noFill/>
                      <a:miter lim="800000"/>
                      <a:headEnd/>
                      <a:tailEnd/>
                    </a:ln>
                  </pic:spPr>
                </pic:pic>
              </a:graphicData>
            </a:graphic>
          </wp:inline>
        </w:drawing>
      </w:r>
      <w:r w:rsidR="005954ED" w:rsidRPr="005954ED">
        <w:rPr>
          <w:rFonts w:ascii="Times New Roman" w:hAnsi="Times New Roman" w:cs="Times New Roman"/>
          <w:sz w:val="24"/>
          <w:szCs w:val="24"/>
        </w:rPr>
        <w:t xml:space="preserve">            </w:t>
      </w:r>
      <w:r w:rsidR="005954ED" w:rsidRPr="005954ED">
        <w:rPr>
          <w:noProof/>
        </w:rPr>
        <w:drawing>
          <wp:inline distT="0" distB="0" distL="0" distR="0" wp14:anchorId="34F60B6A" wp14:editId="5E209FD9">
            <wp:extent cx="2695575" cy="1752600"/>
            <wp:effectExtent l="0" t="0" r="9525" b="0"/>
            <wp:docPr id="69" name="Picture 88" descr="C:\Users\JONATHAN\Pictures\Monsurat ihc\IMG209905071948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C:\Users\JONATHAN\Pictures\Monsurat ihc\IMG20990507194820.jpg"/>
                    <pic:cNvPicPr>
                      <a:picLocks noChangeAspect="1" noChangeArrowheads="1"/>
                    </pic:cNvPicPr>
                  </pic:nvPicPr>
                  <pic:blipFill>
                    <a:blip r:embed="rId13"/>
                    <a:srcRect/>
                    <a:stretch>
                      <a:fillRect/>
                    </a:stretch>
                  </pic:blipFill>
                  <pic:spPr bwMode="auto">
                    <a:xfrm>
                      <a:off x="0" y="0"/>
                      <a:ext cx="2695575" cy="1752600"/>
                    </a:xfrm>
                    <a:prstGeom prst="rect">
                      <a:avLst/>
                    </a:prstGeom>
                    <a:noFill/>
                    <a:ln w="9525">
                      <a:noFill/>
                      <a:miter lim="800000"/>
                      <a:headEnd/>
                      <a:tailEnd/>
                    </a:ln>
                  </pic:spPr>
                </pic:pic>
              </a:graphicData>
            </a:graphic>
          </wp:inline>
        </w:drawing>
      </w:r>
    </w:p>
    <w:p w14:paraId="403CB653" w14:textId="0A915DAF" w:rsidR="005954ED" w:rsidRPr="005954ED" w:rsidRDefault="005954ED" w:rsidP="005954ED">
      <w:pPr>
        <w:spacing w:after="0" w:line="240" w:lineRule="auto"/>
        <w:jc w:val="both"/>
        <w:rPr>
          <w:rFonts w:ascii="Times New Roman" w:hAnsi="Times New Roman" w:cs="Times New Roman"/>
          <w:sz w:val="24"/>
          <w:szCs w:val="24"/>
        </w:rPr>
      </w:pPr>
      <w:r w:rsidRPr="00E415E2">
        <w:rPr>
          <w:rFonts w:ascii="Times New Roman" w:hAnsi="Times New Roman" w:cs="Times New Roman"/>
          <w:sz w:val="24"/>
          <w:szCs w:val="24"/>
          <w:highlight w:val="yellow"/>
        </w:rPr>
        <w:t>N</w:t>
      </w:r>
      <w:r w:rsidR="00E415E2" w:rsidRPr="00E415E2">
        <w:rPr>
          <w:rFonts w:ascii="Times New Roman" w:hAnsi="Times New Roman" w:cs="Times New Roman"/>
          <w:sz w:val="24"/>
          <w:szCs w:val="24"/>
          <w:highlight w:val="yellow"/>
        </w:rPr>
        <w:t>egative</w:t>
      </w:r>
      <w:r w:rsidRPr="00E415E2">
        <w:rPr>
          <w:rFonts w:ascii="Times New Roman" w:hAnsi="Times New Roman" w:cs="Times New Roman"/>
          <w:sz w:val="24"/>
          <w:szCs w:val="24"/>
          <w:highlight w:val="yellow"/>
        </w:rPr>
        <w:t xml:space="preserve"> control</w:t>
      </w:r>
      <w:r w:rsidRPr="005954ED">
        <w:rPr>
          <w:rFonts w:ascii="Times New Roman" w:hAnsi="Times New Roman" w:cs="Times New Roman"/>
          <w:sz w:val="24"/>
          <w:szCs w:val="24"/>
        </w:rPr>
        <w:tab/>
      </w:r>
      <w:r w:rsidRPr="005954ED">
        <w:rPr>
          <w:rFonts w:ascii="Times New Roman" w:hAnsi="Times New Roman" w:cs="Times New Roman"/>
          <w:sz w:val="24"/>
          <w:szCs w:val="24"/>
        </w:rPr>
        <w:tab/>
      </w:r>
      <w:r w:rsidRPr="005954ED">
        <w:rPr>
          <w:rFonts w:ascii="Times New Roman" w:hAnsi="Times New Roman" w:cs="Times New Roman"/>
          <w:sz w:val="24"/>
          <w:szCs w:val="24"/>
        </w:rPr>
        <w:tab/>
      </w:r>
      <w:r w:rsidRPr="005954ED">
        <w:rPr>
          <w:rFonts w:ascii="Times New Roman" w:hAnsi="Times New Roman" w:cs="Times New Roman"/>
          <w:sz w:val="24"/>
          <w:szCs w:val="24"/>
        </w:rPr>
        <w:tab/>
      </w:r>
      <w:r w:rsidR="00E415E2">
        <w:rPr>
          <w:rFonts w:ascii="Times New Roman" w:hAnsi="Times New Roman" w:cs="Times New Roman"/>
          <w:sz w:val="24"/>
          <w:szCs w:val="24"/>
        </w:rPr>
        <w:t xml:space="preserve">     </w:t>
      </w:r>
      <w:r w:rsidR="00E415E2" w:rsidRPr="00E415E2">
        <w:rPr>
          <w:rFonts w:ascii="Times New Roman" w:hAnsi="Times New Roman" w:cs="Times New Roman"/>
          <w:sz w:val="24"/>
          <w:szCs w:val="24"/>
          <w:highlight w:val="yellow"/>
        </w:rPr>
        <w:t>Model group</w:t>
      </w:r>
      <w:r w:rsidR="00E415E2">
        <w:rPr>
          <w:rFonts w:ascii="Times New Roman" w:hAnsi="Times New Roman" w:cs="Times New Roman"/>
          <w:sz w:val="24"/>
          <w:szCs w:val="24"/>
        </w:rPr>
        <w:t xml:space="preserve"> </w:t>
      </w:r>
      <w:r w:rsidRPr="005954ED">
        <w:rPr>
          <w:rFonts w:ascii="Times New Roman" w:hAnsi="Times New Roman" w:cs="Times New Roman"/>
          <w:sz w:val="24"/>
          <w:szCs w:val="24"/>
        </w:rPr>
        <w:t xml:space="preserve">Paracetamol only (150mg/kg b.w.) </w:t>
      </w:r>
    </w:p>
    <w:p w14:paraId="742B6464" w14:textId="77777777" w:rsidR="005954ED" w:rsidRPr="005954ED" w:rsidRDefault="001420CC" w:rsidP="005954ED">
      <w:pPr>
        <w:spacing w:after="0" w:line="240" w:lineRule="auto"/>
        <w:jc w:val="both"/>
        <w:rPr>
          <w:rFonts w:ascii="Times New Roman" w:hAnsi="Times New Roman" w:cs="Times New Roman"/>
          <w:sz w:val="24"/>
          <w:szCs w:val="24"/>
        </w:rPr>
      </w:pPr>
      <w:r>
        <w:rPr>
          <w:noProof/>
          <w14:ligatures w14:val="none"/>
        </w:rPr>
        <mc:AlternateContent>
          <mc:Choice Requires="wps">
            <w:drawing>
              <wp:anchor distT="0" distB="0" distL="114300" distR="114300" simplePos="0" relativeHeight="251671552" behindDoc="0" locked="0" layoutInCell="1" allowOverlap="1" wp14:anchorId="24A12678" wp14:editId="554D8CE1">
                <wp:simplePos x="0" y="0"/>
                <wp:positionH relativeFrom="column">
                  <wp:posOffset>5124450</wp:posOffset>
                </wp:positionH>
                <wp:positionV relativeFrom="paragraph">
                  <wp:posOffset>348615</wp:posOffset>
                </wp:positionV>
                <wp:extent cx="819150" cy="447675"/>
                <wp:effectExtent l="57150" t="19050" r="57150" b="104775"/>
                <wp:wrapNone/>
                <wp:docPr id="11" name="Straight Arrow Connector 11"/>
                <wp:cNvGraphicFramePr/>
                <a:graphic xmlns:a="http://schemas.openxmlformats.org/drawingml/2006/main">
                  <a:graphicData uri="http://schemas.microsoft.com/office/word/2010/wordprocessingShape">
                    <wps:wsp>
                      <wps:cNvCnPr/>
                      <wps:spPr>
                        <a:xfrm flipH="1">
                          <a:off x="0" y="0"/>
                          <a:ext cx="819150" cy="4476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3D833435" id="Straight Arrow Connector 11" o:spid="_x0000_s1026" type="#_x0000_t32" style="position:absolute;margin-left:403.5pt;margin-top:27.45pt;width:64.5pt;height:35.2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" strokecolor="windowText" strokeweight="2pt">
                <v:stroke endarrow="open"/>
                <v:shadow on="t" color="black" opacity="24903f" origin=",.5" offset="0,.55556mm"/>
              </v:shape>
            </w:pict>
          </mc:Fallback>
        </mc:AlternateContent>
      </w:r>
      <w:r w:rsidR="00161DE0">
        <w:rPr>
          <w:noProof/>
          <w14:ligatures w14:val="none"/>
        </w:rPr>
        <mc:AlternateContent>
          <mc:Choice Requires="wps">
            <w:drawing>
              <wp:anchor distT="0" distB="0" distL="114300" distR="114300" simplePos="0" relativeHeight="251669504" behindDoc="0" locked="0" layoutInCell="1" allowOverlap="1" wp14:anchorId="1B2271ED" wp14:editId="137950F1">
                <wp:simplePos x="0" y="0"/>
                <wp:positionH relativeFrom="column">
                  <wp:posOffset>1476375</wp:posOffset>
                </wp:positionH>
                <wp:positionV relativeFrom="paragraph">
                  <wp:posOffset>901065</wp:posOffset>
                </wp:positionV>
                <wp:extent cx="819150" cy="552450"/>
                <wp:effectExtent l="57150" t="19050" r="57150" b="95250"/>
                <wp:wrapNone/>
                <wp:docPr id="10" name="Straight Arrow Connector 10"/>
                <wp:cNvGraphicFramePr/>
                <a:graphic xmlns:a="http://schemas.openxmlformats.org/drawingml/2006/main">
                  <a:graphicData uri="http://schemas.microsoft.com/office/word/2010/wordprocessingShape">
                    <wps:wsp>
                      <wps:cNvCnPr/>
                      <wps:spPr>
                        <a:xfrm flipH="1">
                          <a:off x="0" y="0"/>
                          <a:ext cx="819150" cy="55245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244B8705" id="Straight Arrow Connector 10" o:spid="_x0000_s1026" type="#_x0000_t32" style="position:absolute;margin-left:116.25pt;margin-top:70.95pt;width:64.5pt;height:43.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" strokecolor="windowText" strokeweight="2pt">
                <v:stroke endarrow="open"/>
                <v:shadow on="t" color="black" opacity="24903f" origin=",.5" offset="0,.55556mm"/>
              </v:shape>
            </w:pict>
          </mc:Fallback>
        </mc:AlternateContent>
      </w:r>
      <w:r w:rsidR="00161DE0">
        <w:rPr>
          <w:noProof/>
          <w14:ligatures w14:val="none"/>
        </w:rPr>
        <mc:AlternateContent>
          <mc:Choice Requires="wps">
            <w:drawing>
              <wp:anchor distT="0" distB="0" distL="114300" distR="114300" simplePos="0" relativeHeight="251667456" behindDoc="0" locked="0" layoutInCell="1" allowOverlap="1" wp14:anchorId="3022D7BD" wp14:editId="43BB2B40">
                <wp:simplePos x="0" y="0"/>
                <wp:positionH relativeFrom="column">
                  <wp:posOffset>1847850</wp:posOffset>
                </wp:positionH>
                <wp:positionV relativeFrom="paragraph">
                  <wp:posOffset>424815</wp:posOffset>
                </wp:positionV>
                <wp:extent cx="1019174" cy="76200"/>
                <wp:effectExtent l="57150" t="38100" r="67310" b="133350"/>
                <wp:wrapNone/>
                <wp:docPr id="8" name="Straight Arrow Connector 8"/>
                <wp:cNvGraphicFramePr/>
                <a:graphic xmlns:a="http://schemas.openxmlformats.org/drawingml/2006/main">
                  <a:graphicData uri="http://schemas.microsoft.com/office/word/2010/wordprocessingShape">
                    <wps:wsp>
                      <wps:cNvCnPr/>
                      <wps:spPr>
                        <a:xfrm flipH="1">
                          <a:off x="0" y="0"/>
                          <a:ext cx="1019174" cy="762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835E9B" id="Straight Arrow Connector 8" o:spid="_x0000_s1026" type="#_x0000_t32" style="position:absolute;margin-left:145.5pt;margin-top:33.45pt;width:80.25pt;height:6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" strokecolor="black [3200]" strokeweight="2pt">
                <v:stroke endarrow="open"/>
                <v:shadow on="t" color="black" opacity="24903f" origin=",.5" offset="0,.55556mm"/>
              </v:shape>
            </w:pict>
          </mc:Fallback>
        </mc:AlternateContent>
      </w:r>
      <w:r w:rsidR="005954ED" w:rsidRPr="005954ED">
        <w:rPr>
          <w:noProof/>
        </w:rPr>
        <w:drawing>
          <wp:inline distT="0" distB="0" distL="0" distR="0" wp14:anchorId="7E771BED" wp14:editId="3A773F98">
            <wp:extent cx="2714625" cy="1685925"/>
            <wp:effectExtent l="19050" t="0" r="9525" b="0"/>
            <wp:docPr id="73" name="Picture 22" descr="C:\Users\JONATHAN\Pictures\Monsurat ihc\IMG209905050006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JONATHAN\Pictures\Monsurat ihc\IMG20990505000637.jpg"/>
                    <pic:cNvPicPr>
                      <a:picLocks noChangeAspect="1" noChangeArrowheads="1"/>
                    </pic:cNvPicPr>
                  </pic:nvPicPr>
                  <pic:blipFill>
                    <a:blip r:embed="rId14"/>
                    <a:srcRect/>
                    <a:stretch>
                      <a:fillRect/>
                    </a:stretch>
                  </pic:blipFill>
                  <pic:spPr bwMode="auto">
                    <a:xfrm>
                      <a:off x="0" y="0"/>
                      <a:ext cx="2714625" cy="1685925"/>
                    </a:xfrm>
                    <a:prstGeom prst="rect">
                      <a:avLst/>
                    </a:prstGeom>
                    <a:noFill/>
                    <a:ln w="9525">
                      <a:noFill/>
                      <a:miter lim="800000"/>
                      <a:headEnd/>
                      <a:tailEnd/>
                    </a:ln>
                  </pic:spPr>
                </pic:pic>
              </a:graphicData>
            </a:graphic>
          </wp:inline>
        </w:drawing>
      </w:r>
      <w:r w:rsidR="005954ED" w:rsidRPr="005954ED">
        <w:rPr>
          <w:rFonts w:ascii="Times New Roman" w:hAnsi="Times New Roman" w:cs="Times New Roman"/>
          <w:sz w:val="24"/>
          <w:szCs w:val="24"/>
        </w:rPr>
        <w:t xml:space="preserve">            </w:t>
      </w:r>
      <w:r w:rsidR="005954ED" w:rsidRPr="005954ED">
        <w:rPr>
          <w:noProof/>
        </w:rPr>
        <w:drawing>
          <wp:inline distT="0" distB="0" distL="0" distR="0" wp14:anchorId="0BCF84A9" wp14:editId="33210416">
            <wp:extent cx="2676525" cy="1609725"/>
            <wp:effectExtent l="0" t="0" r="9525" b="9525"/>
            <wp:docPr id="261" name="Picture 69" descr="C:\Users\JONATHAN\Pictures\Monsurat ihc\IMG20990507185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JONATHAN\Pictures\Monsurat ihc\IMG20990507185906.jpg"/>
                    <pic:cNvPicPr>
                      <a:picLocks noChangeAspect="1" noChangeArrowheads="1"/>
                    </pic:cNvPicPr>
                  </pic:nvPicPr>
                  <pic:blipFill>
                    <a:blip r:embed="rId15"/>
                    <a:srcRect/>
                    <a:stretch>
                      <a:fillRect/>
                    </a:stretch>
                  </pic:blipFill>
                  <pic:spPr bwMode="auto">
                    <a:xfrm>
                      <a:off x="0" y="0"/>
                      <a:ext cx="2676525" cy="1609725"/>
                    </a:xfrm>
                    <a:prstGeom prst="rect">
                      <a:avLst/>
                    </a:prstGeom>
                    <a:noFill/>
                    <a:ln w="9525">
                      <a:noFill/>
                      <a:miter lim="800000"/>
                      <a:headEnd/>
                      <a:tailEnd/>
                    </a:ln>
                  </pic:spPr>
                </pic:pic>
              </a:graphicData>
            </a:graphic>
          </wp:inline>
        </w:drawing>
      </w:r>
    </w:p>
    <w:p w14:paraId="3FB75327" w14:textId="77777777" w:rsidR="005954ED" w:rsidRPr="005954ED" w:rsidRDefault="005954ED" w:rsidP="005954ED">
      <w:pPr>
        <w:spacing w:after="0" w:line="240" w:lineRule="auto"/>
        <w:jc w:val="both"/>
        <w:rPr>
          <w:rFonts w:ascii="Times New Roman" w:hAnsi="Times New Roman" w:cs="Times New Roman"/>
          <w:bCs/>
          <w:sz w:val="24"/>
          <w:szCs w:val="24"/>
        </w:rPr>
      </w:pPr>
      <w:r w:rsidRPr="005954ED">
        <w:rPr>
          <w:rFonts w:ascii="Times New Roman" w:hAnsi="Times New Roman" w:cs="Times New Roman"/>
          <w:sz w:val="24"/>
          <w:szCs w:val="24"/>
        </w:rPr>
        <w:t>Paracetamol +Silymarin group</w:t>
      </w:r>
      <w:r w:rsidRPr="005954ED">
        <w:rPr>
          <w:rFonts w:ascii="Times New Roman" w:hAnsi="Times New Roman" w:cs="Times New Roman"/>
          <w:sz w:val="24"/>
          <w:szCs w:val="24"/>
        </w:rPr>
        <w:tab/>
      </w:r>
      <w:r w:rsidRPr="005954ED">
        <w:rPr>
          <w:rFonts w:ascii="Times New Roman" w:hAnsi="Times New Roman" w:cs="Times New Roman"/>
          <w:sz w:val="24"/>
          <w:szCs w:val="24"/>
        </w:rPr>
        <w:tab/>
        <w:t xml:space="preserve">       </w:t>
      </w:r>
      <w:r w:rsidRPr="005954ED">
        <w:rPr>
          <w:rFonts w:ascii="Times New Roman" w:hAnsi="Times New Roman" w:cs="Times New Roman"/>
          <w:bCs/>
          <w:sz w:val="24"/>
          <w:szCs w:val="24"/>
        </w:rPr>
        <w:t>Paracetamol+</w:t>
      </w:r>
      <w:r w:rsidRPr="005954ED">
        <w:rPr>
          <w:rFonts w:ascii="Times New Roman" w:hAnsi="Times New Roman" w:cs="Times New Roman"/>
          <w:bCs/>
          <w:i/>
          <w:sz w:val="24"/>
          <w:szCs w:val="24"/>
        </w:rPr>
        <w:t xml:space="preserve">Euphorbia hirta </w:t>
      </w:r>
      <w:r w:rsidRPr="005954ED">
        <w:rPr>
          <w:rFonts w:ascii="Times New Roman" w:hAnsi="Times New Roman" w:cs="Times New Roman"/>
          <w:bCs/>
          <w:sz w:val="24"/>
          <w:szCs w:val="24"/>
        </w:rPr>
        <w:t>(125mg/kg b.w)</w:t>
      </w:r>
    </w:p>
    <w:p w14:paraId="76FDDE8C" w14:textId="77777777" w:rsidR="005954ED" w:rsidRPr="005954ED" w:rsidRDefault="005954ED" w:rsidP="005954ED">
      <w:pPr>
        <w:spacing w:after="0" w:line="240" w:lineRule="auto"/>
        <w:jc w:val="both"/>
        <w:rPr>
          <w:rFonts w:ascii="Times New Roman" w:hAnsi="Times New Roman" w:cs="Times New Roman"/>
          <w:bCs/>
          <w:sz w:val="24"/>
          <w:szCs w:val="24"/>
        </w:rPr>
      </w:pPr>
    </w:p>
    <w:p w14:paraId="044FA9D5" w14:textId="77777777" w:rsidR="005954ED" w:rsidRPr="005954ED" w:rsidRDefault="001420CC" w:rsidP="005954ED">
      <w:pPr>
        <w:spacing w:after="0" w:line="240" w:lineRule="auto"/>
        <w:jc w:val="both"/>
        <w:rPr>
          <w:rFonts w:ascii="Times New Roman" w:hAnsi="Times New Roman" w:cs="Times New Roman"/>
          <w:sz w:val="24"/>
          <w:szCs w:val="24"/>
        </w:rPr>
      </w:pPr>
      <w:r>
        <w:rPr>
          <w:noProof/>
          <w14:ligatures w14:val="none"/>
        </w:rPr>
        <mc:AlternateContent>
          <mc:Choice Requires="wps">
            <w:drawing>
              <wp:anchor distT="0" distB="0" distL="114300" distR="114300" simplePos="0" relativeHeight="251675648" behindDoc="0" locked="0" layoutInCell="1" allowOverlap="1" wp14:anchorId="14A69EC8" wp14:editId="57260984">
                <wp:simplePos x="0" y="0"/>
                <wp:positionH relativeFrom="column">
                  <wp:posOffset>2047240</wp:posOffset>
                </wp:positionH>
                <wp:positionV relativeFrom="paragraph">
                  <wp:posOffset>102870</wp:posOffset>
                </wp:positionV>
                <wp:extent cx="819150" cy="552450"/>
                <wp:effectExtent l="57150" t="19050" r="57150" b="95250"/>
                <wp:wrapNone/>
                <wp:docPr id="13" name="Straight Arrow Connector 13"/>
                <wp:cNvGraphicFramePr/>
                <a:graphic xmlns:a="http://schemas.openxmlformats.org/drawingml/2006/main">
                  <a:graphicData uri="http://schemas.microsoft.com/office/word/2010/wordprocessingShape">
                    <wps:wsp>
                      <wps:cNvCnPr/>
                      <wps:spPr>
                        <a:xfrm flipH="1">
                          <a:off x="0" y="0"/>
                          <a:ext cx="819150" cy="55245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97A8BA9" id="Straight Arrow Connector 13" o:spid="_x0000_s1026" type="#_x0000_t32" style="position:absolute;margin-left:161.2pt;margin-top:8.1pt;width:64.5pt;height:43.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" strokecolor="windowText" strokeweight="2pt">
                <v:stroke endarrow="open"/>
                <v:shadow on="t" color="black" opacity="24903f" origin=",.5" offset="0,.55556mm"/>
              </v:shape>
            </w:pict>
          </mc:Fallback>
        </mc:AlternateContent>
      </w:r>
      <w:r>
        <w:rPr>
          <w:noProof/>
          <w14:ligatures w14:val="none"/>
        </w:rPr>
        <mc:AlternateContent>
          <mc:Choice Requires="wps">
            <w:drawing>
              <wp:anchor distT="0" distB="0" distL="114300" distR="114300" simplePos="0" relativeHeight="251673600" behindDoc="0" locked="0" layoutInCell="1" allowOverlap="1" wp14:anchorId="6947E2E5" wp14:editId="05D85226">
                <wp:simplePos x="0" y="0"/>
                <wp:positionH relativeFrom="column">
                  <wp:posOffset>771525</wp:posOffset>
                </wp:positionH>
                <wp:positionV relativeFrom="paragraph">
                  <wp:posOffset>236220</wp:posOffset>
                </wp:positionV>
                <wp:extent cx="914400" cy="419100"/>
                <wp:effectExtent l="57150" t="38100" r="57150" b="114300"/>
                <wp:wrapNone/>
                <wp:docPr id="12" name="Straight Arrow Connector 12"/>
                <wp:cNvGraphicFramePr/>
                <a:graphic xmlns:a="http://schemas.openxmlformats.org/drawingml/2006/main">
                  <a:graphicData uri="http://schemas.microsoft.com/office/word/2010/wordprocessingShape">
                    <wps:wsp>
                      <wps:cNvCnPr/>
                      <wps:spPr>
                        <a:xfrm flipH="1">
                          <a:off x="0" y="0"/>
                          <a:ext cx="914400" cy="41910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5A053011" id="Straight Arrow Connector 12" o:spid="_x0000_s1026" type="#_x0000_t32" style="position:absolute;margin-left:60.75pt;margin-top:18.6pt;width:1in;height:33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" strokecolor="windowText" strokeweight="2pt">
                <v:stroke endarrow="open"/>
                <v:shadow on="t" color="black" opacity="24903f" origin=",.5" offset="0,.55556mm"/>
              </v:shape>
            </w:pict>
          </mc:Fallback>
        </mc:AlternateContent>
      </w:r>
      <w:r w:rsidR="005954ED" w:rsidRPr="005954ED">
        <w:rPr>
          <w:noProof/>
        </w:rPr>
        <w:drawing>
          <wp:inline distT="0" distB="0" distL="0" distR="0" wp14:anchorId="56D41EF2" wp14:editId="22B40B06">
            <wp:extent cx="2581275" cy="1685925"/>
            <wp:effectExtent l="19050" t="0" r="9525" b="0"/>
            <wp:docPr id="270" name="Picture 83" descr="C:\Users\JONATHAN\Pictures\Monsurat ihc\IMG209905071942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JONATHAN\Pictures\Monsurat ihc\IMG20990507194206.jpg"/>
                    <pic:cNvPicPr>
                      <a:picLocks noChangeAspect="1" noChangeArrowheads="1"/>
                    </pic:cNvPicPr>
                  </pic:nvPicPr>
                  <pic:blipFill>
                    <a:blip r:embed="rId16"/>
                    <a:srcRect/>
                    <a:stretch>
                      <a:fillRect/>
                    </a:stretch>
                  </pic:blipFill>
                  <pic:spPr bwMode="auto">
                    <a:xfrm>
                      <a:off x="0" y="0"/>
                      <a:ext cx="2581275" cy="1685925"/>
                    </a:xfrm>
                    <a:prstGeom prst="rect">
                      <a:avLst/>
                    </a:prstGeom>
                    <a:noFill/>
                    <a:ln w="9525">
                      <a:noFill/>
                      <a:miter lim="800000"/>
                      <a:headEnd/>
                      <a:tailEnd/>
                    </a:ln>
                  </pic:spPr>
                </pic:pic>
              </a:graphicData>
            </a:graphic>
          </wp:inline>
        </w:drawing>
      </w:r>
    </w:p>
    <w:p w14:paraId="7F33055A" w14:textId="77777777" w:rsidR="005954ED" w:rsidRDefault="005954ED" w:rsidP="005954ED">
      <w:pPr>
        <w:spacing w:after="0" w:line="240" w:lineRule="auto"/>
        <w:jc w:val="both"/>
        <w:rPr>
          <w:rFonts w:ascii="Times New Roman" w:hAnsi="Times New Roman" w:cs="Times New Roman"/>
          <w:bCs/>
          <w:sz w:val="24"/>
          <w:szCs w:val="24"/>
        </w:rPr>
      </w:pPr>
      <w:r w:rsidRPr="005954ED">
        <w:rPr>
          <w:rFonts w:ascii="Times New Roman" w:hAnsi="Times New Roman" w:cs="Times New Roman"/>
          <w:sz w:val="24"/>
          <w:szCs w:val="24"/>
        </w:rPr>
        <w:t>PCM+</w:t>
      </w:r>
      <w:r w:rsidRPr="005954ED">
        <w:rPr>
          <w:rFonts w:ascii="Times New Roman" w:hAnsi="Times New Roman" w:cs="Times New Roman"/>
          <w:bCs/>
          <w:i/>
          <w:sz w:val="24"/>
          <w:szCs w:val="24"/>
        </w:rPr>
        <w:t xml:space="preserve"> Euphorbia hirta </w:t>
      </w:r>
      <w:r w:rsidRPr="005954ED">
        <w:rPr>
          <w:rFonts w:ascii="Times New Roman" w:hAnsi="Times New Roman" w:cs="Times New Roman"/>
          <w:bCs/>
          <w:sz w:val="24"/>
          <w:szCs w:val="24"/>
        </w:rPr>
        <w:t>(250mg/kg b.w)</w:t>
      </w:r>
    </w:p>
    <w:p w14:paraId="636137A4" w14:textId="77777777" w:rsidR="0092474B" w:rsidRDefault="0092474B" w:rsidP="005954ED">
      <w:pPr>
        <w:spacing w:after="0" w:line="240" w:lineRule="auto"/>
        <w:jc w:val="both"/>
        <w:rPr>
          <w:rFonts w:ascii="Times New Roman" w:hAnsi="Times New Roman" w:cs="Times New Roman"/>
          <w:bCs/>
          <w:sz w:val="24"/>
          <w:szCs w:val="24"/>
        </w:rPr>
      </w:pPr>
    </w:p>
    <w:p w14:paraId="23A088A3" w14:textId="75931D62" w:rsidR="00EC3D18" w:rsidRDefault="005954ED" w:rsidP="00EC3D18">
      <w:pPr>
        <w:spacing w:after="0" w:line="240" w:lineRule="auto"/>
        <w:rPr>
          <w:rFonts w:ascii="Times New Roman" w:hAnsi="Times New Roman" w:cs="Times New Roman"/>
          <w:b/>
          <w:i/>
          <w:iCs/>
          <w:sz w:val="24"/>
          <w:szCs w:val="24"/>
        </w:rPr>
      </w:pPr>
      <w:r w:rsidRPr="0092474B">
        <w:rPr>
          <w:rFonts w:ascii="Times New Roman" w:hAnsi="Times New Roman" w:cs="Times New Roman"/>
          <w:b/>
          <w:bCs/>
          <w:sz w:val="24"/>
          <w:szCs w:val="24"/>
        </w:rPr>
        <w:t xml:space="preserve">Figure </w:t>
      </w:r>
      <w:r w:rsidR="00EC3D18" w:rsidRPr="0092474B">
        <w:rPr>
          <w:rFonts w:ascii="Times New Roman" w:hAnsi="Times New Roman" w:cs="Times New Roman"/>
          <w:b/>
          <w:bCs/>
          <w:sz w:val="24"/>
          <w:szCs w:val="24"/>
        </w:rPr>
        <w:t>2</w:t>
      </w:r>
      <w:r w:rsidR="00EC3D18" w:rsidRPr="0092474B">
        <w:rPr>
          <w:rFonts w:ascii="Times New Roman" w:hAnsi="Times New Roman" w:cs="Times New Roman"/>
          <w:b/>
          <w:sz w:val="24"/>
          <w:szCs w:val="24"/>
        </w:rPr>
        <w:t>:</w:t>
      </w:r>
      <w:r w:rsidR="00EC3D18" w:rsidRPr="005954ED">
        <w:rPr>
          <w:rFonts w:ascii="Times New Roman" w:hAnsi="Times New Roman" w:cs="Times New Roman"/>
          <w:b/>
          <w:sz w:val="24"/>
          <w:szCs w:val="24"/>
        </w:rPr>
        <w:t xml:space="preserve"> Photomicrographs of liver section stain by </w:t>
      </w:r>
      <w:r w:rsidR="00EC3D18">
        <w:rPr>
          <w:rFonts w:ascii="Times New Roman" w:hAnsi="Times New Roman" w:cs="Times New Roman"/>
          <w:b/>
          <w:sz w:val="24"/>
          <w:szCs w:val="24"/>
        </w:rPr>
        <w:t>immunohistochemistry</w:t>
      </w:r>
      <w:r w:rsidR="00EC3D18" w:rsidRPr="005954ED">
        <w:rPr>
          <w:rFonts w:ascii="Times New Roman" w:hAnsi="Times New Roman" w:cs="Times New Roman"/>
          <w:b/>
          <w:sz w:val="24"/>
          <w:szCs w:val="24"/>
        </w:rPr>
        <w:t xml:space="preserve"> (400X) of A (</w:t>
      </w:r>
      <w:r w:rsidR="00EC3D18" w:rsidRPr="00E415E2">
        <w:rPr>
          <w:rFonts w:ascii="Times New Roman" w:hAnsi="Times New Roman" w:cs="Times New Roman"/>
          <w:b/>
          <w:sz w:val="24"/>
          <w:szCs w:val="24"/>
          <w:highlight w:val="yellow"/>
        </w:rPr>
        <w:t>n</w:t>
      </w:r>
      <w:r w:rsidR="00E415E2" w:rsidRPr="00E415E2">
        <w:rPr>
          <w:rFonts w:ascii="Times New Roman" w:hAnsi="Times New Roman" w:cs="Times New Roman"/>
          <w:b/>
          <w:sz w:val="24"/>
          <w:szCs w:val="24"/>
          <w:highlight w:val="yellow"/>
        </w:rPr>
        <w:t>egative</w:t>
      </w:r>
      <w:r w:rsidR="00EC3D18" w:rsidRPr="00E415E2">
        <w:rPr>
          <w:rFonts w:ascii="Times New Roman" w:hAnsi="Times New Roman" w:cs="Times New Roman"/>
          <w:b/>
          <w:sz w:val="24"/>
          <w:szCs w:val="24"/>
          <w:highlight w:val="yellow"/>
        </w:rPr>
        <w:t xml:space="preserve"> control</w:t>
      </w:r>
      <w:r w:rsidR="00EC3D18" w:rsidRPr="005954ED">
        <w:rPr>
          <w:rFonts w:ascii="Times New Roman" w:hAnsi="Times New Roman" w:cs="Times New Roman"/>
          <w:b/>
          <w:sz w:val="24"/>
          <w:szCs w:val="24"/>
        </w:rPr>
        <w:t xml:space="preserve">), B (PCM only), C (PCM+ </w:t>
      </w:r>
      <w:r w:rsidR="00EC3D18" w:rsidRPr="005954ED">
        <w:rPr>
          <w:rFonts w:ascii="Times New Roman" w:hAnsi="Times New Roman" w:cs="Times New Roman"/>
          <w:b/>
          <w:i/>
          <w:iCs/>
          <w:sz w:val="24"/>
          <w:szCs w:val="24"/>
        </w:rPr>
        <w:t>Euphorbia hirta</w:t>
      </w:r>
      <w:r w:rsidR="00EC3D18" w:rsidRPr="005954ED">
        <w:rPr>
          <w:rFonts w:ascii="Times New Roman" w:hAnsi="Times New Roman" w:cs="Times New Roman"/>
          <w:b/>
          <w:sz w:val="24"/>
          <w:szCs w:val="24"/>
        </w:rPr>
        <w:t xml:space="preserve"> 125mg/kg body weight), E (PCM+ </w:t>
      </w:r>
      <w:r w:rsidR="00EC3D18" w:rsidRPr="005954ED">
        <w:rPr>
          <w:rFonts w:ascii="Times New Roman" w:hAnsi="Times New Roman" w:cs="Times New Roman"/>
          <w:b/>
          <w:i/>
          <w:iCs/>
          <w:sz w:val="24"/>
          <w:szCs w:val="24"/>
        </w:rPr>
        <w:t>Euphorbia hirta</w:t>
      </w:r>
      <w:r w:rsidR="00EC3D18" w:rsidRPr="005954ED">
        <w:rPr>
          <w:rFonts w:ascii="Times New Roman" w:hAnsi="Times New Roman" w:cs="Times New Roman"/>
          <w:b/>
          <w:sz w:val="24"/>
          <w:szCs w:val="24"/>
        </w:rPr>
        <w:t xml:space="preserve"> 250mg/kg body weight). PCM=Paracetamol, AEEH=Aqueous leaf extract of </w:t>
      </w:r>
      <w:r w:rsidR="00EC3D18" w:rsidRPr="005954ED">
        <w:rPr>
          <w:rFonts w:ascii="Times New Roman" w:hAnsi="Times New Roman" w:cs="Times New Roman"/>
          <w:b/>
          <w:i/>
          <w:iCs/>
          <w:sz w:val="24"/>
          <w:szCs w:val="24"/>
        </w:rPr>
        <w:t>Euphorbia hirta.</w:t>
      </w:r>
    </w:p>
    <w:p w14:paraId="485F77CF" w14:textId="77777777" w:rsidR="008C215B" w:rsidRDefault="008C215B" w:rsidP="00EC3D18">
      <w:pPr>
        <w:spacing w:after="0" w:line="240" w:lineRule="auto"/>
        <w:rPr>
          <w:rFonts w:ascii="Times New Roman" w:hAnsi="Times New Roman" w:cs="Times New Roman"/>
          <w:b/>
          <w:i/>
          <w:iCs/>
          <w:sz w:val="24"/>
          <w:szCs w:val="24"/>
        </w:rPr>
      </w:pPr>
    </w:p>
    <w:p w14:paraId="162C692F" w14:textId="77777777" w:rsidR="008C215B" w:rsidRDefault="008C215B" w:rsidP="00EC3D18">
      <w:pPr>
        <w:spacing w:after="0" w:line="240" w:lineRule="auto"/>
        <w:rPr>
          <w:rFonts w:ascii="Times New Roman" w:hAnsi="Times New Roman" w:cs="Times New Roman"/>
          <w:b/>
          <w:i/>
          <w:iCs/>
          <w:sz w:val="24"/>
          <w:szCs w:val="24"/>
        </w:rPr>
      </w:pPr>
    </w:p>
    <w:p w14:paraId="6A8ED6C1" w14:textId="77777777" w:rsidR="008C215B" w:rsidRPr="005954ED" w:rsidRDefault="008C215B" w:rsidP="00EC3D18">
      <w:pPr>
        <w:spacing w:after="0" w:line="240" w:lineRule="auto"/>
        <w:rPr>
          <w:rFonts w:ascii="Times New Roman" w:hAnsi="Times New Roman" w:cs="Times New Roman"/>
          <w:b/>
          <w:i/>
          <w:iCs/>
          <w:sz w:val="24"/>
          <w:szCs w:val="24"/>
        </w:rPr>
      </w:pPr>
    </w:p>
    <w:p w14:paraId="60A6AAEE" w14:textId="77777777" w:rsidR="005954ED" w:rsidRPr="005954ED" w:rsidRDefault="005954ED" w:rsidP="005954ED">
      <w:pPr>
        <w:spacing w:after="0" w:line="240" w:lineRule="auto"/>
        <w:jc w:val="both"/>
        <w:rPr>
          <w:rFonts w:ascii="Times New Roman" w:hAnsi="Times New Roman" w:cs="Times New Roman"/>
          <w:sz w:val="24"/>
          <w:szCs w:val="24"/>
        </w:rPr>
      </w:pPr>
    </w:p>
    <w:p w14:paraId="74F864DE" w14:textId="77777777" w:rsidR="005954ED" w:rsidRPr="005954ED" w:rsidRDefault="005954ED" w:rsidP="005954ED">
      <w:pPr>
        <w:spacing w:after="0" w:line="240" w:lineRule="auto"/>
        <w:jc w:val="both"/>
        <w:rPr>
          <w:rFonts w:ascii="Times New Roman" w:hAnsi="Times New Roman" w:cs="Times New Roman"/>
          <w:sz w:val="24"/>
          <w:szCs w:val="24"/>
        </w:rPr>
      </w:pPr>
    </w:p>
    <w:p w14:paraId="784294E0" w14:textId="77777777" w:rsidR="00EE6C73" w:rsidRPr="005954ED" w:rsidRDefault="00EE6C73" w:rsidP="00AF5592">
      <w:pPr>
        <w:pBdr>
          <w:top w:val="single" w:sz="4" w:space="1" w:color="auto"/>
        </w:pBdr>
        <w:spacing w:after="0" w:line="240" w:lineRule="auto"/>
        <w:jc w:val="both"/>
        <w:rPr>
          <w:rFonts w:ascii="Times New Roman" w:hAnsi="Times New Roman" w:cs="Times New Roman"/>
          <w:b/>
          <w:bCs/>
          <w:sz w:val="24"/>
          <w:szCs w:val="24"/>
        </w:rPr>
      </w:pPr>
      <w:r w:rsidRPr="005954ED">
        <w:rPr>
          <w:rFonts w:ascii="Times New Roman" w:hAnsi="Times New Roman" w:cs="Times New Roman"/>
          <w:b/>
          <w:bCs/>
          <w:sz w:val="24"/>
          <w:szCs w:val="24"/>
        </w:rPr>
        <w:t xml:space="preserve">Table </w:t>
      </w:r>
      <w:r w:rsidR="00CA021E" w:rsidRPr="005954ED">
        <w:rPr>
          <w:rFonts w:ascii="Times New Roman" w:hAnsi="Times New Roman" w:cs="Times New Roman"/>
          <w:b/>
          <w:bCs/>
          <w:sz w:val="24"/>
          <w:szCs w:val="24"/>
        </w:rPr>
        <w:t>3:</w:t>
      </w:r>
      <w:r w:rsidRPr="005954ED">
        <w:rPr>
          <w:rFonts w:ascii="Times New Roman" w:hAnsi="Times New Roman" w:cs="Times New Roman"/>
          <w:b/>
          <w:bCs/>
          <w:sz w:val="24"/>
          <w:szCs w:val="24"/>
        </w:rPr>
        <w:t xml:space="preserve"> Expression of Bax protein levels in paracetamol-induced Wistar rats using Image</w:t>
      </w:r>
      <w:r w:rsidR="00AF5592" w:rsidRPr="005954ED">
        <w:rPr>
          <w:rFonts w:ascii="Times New Roman" w:hAnsi="Times New Roman" w:cs="Times New Roman"/>
          <w:b/>
          <w:bCs/>
          <w:sz w:val="24"/>
          <w:szCs w:val="24"/>
        </w:rPr>
        <w:t xml:space="preserve"> </w:t>
      </w:r>
      <w:r w:rsidRPr="005954ED">
        <w:rPr>
          <w:rFonts w:ascii="Times New Roman" w:hAnsi="Times New Roman" w:cs="Times New Roman"/>
          <w:b/>
          <w:bCs/>
          <w:sz w:val="24"/>
          <w:szCs w:val="24"/>
        </w:rPr>
        <w:t>J image processing program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8"/>
        <w:gridCol w:w="3392"/>
      </w:tblGrid>
      <w:tr w:rsidR="005954ED" w:rsidRPr="005954ED" w14:paraId="3BC8CCFC" w14:textId="77777777" w:rsidTr="002E6DC6">
        <w:tc>
          <w:tcPr>
            <w:tcW w:w="5958" w:type="dxa"/>
          </w:tcPr>
          <w:p w14:paraId="2D565BB9" w14:textId="77777777" w:rsidR="00EE6C73" w:rsidRPr="005954ED" w:rsidRDefault="00EE6C73" w:rsidP="00D03F8E">
            <w:pPr>
              <w:pBdr>
                <w:top w:val="single" w:sz="4" w:space="1" w:color="auto"/>
              </w:pBdr>
              <w:spacing w:after="0" w:line="240" w:lineRule="auto"/>
              <w:jc w:val="both"/>
              <w:rPr>
                <w:rFonts w:ascii="Times New Roman" w:hAnsi="Times New Roman" w:cs="Times New Roman"/>
                <w:b/>
                <w:bCs/>
                <w:sz w:val="24"/>
                <w:szCs w:val="24"/>
              </w:rPr>
            </w:pPr>
            <w:r w:rsidRPr="005954ED">
              <w:rPr>
                <w:rFonts w:ascii="Times New Roman" w:hAnsi="Times New Roman" w:cs="Times New Roman"/>
                <w:b/>
                <w:bCs/>
                <w:sz w:val="24"/>
                <w:szCs w:val="24"/>
              </w:rPr>
              <w:t>Groups</w:t>
            </w:r>
          </w:p>
        </w:tc>
        <w:tc>
          <w:tcPr>
            <w:tcW w:w="3392" w:type="dxa"/>
          </w:tcPr>
          <w:p w14:paraId="650995E8" w14:textId="77777777" w:rsidR="00EE6C73" w:rsidRPr="005954ED" w:rsidRDefault="00EE6C73" w:rsidP="00D03F8E">
            <w:pPr>
              <w:pBdr>
                <w:top w:val="single" w:sz="4" w:space="1" w:color="auto"/>
              </w:pBdr>
              <w:spacing w:after="0" w:line="240" w:lineRule="auto"/>
              <w:jc w:val="both"/>
              <w:rPr>
                <w:rFonts w:ascii="Times New Roman" w:hAnsi="Times New Roman" w:cs="Times New Roman"/>
                <w:b/>
                <w:bCs/>
                <w:sz w:val="24"/>
                <w:szCs w:val="24"/>
              </w:rPr>
            </w:pPr>
            <w:r w:rsidRPr="005954ED">
              <w:rPr>
                <w:rFonts w:ascii="Times New Roman" w:hAnsi="Times New Roman" w:cs="Times New Roman"/>
                <w:b/>
                <w:bCs/>
                <w:sz w:val="24"/>
                <w:szCs w:val="24"/>
              </w:rPr>
              <w:t>Bax protein level (µM</w:t>
            </w:r>
          </w:p>
        </w:tc>
      </w:tr>
      <w:tr w:rsidR="005954ED" w:rsidRPr="005954ED" w14:paraId="331C24B8" w14:textId="77777777" w:rsidTr="005D747E">
        <w:trPr>
          <w:trHeight w:val="360"/>
        </w:trPr>
        <w:tc>
          <w:tcPr>
            <w:tcW w:w="5958" w:type="dxa"/>
          </w:tcPr>
          <w:p w14:paraId="216CA203" w14:textId="77777777" w:rsidR="00EE6C73" w:rsidRPr="005954ED" w:rsidRDefault="00EE6C73" w:rsidP="00D03F8E">
            <w:pPr>
              <w:spacing w:after="0" w:line="240" w:lineRule="auto"/>
              <w:jc w:val="both"/>
              <w:rPr>
                <w:rFonts w:ascii="Times New Roman" w:hAnsi="Times New Roman" w:cs="Times New Roman"/>
                <w:b/>
                <w:bCs/>
                <w:sz w:val="24"/>
                <w:szCs w:val="24"/>
              </w:rPr>
            </w:pPr>
            <w:r w:rsidRPr="005954ED">
              <w:rPr>
                <w:rFonts w:ascii="Times New Roman" w:hAnsi="Times New Roman" w:cs="Times New Roman"/>
                <w:b/>
                <w:bCs/>
                <w:sz w:val="24"/>
                <w:szCs w:val="24"/>
              </w:rPr>
              <w:t>Group A: Normal Control</w:t>
            </w:r>
          </w:p>
        </w:tc>
        <w:tc>
          <w:tcPr>
            <w:tcW w:w="3392" w:type="dxa"/>
          </w:tcPr>
          <w:p w14:paraId="5F9004FC" w14:textId="77777777" w:rsidR="00EE6C73" w:rsidRPr="005954ED" w:rsidRDefault="00EE6C73" w:rsidP="00D03F8E">
            <w:pPr>
              <w:spacing w:after="0" w:line="240" w:lineRule="auto"/>
              <w:jc w:val="both"/>
              <w:rPr>
                <w:rFonts w:ascii="Times New Roman" w:hAnsi="Times New Roman" w:cs="Times New Roman"/>
                <w:sz w:val="24"/>
                <w:szCs w:val="24"/>
              </w:rPr>
            </w:pPr>
            <w:r w:rsidRPr="005954ED">
              <w:rPr>
                <w:rFonts w:ascii="Times New Roman" w:hAnsi="Times New Roman" w:cs="Times New Roman"/>
                <w:sz w:val="24"/>
                <w:szCs w:val="24"/>
              </w:rPr>
              <w:t>70.55±0.07</w:t>
            </w:r>
            <w:r w:rsidRPr="005954ED">
              <w:rPr>
                <w:rFonts w:ascii="Times New Roman" w:hAnsi="Times New Roman" w:cs="Times New Roman"/>
                <w:sz w:val="24"/>
                <w:szCs w:val="24"/>
                <w:vertAlign w:val="superscript"/>
              </w:rPr>
              <w:t xml:space="preserve"> a</w:t>
            </w:r>
          </w:p>
        </w:tc>
      </w:tr>
      <w:tr w:rsidR="005954ED" w:rsidRPr="005954ED" w14:paraId="0ED0BEDA" w14:textId="77777777" w:rsidTr="002E6DC6">
        <w:tc>
          <w:tcPr>
            <w:tcW w:w="5958" w:type="dxa"/>
          </w:tcPr>
          <w:p w14:paraId="59B97345" w14:textId="77777777" w:rsidR="00EE6C73" w:rsidRPr="005954ED" w:rsidRDefault="00EE6C73" w:rsidP="00D03F8E">
            <w:pPr>
              <w:spacing w:after="0" w:line="240" w:lineRule="auto"/>
              <w:jc w:val="both"/>
              <w:rPr>
                <w:rFonts w:ascii="Times New Roman" w:hAnsi="Times New Roman" w:cs="Times New Roman"/>
                <w:b/>
                <w:bCs/>
                <w:sz w:val="24"/>
                <w:szCs w:val="24"/>
              </w:rPr>
            </w:pPr>
            <w:r w:rsidRPr="005954ED">
              <w:rPr>
                <w:rFonts w:ascii="Times New Roman" w:hAnsi="Times New Roman" w:cs="Times New Roman"/>
                <w:b/>
                <w:bCs/>
                <w:sz w:val="24"/>
                <w:szCs w:val="24"/>
              </w:rPr>
              <w:t>Group B: Paracetamol</w:t>
            </w:r>
            <w:r w:rsidR="002E6DC6" w:rsidRPr="005954ED">
              <w:rPr>
                <w:rFonts w:ascii="Times New Roman" w:hAnsi="Times New Roman" w:cs="Times New Roman"/>
                <w:b/>
                <w:bCs/>
                <w:sz w:val="24"/>
                <w:szCs w:val="24"/>
              </w:rPr>
              <w:t xml:space="preserve"> </w:t>
            </w:r>
            <w:r w:rsidRPr="005954ED">
              <w:rPr>
                <w:rFonts w:ascii="Times New Roman" w:hAnsi="Times New Roman" w:cs="Times New Roman"/>
                <w:b/>
                <w:bCs/>
                <w:sz w:val="24"/>
                <w:szCs w:val="24"/>
              </w:rPr>
              <w:t>(150mg/kg b.w)</w:t>
            </w:r>
          </w:p>
        </w:tc>
        <w:tc>
          <w:tcPr>
            <w:tcW w:w="3392" w:type="dxa"/>
          </w:tcPr>
          <w:p w14:paraId="3A880265" w14:textId="77777777" w:rsidR="00EE6C73" w:rsidRPr="005954ED" w:rsidRDefault="00EE6C73" w:rsidP="00D03F8E">
            <w:pPr>
              <w:spacing w:after="0" w:line="240" w:lineRule="auto"/>
              <w:jc w:val="both"/>
              <w:rPr>
                <w:rFonts w:ascii="Times New Roman" w:hAnsi="Times New Roman" w:cs="Times New Roman"/>
                <w:sz w:val="24"/>
                <w:szCs w:val="24"/>
              </w:rPr>
            </w:pPr>
            <w:r w:rsidRPr="005954ED">
              <w:rPr>
                <w:rFonts w:ascii="Times New Roman" w:hAnsi="Times New Roman" w:cs="Times New Roman"/>
                <w:sz w:val="24"/>
                <w:szCs w:val="24"/>
              </w:rPr>
              <w:t>73.29±0.11</w:t>
            </w:r>
            <w:r w:rsidRPr="005954ED">
              <w:rPr>
                <w:rFonts w:ascii="Times New Roman" w:hAnsi="Times New Roman" w:cs="Times New Roman"/>
                <w:sz w:val="24"/>
                <w:szCs w:val="24"/>
                <w:vertAlign w:val="superscript"/>
              </w:rPr>
              <w:t>b</w:t>
            </w:r>
          </w:p>
        </w:tc>
      </w:tr>
      <w:tr w:rsidR="005954ED" w:rsidRPr="005954ED" w14:paraId="66E76DAF" w14:textId="77777777" w:rsidTr="002E6DC6">
        <w:tc>
          <w:tcPr>
            <w:tcW w:w="5958" w:type="dxa"/>
          </w:tcPr>
          <w:p w14:paraId="793662B8" w14:textId="77777777" w:rsidR="00EE6C73" w:rsidRPr="005954ED" w:rsidRDefault="00EE6C73" w:rsidP="00D03F8E">
            <w:pPr>
              <w:spacing w:after="0" w:line="240" w:lineRule="auto"/>
              <w:jc w:val="both"/>
              <w:rPr>
                <w:rFonts w:ascii="Times New Roman" w:hAnsi="Times New Roman" w:cs="Times New Roman"/>
                <w:b/>
                <w:bCs/>
                <w:sz w:val="24"/>
                <w:szCs w:val="24"/>
              </w:rPr>
            </w:pPr>
            <w:r w:rsidRPr="005954ED">
              <w:rPr>
                <w:rFonts w:ascii="Times New Roman" w:hAnsi="Times New Roman" w:cs="Times New Roman"/>
                <w:b/>
                <w:bCs/>
                <w:sz w:val="24"/>
                <w:szCs w:val="24"/>
              </w:rPr>
              <w:t>Group C Paracetamol</w:t>
            </w:r>
            <w:r w:rsidR="002E6DC6" w:rsidRPr="005954ED">
              <w:rPr>
                <w:rFonts w:ascii="Times New Roman" w:hAnsi="Times New Roman" w:cs="Times New Roman"/>
                <w:b/>
                <w:bCs/>
                <w:sz w:val="24"/>
                <w:szCs w:val="24"/>
              </w:rPr>
              <w:t xml:space="preserve"> </w:t>
            </w:r>
            <w:r w:rsidRPr="005954ED">
              <w:rPr>
                <w:rFonts w:ascii="Times New Roman" w:hAnsi="Times New Roman" w:cs="Times New Roman"/>
                <w:b/>
                <w:bCs/>
                <w:sz w:val="24"/>
                <w:szCs w:val="24"/>
              </w:rPr>
              <w:t>(150mg/kg b.w) +Sylimarin</w:t>
            </w:r>
          </w:p>
          <w:p w14:paraId="36762F85" w14:textId="77777777" w:rsidR="00EE6C73" w:rsidRPr="005954ED" w:rsidRDefault="00EE6C73" w:rsidP="00D03F8E">
            <w:pPr>
              <w:spacing w:after="0" w:line="240" w:lineRule="auto"/>
              <w:jc w:val="both"/>
              <w:rPr>
                <w:rFonts w:ascii="Times New Roman" w:hAnsi="Times New Roman" w:cs="Times New Roman"/>
                <w:b/>
                <w:bCs/>
                <w:sz w:val="24"/>
                <w:szCs w:val="24"/>
              </w:rPr>
            </w:pPr>
            <w:r w:rsidRPr="005954ED">
              <w:rPr>
                <w:rFonts w:ascii="Times New Roman" w:hAnsi="Times New Roman" w:cs="Times New Roman"/>
                <w:b/>
                <w:bCs/>
                <w:sz w:val="24"/>
                <w:szCs w:val="24"/>
              </w:rPr>
              <w:t>(2mg/kg b.w)</w:t>
            </w:r>
          </w:p>
        </w:tc>
        <w:tc>
          <w:tcPr>
            <w:tcW w:w="3392" w:type="dxa"/>
          </w:tcPr>
          <w:p w14:paraId="6F09D2C3" w14:textId="77777777" w:rsidR="00EE6C73" w:rsidRPr="005954ED" w:rsidRDefault="00EE6C73" w:rsidP="00D03F8E">
            <w:pPr>
              <w:spacing w:after="0" w:line="240" w:lineRule="auto"/>
              <w:jc w:val="both"/>
              <w:rPr>
                <w:rFonts w:ascii="Times New Roman" w:hAnsi="Times New Roman" w:cs="Times New Roman"/>
                <w:sz w:val="24"/>
                <w:szCs w:val="24"/>
              </w:rPr>
            </w:pPr>
            <w:r w:rsidRPr="005954ED">
              <w:rPr>
                <w:rFonts w:ascii="Times New Roman" w:hAnsi="Times New Roman" w:cs="Times New Roman"/>
                <w:sz w:val="24"/>
                <w:szCs w:val="24"/>
              </w:rPr>
              <w:t>68.87±0.10</w:t>
            </w:r>
            <w:r w:rsidRPr="005954ED">
              <w:rPr>
                <w:rFonts w:ascii="Times New Roman" w:hAnsi="Times New Roman" w:cs="Times New Roman"/>
                <w:sz w:val="24"/>
                <w:szCs w:val="24"/>
                <w:vertAlign w:val="superscript"/>
              </w:rPr>
              <w:t xml:space="preserve"> a</w:t>
            </w:r>
          </w:p>
        </w:tc>
      </w:tr>
      <w:tr w:rsidR="005954ED" w:rsidRPr="005954ED" w14:paraId="746ACF39" w14:textId="77777777" w:rsidTr="002E6DC6">
        <w:tc>
          <w:tcPr>
            <w:tcW w:w="5958" w:type="dxa"/>
            <w:tcBorders>
              <w:bottom w:val="single" w:sz="4" w:space="0" w:color="auto"/>
            </w:tcBorders>
          </w:tcPr>
          <w:p w14:paraId="5767D386" w14:textId="77777777" w:rsidR="00EE6C73" w:rsidRPr="005954ED" w:rsidRDefault="005D747E" w:rsidP="00D03F8E">
            <w:pPr>
              <w:spacing w:after="0" w:line="240" w:lineRule="auto"/>
              <w:jc w:val="both"/>
              <w:rPr>
                <w:rFonts w:ascii="Times New Roman" w:hAnsi="Times New Roman" w:cs="Times New Roman"/>
                <w:b/>
                <w:bCs/>
                <w:sz w:val="24"/>
                <w:szCs w:val="24"/>
              </w:rPr>
            </w:pPr>
            <w:r w:rsidRPr="005954ED">
              <w:rPr>
                <w:rFonts w:ascii="Times New Roman" w:hAnsi="Times New Roman" w:cs="Times New Roman"/>
                <w:b/>
                <w:bCs/>
                <w:sz w:val="24"/>
                <w:szCs w:val="24"/>
              </w:rPr>
              <w:t>Group D</w:t>
            </w:r>
            <w:r w:rsidR="00EE6C73" w:rsidRPr="005954ED">
              <w:rPr>
                <w:rFonts w:ascii="Times New Roman" w:hAnsi="Times New Roman" w:cs="Times New Roman"/>
                <w:b/>
                <w:bCs/>
                <w:sz w:val="24"/>
                <w:szCs w:val="24"/>
              </w:rPr>
              <w:t xml:space="preserve"> : Paracetamol (150mg/kg b.w)</w:t>
            </w:r>
          </w:p>
          <w:p w14:paraId="452AACAC" w14:textId="77777777" w:rsidR="00EE6C73" w:rsidRPr="005954ED" w:rsidRDefault="00EE6C73" w:rsidP="00D03F8E">
            <w:pPr>
              <w:spacing w:after="0" w:line="240" w:lineRule="auto"/>
              <w:jc w:val="both"/>
              <w:rPr>
                <w:rFonts w:ascii="Times New Roman" w:hAnsi="Times New Roman" w:cs="Times New Roman"/>
                <w:b/>
                <w:bCs/>
                <w:sz w:val="24"/>
                <w:szCs w:val="24"/>
              </w:rPr>
            </w:pPr>
            <w:r w:rsidRPr="005954ED">
              <w:rPr>
                <w:rFonts w:ascii="Times New Roman" w:hAnsi="Times New Roman" w:cs="Times New Roman"/>
                <w:b/>
                <w:bCs/>
                <w:i/>
                <w:sz w:val="24"/>
                <w:szCs w:val="24"/>
              </w:rPr>
              <w:t xml:space="preserve">Euphorbia hirta </w:t>
            </w:r>
            <w:r w:rsidRPr="005954ED">
              <w:rPr>
                <w:rFonts w:ascii="Times New Roman" w:hAnsi="Times New Roman" w:cs="Times New Roman"/>
                <w:b/>
                <w:bCs/>
                <w:sz w:val="24"/>
                <w:szCs w:val="24"/>
              </w:rPr>
              <w:t>(125mg/kg b.w)</w:t>
            </w:r>
          </w:p>
          <w:p w14:paraId="112F1908" w14:textId="77777777" w:rsidR="00EE6C73" w:rsidRPr="005954ED" w:rsidRDefault="005D747E" w:rsidP="00D03F8E">
            <w:pPr>
              <w:spacing w:after="0" w:line="240" w:lineRule="auto"/>
              <w:jc w:val="both"/>
              <w:rPr>
                <w:rFonts w:ascii="Times New Roman" w:hAnsi="Times New Roman" w:cs="Times New Roman"/>
                <w:b/>
                <w:bCs/>
                <w:sz w:val="24"/>
                <w:szCs w:val="24"/>
              </w:rPr>
            </w:pPr>
            <w:r w:rsidRPr="005954ED">
              <w:rPr>
                <w:rFonts w:ascii="Times New Roman" w:hAnsi="Times New Roman" w:cs="Times New Roman"/>
                <w:b/>
                <w:bCs/>
                <w:sz w:val="24"/>
                <w:szCs w:val="24"/>
              </w:rPr>
              <w:t>Group E</w:t>
            </w:r>
            <w:r w:rsidR="00EE6C73" w:rsidRPr="005954ED">
              <w:rPr>
                <w:rFonts w:ascii="Times New Roman" w:hAnsi="Times New Roman" w:cs="Times New Roman"/>
                <w:b/>
                <w:bCs/>
                <w:sz w:val="24"/>
                <w:szCs w:val="24"/>
              </w:rPr>
              <w:t xml:space="preserve"> : Paracetamol (150mg/kg b.w)</w:t>
            </w:r>
          </w:p>
          <w:p w14:paraId="56DFF383" w14:textId="77777777" w:rsidR="00EE6C73" w:rsidRPr="005954ED" w:rsidRDefault="00EE6C73" w:rsidP="00D03F8E">
            <w:pPr>
              <w:spacing w:after="0" w:line="240" w:lineRule="auto"/>
              <w:jc w:val="both"/>
              <w:rPr>
                <w:rFonts w:ascii="Times New Roman" w:hAnsi="Times New Roman" w:cs="Times New Roman"/>
                <w:b/>
                <w:bCs/>
                <w:sz w:val="24"/>
                <w:szCs w:val="24"/>
              </w:rPr>
            </w:pPr>
            <w:r w:rsidRPr="005954ED">
              <w:rPr>
                <w:rFonts w:ascii="Times New Roman" w:hAnsi="Times New Roman" w:cs="Times New Roman"/>
                <w:b/>
                <w:bCs/>
                <w:sz w:val="24"/>
                <w:szCs w:val="24"/>
              </w:rPr>
              <w:t xml:space="preserve">Euphorbia hirta (250mg/kg b.w) </w:t>
            </w:r>
          </w:p>
        </w:tc>
        <w:tc>
          <w:tcPr>
            <w:tcW w:w="3392" w:type="dxa"/>
            <w:tcBorders>
              <w:bottom w:val="single" w:sz="4" w:space="0" w:color="auto"/>
            </w:tcBorders>
          </w:tcPr>
          <w:p w14:paraId="688DDDDA" w14:textId="77777777" w:rsidR="00EE6C73" w:rsidRPr="005954ED" w:rsidRDefault="00EE6C73" w:rsidP="00D03F8E">
            <w:pPr>
              <w:spacing w:after="0" w:line="240" w:lineRule="auto"/>
              <w:jc w:val="both"/>
              <w:rPr>
                <w:rFonts w:ascii="Times New Roman" w:hAnsi="Times New Roman" w:cs="Times New Roman"/>
                <w:sz w:val="24"/>
                <w:szCs w:val="24"/>
              </w:rPr>
            </w:pPr>
            <w:r w:rsidRPr="005954ED">
              <w:rPr>
                <w:rFonts w:ascii="Times New Roman" w:hAnsi="Times New Roman" w:cs="Times New Roman"/>
                <w:sz w:val="24"/>
                <w:szCs w:val="24"/>
              </w:rPr>
              <w:t>67.01±0.08</w:t>
            </w:r>
            <w:r w:rsidRPr="005954ED">
              <w:rPr>
                <w:rFonts w:ascii="Times New Roman" w:hAnsi="Times New Roman" w:cs="Times New Roman"/>
                <w:sz w:val="24"/>
                <w:szCs w:val="24"/>
                <w:vertAlign w:val="superscript"/>
              </w:rPr>
              <w:t>a</w:t>
            </w:r>
          </w:p>
          <w:p w14:paraId="2584D84D" w14:textId="77777777" w:rsidR="00EE6C73" w:rsidRPr="005954ED" w:rsidRDefault="00EE6C73" w:rsidP="00D03F8E">
            <w:pPr>
              <w:spacing w:after="0" w:line="240" w:lineRule="auto"/>
              <w:jc w:val="both"/>
              <w:rPr>
                <w:rFonts w:ascii="Times New Roman" w:hAnsi="Times New Roman" w:cs="Times New Roman"/>
                <w:sz w:val="24"/>
                <w:szCs w:val="24"/>
              </w:rPr>
            </w:pPr>
            <w:r w:rsidRPr="005954ED">
              <w:rPr>
                <w:rFonts w:ascii="Times New Roman" w:hAnsi="Times New Roman" w:cs="Times New Roman"/>
                <w:sz w:val="24"/>
                <w:szCs w:val="24"/>
              </w:rPr>
              <w:t>68.25±0.08</w:t>
            </w:r>
            <w:r w:rsidRPr="005954ED">
              <w:rPr>
                <w:rFonts w:ascii="Times New Roman" w:hAnsi="Times New Roman" w:cs="Times New Roman"/>
                <w:sz w:val="24"/>
                <w:szCs w:val="24"/>
                <w:vertAlign w:val="superscript"/>
              </w:rPr>
              <w:t>a</w:t>
            </w:r>
          </w:p>
        </w:tc>
      </w:tr>
    </w:tbl>
    <w:p w14:paraId="409CA1F6" w14:textId="77777777" w:rsidR="00EE6C73" w:rsidRPr="005954ED" w:rsidRDefault="00EE6C73" w:rsidP="00AF5592">
      <w:pPr>
        <w:spacing w:after="0" w:line="480" w:lineRule="auto"/>
        <w:jc w:val="both"/>
        <w:rPr>
          <w:rFonts w:ascii="Times New Roman" w:hAnsi="Times New Roman" w:cs="Times New Roman"/>
          <w:b/>
          <w:bCs/>
          <w:sz w:val="24"/>
          <w:szCs w:val="24"/>
        </w:rPr>
      </w:pPr>
    </w:p>
    <w:p w14:paraId="53FE358E" w14:textId="77777777" w:rsidR="005D747E" w:rsidRPr="005954ED" w:rsidRDefault="00EE6C73" w:rsidP="00D03F8E">
      <w:pPr>
        <w:spacing w:after="0" w:line="240" w:lineRule="auto"/>
        <w:jc w:val="both"/>
        <w:rPr>
          <w:rFonts w:ascii="Times New Roman" w:hAnsi="Times New Roman" w:cs="Times New Roman"/>
          <w:b/>
          <w:bCs/>
          <w:sz w:val="24"/>
          <w:szCs w:val="24"/>
        </w:rPr>
      </w:pPr>
      <w:r w:rsidRPr="005954ED">
        <w:rPr>
          <w:rFonts w:ascii="Times New Roman" w:hAnsi="Times New Roman" w:cs="Times New Roman"/>
          <w:b/>
          <w:bCs/>
          <w:sz w:val="24"/>
          <w:szCs w:val="24"/>
        </w:rPr>
        <w:t xml:space="preserve">Values were expressed as mean ±SEM (n=5). Different alphabet superscripts denote significant difference P. Bax =Bcl-2-associated X protein. </w:t>
      </w:r>
    </w:p>
    <w:p w14:paraId="5A596499" w14:textId="77777777" w:rsidR="00D03F8E" w:rsidRPr="005954ED" w:rsidRDefault="00D03F8E" w:rsidP="00AF5592">
      <w:pPr>
        <w:spacing w:after="0" w:line="480" w:lineRule="auto"/>
        <w:jc w:val="both"/>
        <w:rPr>
          <w:rFonts w:ascii="Times New Roman" w:hAnsi="Times New Roman" w:cs="Times New Roman"/>
          <w:b/>
          <w:bCs/>
          <w:sz w:val="24"/>
          <w:szCs w:val="24"/>
        </w:rPr>
      </w:pPr>
    </w:p>
    <w:p w14:paraId="7544335C" w14:textId="77777777" w:rsidR="008C215B" w:rsidRDefault="008C215B">
      <w:pPr>
        <w:spacing w:after="200" w:line="276"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2655E219" w14:textId="77777777" w:rsidR="004B44A7" w:rsidRPr="004B44A7" w:rsidRDefault="004B44A7" w:rsidP="004B44A7">
      <w:pPr>
        <w:spacing w:before="100" w:beforeAutospacing="1" w:after="100" w:afterAutospacing="1" w:line="360" w:lineRule="auto"/>
        <w:jc w:val="both"/>
        <w:outlineLvl w:val="2"/>
        <w:rPr>
          <w:rFonts w:ascii="Times New Roman" w:eastAsia="Times New Roman" w:hAnsi="Times New Roman" w:cs="Times New Roman"/>
          <w:b/>
          <w:bCs/>
          <w:kern w:val="0"/>
          <w:sz w:val="24"/>
          <w:szCs w:val="24"/>
          <w14:ligatures w14:val="none"/>
        </w:rPr>
      </w:pPr>
      <w:r w:rsidRPr="004B44A7">
        <w:rPr>
          <w:rFonts w:ascii="Times New Roman" w:eastAsia="Times New Roman" w:hAnsi="Times New Roman" w:cs="Times New Roman"/>
          <w:b/>
          <w:bCs/>
          <w:kern w:val="0"/>
          <w:sz w:val="24"/>
          <w:szCs w:val="24"/>
          <w14:ligatures w14:val="none"/>
        </w:rPr>
        <w:t>DISCUSSION</w:t>
      </w:r>
    </w:p>
    <w:p w14:paraId="47CF99E5" w14:textId="70186768" w:rsidR="004B44A7" w:rsidRPr="004B44A7" w:rsidRDefault="004B44A7" w:rsidP="004B44A7">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4B44A7">
        <w:rPr>
          <w:rFonts w:ascii="Times New Roman" w:eastAsia="Times New Roman" w:hAnsi="Times New Roman" w:cs="Times New Roman"/>
          <w:kern w:val="0"/>
          <w:sz w:val="24"/>
          <w:szCs w:val="24"/>
          <w14:ligatures w14:val="none"/>
        </w:rPr>
        <w:t>The search for novel hepatoprotective agents remains a critical area of research due to the limitations and adverse effects associated with conventional hepatoprotective drugs</w:t>
      </w:r>
      <w:r w:rsidR="007B32B0" w:rsidRPr="007B32B0">
        <w:rPr>
          <w:rFonts w:ascii="Times New Roman" w:eastAsia="Times New Roman" w:hAnsi="Times New Roman" w:cs="Times New Roman"/>
          <w:sz w:val="24"/>
          <w:szCs w:val="24"/>
        </w:rPr>
        <w:t xml:space="preserve"> </w:t>
      </w:r>
      <w:r w:rsidR="007B32B0">
        <w:rPr>
          <w:rFonts w:ascii="Times New Roman" w:eastAsia="Times New Roman" w:hAnsi="Times New Roman" w:cs="Times New Roman"/>
          <w:sz w:val="24"/>
          <w:szCs w:val="24"/>
        </w:rPr>
        <w:t>(</w:t>
      </w:r>
      <w:r w:rsidR="007B32B0" w:rsidRPr="00CB5544">
        <w:rPr>
          <w:rFonts w:ascii="Times New Roman" w:eastAsia="Times New Roman" w:hAnsi="Times New Roman" w:cs="Times New Roman"/>
          <w:sz w:val="24"/>
          <w:szCs w:val="24"/>
        </w:rPr>
        <w:t>Ghosh et al., 2018</w:t>
      </w:r>
      <w:r w:rsidR="007B32B0">
        <w:rPr>
          <w:rFonts w:ascii="Times New Roman" w:eastAsia="Times New Roman" w:hAnsi="Times New Roman" w:cs="Times New Roman"/>
          <w:sz w:val="24"/>
          <w:szCs w:val="24"/>
        </w:rPr>
        <w:t>)</w:t>
      </w:r>
      <w:r w:rsidRPr="004B44A7">
        <w:rPr>
          <w:rFonts w:ascii="Times New Roman" w:eastAsia="Times New Roman" w:hAnsi="Times New Roman" w:cs="Times New Roman"/>
          <w:kern w:val="0"/>
          <w:sz w:val="24"/>
          <w:szCs w:val="24"/>
          <w14:ligatures w14:val="none"/>
        </w:rPr>
        <w:t xml:space="preserve">. While various studies have documented the phytochemical and pharmacological properties of </w:t>
      </w:r>
      <w:r w:rsidRPr="004B44A7">
        <w:rPr>
          <w:rFonts w:ascii="Times New Roman" w:eastAsia="Times New Roman" w:hAnsi="Times New Roman" w:cs="Times New Roman"/>
          <w:i/>
          <w:iCs/>
          <w:kern w:val="0"/>
          <w:sz w:val="24"/>
          <w:szCs w:val="24"/>
          <w14:ligatures w14:val="none"/>
        </w:rPr>
        <w:t>Euphorbia hirta</w:t>
      </w:r>
      <w:r w:rsidRPr="004B44A7">
        <w:rPr>
          <w:rFonts w:ascii="Times New Roman" w:eastAsia="Times New Roman" w:hAnsi="Times New Roman" w:cs="Times New Roman"/>
          <w:kern w:val="0"/>
          <w:sz w:val="24"/>
          <w:szCs w:val="24"/>
          <w14:ligatures w14:val="none"/>
        </w:rPr>
        <w:t xml:space="preserve">, little scientific evidence exists regarding its hepatoprotective potential against paracetamol-induced hepatotoxicity in Wistar rats (Saccomano, 2019). This study provides novel insights into the efficacy of </w:t>
      </w:r>
      <w:r w:rsidRPr="004B44A7">
        <w:rPr>
          <w:rFonts w:ascii="Times New Roman" w:eastAsia="Times New Roman" w:hAnsi="Times New Roman" w:cs="Times New Roman"/>
          <w:i/>
          <w:iCs/>
          <w:kern w:val="0"/>
          <w:sz w:val="24"/>
          <w:szCs w:val="24"/>
          <w14:ligatures w14:val="none"/>
        </w:rPr>
        <w:t>Euphorbia hirta</w:t>
      </w:r>
      <w:r w:rsidRPr="004B44A7">
        <w:rPr>
          <w:rFonts w:ascii="Times New Roman" w:eastAsia="Times New Roman" w:hAnsi="Times New Roman" w:cs="Times New Roman"/>
          <w:kern w:val="0"/>
          <w:sz w:val="24"/>
          <w:szCs w:val="24"/>
          <w14:ligatures w14:val="none"/>
        </w:rPr>
        <w:t xml:space="preserve"> leaf extract in mitigating liver damage caused by paracetamol overdose.</w:t>
      </w:r>
    </w:p>
    <w:p w14:paraId="024FC49B" w14:textId="77777777" w:rsidR="004B44A7" w:rsidRPr="004B44A7" w:rsidRDefault="004B44A7" w:rsidP="004B44A7">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4B44A7">
        <w:rPr>
          <w:rFonts w:ascii="Times New Roman" w:eastAsia="Times New Roman" w:hAnsi="Times New Roman" w:cs="Times New Roman"/>
          <w:kern w:val="0"/>
          <w:sz w:val="24"/>
          <w:szCs w:val="24"/>
          <w14:ligatures w14:val="none"/>
        </w:rPr>
        <w:t xml:space="preserve">Paracetamol-induced hepatotoxicity is characterized by elevated serum transaminases, coagulopathy, hypoglycemia, and lactic acidosis, with peak liver enzyme levels occurring 2–3 days post-overdose (Bunchorntavakul et al., 2013). Despite treatment, 12–13% of acute overdoses result in hepatotoxicity, with 2–5% progressing to liver failure and 0.2–0.5% leading to mortality (Buckley et al., 2022). The present study employed a multi-parameter approach, including liver function tests, histological analysis, and immunohistochemistry, to assess the protective effects of </w:t>
      </w:r>
      <w:r w:rsidRPr="004B44A7">
        <w:rPr>
          <w:rFonts w:ascii="Times New Roman" w:eastAsia="Times New Roman" w:hAnsi="Times New Roman" w:cs="Times New Roman"/>
          <w:i/>
          <w:iCs/>
          <w:kern w:val="0"/>
          <w:sz w:val="24"/>
          <w:szCs w:val="24"/>
          <w14:ligatures w14:val="none"/>
        </w:rPr>
        <w:t>Euphorbia hirta</w:t>
      </w:r>
      <w:r w:rsidRPr="004B44A7">
        <w:rPr>
          <w:rFonts w:ascii="Times New Roman" w:eastAsia="Times New Roman" w:hAnsi="Times New Roman" w:cs="Times New Roman"/>
          <w:kern w:val="0"/>
          <w:sz w:val="24"/>
          <w:szCs w:val="24"/>
          <w14:ligatures w14:val="none"/>
        </w:rPr>
        <w:t>.</w:t>
      </w:r>
    </w:p>
    <w:p w14:paraId="49361CB0" w14:textId="77777777" w:rsidR="004B44A7" w:rsidRPr="004B44A7" w:rsidRDefault="004B44A7" w:rsidP="004B44A7">
      <w:pPr>
        <w:spacing w:before="100" w:beforeAutospacing="1" w:after="100" w:afterAutospacing="1" w:line="360" w:lineRule="auto"/>
        <w:jc w:val="both"/>
        <w:outlineLvl w:val="2"/>
        <w:rPr>
          <w:rFonts w:ascii="Times New Roman" w:eastAsia="Times New Roman" w:hAnsi="Times New Roman" w:cs="Times New Roman"/>
          <w:b/>
          <w:bCs/>
          <w:kern w:val="0"/>
          <w:sz w:val="24"/>
          <w:szCs w:val="24"/>
          <w14:ligatures w14:val="none"/>
        </w:rPr>
      </w:pPr>
      <w:r w:rsidRPr="004B44A7">
        <w:rPr>
          <w:rFonts w:ascii="Times New Roman" w:eastAsia="Times New Roman" w:hAnsi="Times New Roman" w:cs="Times New Roman"/>
          <w:b/>
          <w:bCs/>
          <w:kern w:val="0"/>
          <w:sz w:val="24"/>
          <w:szCs w:val="24"/>
          <w14:ligatures w14:val="none"/>
        </w:rPr>
        <w:t>Liver Function Biomarkers and Hepatoprotection</w:t>
      </w:r>
    </w:p>
    <w:p w14:paraId="3BF7767D" w14:textId="566627FF" w:rsidR="004B44A7" w:rsidRPr="004B44A7" w:rsidRDefault="004B44A7" w:rsidP="004B44A7">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4B44A7">
        <w:rPr>
          <w:rFonts w:ascii="Times New Roman" w:eastAsia="Times New Roman" w:hAnsi="Times New Roman" w:cs="Times New Roman"/>
          <w:kern w:val="0"/>
          <w:sz w:val="24"/>
          <w:szCs w:val="24"/>
          <w14:ligatures w14:val="none"/>
        </w:rPr>
        <w:t>Alanine aminotransferase (ALT) and aspartate aminotransferase (AST) are critical biomarkers used to assess liver integrity. Elevated AST levels indicate liver injury and predict hepatotoxic effects associated with paracetamol overdose</w:t>
      </w:r>
      <w:r w:rsidR="00EB1ED8">
        <w:rPr>
          <w:rFonts w:ascii="Times New Roman" w:eastAsia="Times New Roman" w:hAnsi="Times New Roman" w:cs="Times New Roman"/>
          <w:kern w:val="0"/>
          <w:sz w:val="24"/>
          <w:szCs w:val="24"/>
          <w14:ligatures w14:val="none"/>
        </w:rPr>
        <w:t xml:space="preserve">. </w:t>
      </w:r>
      <w:r w:rsidRPr="004B44A7">
        <w:rPr>
          <w:rFonts w:ascii="Times New Roman" w:eastAsia="Times New Roman" w:hAnsi="Times New Roman" w:cs="Times New Roman"/>
          <w:kern w:val="0"/>
          <w:sz w:val="24"/>
          <w:szCs w:val="24"/>
          <w14:ligatures w14:val="none"/>
        </w:rPr>
        <w:t>While AST elevation may also reflect muscle damage, ALT is more liver-specific, making it a key marker of hepatic injury (Kausar et al., 2010). ALT production occurs in the bile ducts, and its elevation in serum is commonly observed in intrahepatic and extrahepatic biliary obstruction (Motto et al., 2021). A significant increase (p &lt; 0.05) in AST and ALT levels was observed in rats exposed to paracetamol overdose, confirming hepatic injury.</w:t>
      </w:r>
    </w:p>
    <w:p w14:paraId="1F896F21" w14:textId="77777777" w:rsidR="004B44A7" w:rsidRPr="004B44A7" w:rsidRDefault="004B44A7" w:rsidP="004B44A7">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4B44A7">
        <w:rPr>
          <w:rFonts w:ascii="Times New Roman" w:eastAsia="Times New Roman" w:hAnsi="Times New Roman" w:cs="Times New Roman"/>
          <w:kern w:val="0"/>
          <w:sz w:val="24"/>
          <w:szCs w:val="24"/>
          <w14:ligatures w14:val="none"/>
        </w:rPr>
        <w:t xml:space="preserve">Pre-treatment with </w:t>
      </w:r>
      <w:r w:rsidRPr="004B44A7">
        <w:rPr>
          <w:rFonts w:ascii="Times New Roman" w:eastAsia="Times New Roman" w:hAnsi="Times New Roman" w:cs="Times New Roman"/>
          <w:i/>
          <w:iCs/>
          <w:kern w:val="0"/>
          <w:sz w:val="24"/>
          <w:szCs w:val="24"/>
          <w14:ligatures w14:val="none"/>
        </w:rPr>
        <w:t>Euphorbia hirta</w:t>
      </w:r>
      <w:r w:rsidRPr="004B44A7">
        <w:rPr>
          <w:rFonts w:ascii="Times New Roman" w:eastAsia="Times New Roman" w:hAnsi="Times New Roman" w:cs="Times New Roman"/>
          <w:kern w:val="0"/>
          <w:sz w:val="24"/>
          <w:szCs w:val="24"/>
          <w14:ligatures w14:val="none"/>
        </w:rPr>
        <w:t xml:space="preserve"> extract at 250 mg/kg and 125 mg/kg resulted in a dose-dependent reduction in these hepatic enzymes, indicating protection against liver damage. This reduction suggests that the extract preserves normal hepatic function and mitigates paracetamol-induced hepatocellular damage. The hepatoprotective effects observed in this study align with findings by Almasi et al. (2024), where methanolic leaf extract of </w:t>
      </w:r>
      <w:r w:rsidRPr="004B44A7">
        <w:rPr>
          <w:rFonts w:ascii="Times New Roman" w:eastAsia="Times New Roman" w:hAnsi="Times New Roman" w:cs="Times New Roman"/>
          <w:i/>
          <w:iCs/>
          <w:kern w:val="0"/>
          <w:sz w:val="24"/>
          <w:szCs w:val="24"/>
          <w14:ligatures w14:val="none"/>
        </w:rPr>
        <w:t>Jatropha tanjorensis</w:t>
      </w:r>
      <w:r w:rsidRPr="004B44A7">
        <w:rPr>
          <w:rFonts w:ascii="Times New Roman" w:eastAsia="Times New Roman" w:hAnsi="Times New Roman" w:cs="Times New Roman"/>
          <w:kern w:val="0"/>
          <w:sz w:val="24"/>
          <w:szCs w:val="24"/>
          <w14:ligatures w14:val="none"/>
        </w:rPr>
        <w:t xml:space="preserve"> at similar doses significantly reversed paracetamol-induced hepatocellular injury by reducing serum transaminase levels.</w:t>
      </w:r>
    </w:p>
    <w:p w14:paraId="76791708" w14:textId="77777777" w:rsidR="004B44A7" w:rsidRPr="004B44A7" w:rsidRDefault="004B44A7" w:rsidP="004B44A7">
      <w:pPr>
        <w:spacing w:before="100" w:beforeAutospacing="1" w:after="100" w:afterAutospacing="1" w:line="360" w:lineRule="auto"/>
        <w:jc w:val="both"/>
        <w:outlineLvl w:val="2"/>
        <w:rPr>
          <w:rFonts w:ascii="Times New Roman" w:eastAsia="Times New Roman" w:hAnsi="Times New Roman" w:cs="Times New Roman"/>
          <w:b/>
          <w:bCs/>
          <w:kern w:val="0"/>
          <w:sz w:val="24"/>
          <w:szCs w:val="24"/>
          <w14:ligatures w14:val="none"/>
        </w:rPr>
      </w:pPr>
      <w:r w:rsidRPr="004B44A7">
        <w:rPr>
          <w:rFonts w:ascii="Times New Roman" w:eastAsia="Times New Roman" w:hAnsi="Times New Roman" w:cs="Times New Roman"/>
          <w:b/>
          <w:bCs/>
          <w:kern w:val="0"/>
          <w:sz w:val="24"/>
          <w:szCs w:val="24"/>
          <w14:ligatures w14:val="none"/>
        </w:rPr>
        <w:t>Histopathological Analysis and Liver Tissue Preservation</w:t>
      </w:r>
    </w:p>
    <w:p w14:paraId="1E758A24" w14:textId="77777777" w:rsidR="004B44A7" w:rsidRPr="004B44A7" w:rsidRDefault="004B44A7" w:rsidP="004B44A7">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4B44A7">
        <w:rPr>
          <w:rFonts w:ascii="Times New Roman" w:eastAsia="Times New Roman" w:hAnsi="Times New Roman" w:cs="Times New Roman"/>
          <w:kern w:val="0"/>
          <w:sz w:val="24"/>
          <w:szCs w:val="24"/>
          <w14:ligatures w14:val="none"/>
        </w:rPr>
        <w:t xml:space="preserve">Histopathological examination is a gold standard for evaluating cellular and structural damage in hepatotoxicity models. In the paracetamol-only group, severe hepatic steatosis, intense centrilobular necrosis, vacuolization, and macrovesicular fatty changes were evident, consistent with previous reports on paracetamol-induced hepatotoxicity (Polyak et al., 2010). Conversely, normal hepatocyte morphology was observed in the control group, and rats pre-treated with </w:t>
      </w:r>
      <w:r w:rsidRPr="004B44A7">
        <w:rPr>
          <w:rFonts w:ascii="Times New Roman" w:eastAsia="Times New Roman" w:hAnsi="Times New Roman" w:cs="Times New Roman"/>
          <w:i/>
          <w:iCs/>
          <w:kern w:val="0"/>
          <w:sz w:val="24"/>
          <w:szCs w:val="24"/>
          <w14:ligatures w14:val="none"/>
        </w:rPr>
        <w:t>Euphorbia hirta</w:t>
      </w:r>
      <w:r w:rsidRPr="004B44A7">
        <w:rPr>
          <w:rFonts w:ascii="Times New Roman" w:eastAsia="Times New Roman" w:hAnsi="Times New Roman" w:cs="Times New Roman"/>
          <w:kern w:val="0"/>
          <w:sz w:val="24"/>
          <w:szCs w:val="24"/>
          <w14:ligatures w14:val="none"/>
        </w:rPr>
        <w:t xml:space="preserve"> at 250 mg/kg exhibited near-normal hepatic architecture.</w:t>
      </w:r>
    </w:p>
    <w:p w14:paraId="1E4140DA" w14:textId="77777777" w:rsidR="004B44A7" w:rsidRPr="004B44A7" w:rsidRDefault="004B44A7" w:rsidP="004B44A7">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4B44A7">
        <w:rPr>
          <w:rFonts w:ascii="Times New Roman" w:eastAsia="Times New Roman" w:hAnsi="Times New Roman" w:cs="Times New Roman"/>
          <w:kern w:val="0"/>
          <w:sz w:val="24"/>
          <w:szCs w:val="24"/>
          <w14:ligatures w14:val="none"/>
        </w:rPr>
        <w:t xml:space="preserve">Mild centrilobular necrosis was observed in the 125 mg/kg-treated group, indicating partial but significant hepatoprotection. Similar findings were reported by Oluwole et al. (2023) in a study evaluating the hepatoprotective effects of </w:t>
      </w:r>
      <w:r w:rsidRPr="004B44A7">
        <w:rPr>
          <w:rFonts w:ascii="Times New Roman" w:eastAsia="Times New Roman" w:hAnsi="Times New Roman" w:cs="Times New Roman"/>
          <w:i/>
          <w:iCs/>
          <w:kern w:val="0"/>
          <w:sz w:val="24"/>
          <w:szCs w:val="24"/>
          <w14:ligatures w14:val="none"/>
        </w:rPr>
        <w:t>Euphorbia neriifolia</w:t>
      </w:r>
      <w:r w:rsidRPr="004B44A7">
        <w:rPr>
          <w:rFonts w:ascii="Times New Roman" w:eastAsia="Times New Roman" w:hAnsi="Times New Roman" w:cs="Times New Roman"/>
          <w:kern w:val="0"/>
          <w:sz w:val="24"/>
          <w:szCs w:val="24"/>
          <w14:ligatures w14:val="none"/>
        </w:rPr>
        <w:t xml:space="preserve"> against paracetamol-induced hepatotoxicity. This suggests that the protective effects of </w:t>
      </w:r>
      <w:r w:rsidRPr="004B44A7">
        <w:rPr>
          <w:rFonts w:ascii="Times New Roman" w:eastAsia="Times New Roman" w:hAnsi="Times New Roman" w:cs="Times New Roman"/>
          <w:i/>
          <w:iCs/>
          <w:kern w:val="0"/>
          <w:sz w:val="24"/>
          <w:szCs w:val="24"/>
          <w14:ligatures w14:val="none"/>
        </w:rPr>
        <w:t>Euphorbia hirta</w:t>
      </w:r>
      <w:r w:rsidRPr="004B44A7">
        <w:rPr>
          <w:rFonts w:ascii="Times New Roman" w:eastAsia="Times New Roman" w:hAnsi="Times New Roman" w:cs="Times New Roman"/>
          <w:kern w:val="0"/>
          <w:sz w:val="24"/>
          <w:szCs w:val="24"/>
          <w14:ligatures w14:val="none"/>
        </w:rPr>
        <w:t xml:space="preserve"> may be linked to antioxidant-rich bioactive compounds, such as flavonoids and phenolic compounds, which scavenge reactive oxygen species (ROS) and mitigate oxidative stress.</w:t>
      </w:r>
    </w:p>
    <w:p w14:paraId="4861A065" w14:textId="77777777" w:rsidR="004B44A7" w:rsidRPr="004B44A7" w:rsidRDefault="004B44A7" w:rsidP="004B44A7">
      <w:pPr>
        <w:spacing w:before="100" w:beforeAutospacing="1" w:after="100" w:afterAutospacing="1" w:line="360" w:lineRule="auto"/>
        <w:jc w:val="both"/>
        <w:outlineLvl w:val="2"/>
        <w:rPr>
          <w:rFonts w:ascii="Times New Roman" w:eastAsia="Times New Roman" w:hAnsi="Times New Roman" w:cs="Times New Roman"/>
          <w:b/>
          <w:bCs/>
          <w:kern w:val="0"/>
          <w:sz w:val="24"/>
          <w:szCs w:val="24"/>
          <w14:ligatures w14:val="none"/>
        </w:rPr>
      </w:pPr>
      <w:r w:rsidRPr="004B44A7">
        <w:rPr>
          <w:rFonts w:ascii="Times New Roman" w:eastAsia="Times New Roman" w:hAnsi="Times New Roman" w:cs="Times New Roman"/>
          <w:b/>
          <w:bCs/>
          <w:kern w:val="0"/>
          <w:sz w:val="24"/>
          <w:szCs w:val="24"/>
          <w14:ligatures w14:val="none"/>
        </w:rPr>
        <w:t>Immunohistochemical Analysis and Pro-Apoptotic Regulation</w:t>
      </w:r>
    </w:p>
    <w:p w14:paraId="64531B2E" w14:textId="77777777" w:rsidR="004B44A7" w:rsidRPr="004B44A7" w:rsidRDefault="004B44A7" w:rsidP="004B44A7">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4B44A7">
        <w:rPr>
          <w:rFonts w:ascii="Times New Roman" w:eastAsia="Times New Roman" w:hAnsi="Times New Roman" w:cs="Times New Roman"/>
          <w:kern w:val="0"/>
          <w:sz w:val="24"/>
          <w:szCs w:val="24"/>
          <w14:ligatures w14:val="none"/>
        </w:rPr>
        <w:t xml:space="preserve">Immunohistochemical (IHC) analysis provides molecular insights into liver damage by detecting specific proteins involved in apoptosis and inflammation. Bax (Bcl-2-associated X protein), a pro-apoptotic protein, plays a crucial role in programmed cell death (Abdullah et al., 2017). The results from this study revealed that Bax expression was significantly elevated in the paracetamol-only group, confirming apoptotic hepatocellular damage. However, </w:t>
      </w:r>
      <w:r w:rsidRPr="004B44A7">
        <w:rPr>
          <w:rFonts w:ascii="Times New Roman" w:eastAsia="Times New Roman" w:hAnsi="Times New Roman" w:cs="Times New Roman"/>
          <w:i/>
          <w:iCs/>
          <w:kern w:val="0"/>
          <w:sz w:val="24"/>
          <w:szCs w:val="24"/>
          <w14:ligatures w14:val="none"/>
        </w:rPr>
        <w:t>Euphorbia hirta</w:t>
      </w:r>
      <w:r w:rsidRPr="004B44A7">
        <w:rPr>
          <w:rFonts w:ascii="Times New Roman" w:eastAsia="Times New Roman" w:hAnsi="Times New Roman" w:cs="Times New Roman"/>
          <w:kern w:val="0"/>
          <w:sz w:val="24"/>
          <w:szCs w:val="24"/>
          <w14:ligatures w14:val="none"/>
        </w:rPr>
        <w:t xml:space="preserve"> extract pre-treatment downregulated Bax expression, demonstrating its ability to counteract paracetamol-induced apoptosis.</w:t>
      </w:r>
    </w:p>
    <w:p w14:paraId="6346A167" w14:textId="77777777" w:rsidR="004B44A7" w:rsidRPr="004B44A7" w:rsidRDefault="004B44A7" w:rsidP="004B44A7">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4B44A7">
        <w:rPr>
          <w:rFonts w:ascii="Times New Roman" w:eastAsia="Times New Roman" w:hAnsi="Times New Roman" w:cs="Times New Roman"/>
          <w:kern w:val="0"/>
          <w:sz w:val="24"/>
          <w:szCs w:val="24"/>
          <w14:ligatures w14:val="none"/>
        </w:rPr>
        <w:t xml:space="preserve">ImageJ analysis further confirmed that paracetamol exposure led to increased Bax expression, while </w:t>
      </w:r>
      <w:r w:rsidRPr="004B44A7">
        <w:rPr>
          <w:rFonts w:ascii="Times New Roman" w:eastAsia="Times New Roman" w:hAnsi="Times New Roman" w:cs="Times New Roman"/>
          <w:i/>
          <w:iCs/>
          <w:kern w:val="0"/>
          <w:sz w:val="24"/>
          <w:szCs w:val="24"/>
          <w14:ligatures w14:val="none"/>
        </w:rPr>
        <w:t>Euphorbia hirta</w:t>
      </w:r>
      <w:r w:rsidRPr="004B44A7">
        <w:rPr>
          <w:rFonts w:ascii="Times New Roman" w:eastAsia="Times New Roman" w:hAnsi="Times New Roman" w:cs="Times New Roman"/>
          <w:kern w:val="0"/>
          <w:sz w:val="24"/>
          <w:szCs w:val="24"/>
          <w14:ligatures w14:val="none"/>
        </w:rPr>
        <w:t xml:space="preserve"> administration at 125 mg/kg and 250 mg/kg significantly reduced Bax levels. These findings align with the results of Abdullah et al. (2017), indicating that the hepatoprotective effects of </w:t>
      </w:r>
      <w:r w:rsidRPr="004B44A7">
        <w:rPr>
          <w:rFonts w:ascii="Times New Roman" w:eastAsia="Times New Roman" w:hAnsi="Times New Roman" w:cs="Times New Roman"/>
          <w:i/>
          <w:iCs/>
          <w:kern w:val="0"/>
          <w:sz w:val="24"/>
          <w:szCs w:val="24"/>
          <w14:ligatures w14:val="none"/>
        </w:rPr>
        <w:t>Euphorbia hirta</w:t>
      </w:r>
      <w:r w:rsidRPr="004B44A7">
        <w:rPr>
          <w:rFonts w:ascii="Times New Roman" w:eastAsia="Times New Roman" w:hAnsi="Times New Roman" w:cs="Times New Roman"/>
          <w:kern w:val="0"/>
          <w:sz w:val="24"/>
          <w:szCs w:val="24"/>
          <w14:ligatures w14:val="none"/>
        </w:rPr>
        <w:t xml:space="preserve"> are associated with its ability to modulate apoptotic pathways and oxidative stress markers.</w:t>
      </w:r>
    </w:p>
    <w:p w14:paraId="27AAE9A0" w14:textId="77777777" w:rsidR="004B44A7" w:rsidRPr="004B44A7" w:rsidRDefault="004B44A7" w:rsidP="004B44A7">
      <w:pPr>
        <w:spacing w:before="100" w:beforeAutospacing="1" w:after="100" w:afterAutospacing="1" w:line="360" w:lineRule="auto"/>
        <w:jc w:val="both"/>
        <w:outlineLvl w:val="2"/>
        <w:rPr>
          <w:rFonts w:ascii="Times New Roman" w:eastAsia="Times New Roman" w:hAnsi="Times New Roman" w:cs="Times New Roman"/>
          <w:b/>
          <w:bCs/>
          <w:kern w:val="0"/>
          <w:sz w:val="24"/>
          <w:szCs w:val="24"/>
          <w14:ligatures w14:val="none"/>
        </w:rPr>
      </w:pPr>
      <w:r w:rsidRPr="004B44A7">
        <w:rPr>
          <w:rFonts w:ascii="Times New Roman" w:eastAsia="Times New Roman" w:hAnsi="Times New Roman" w:cs="Times New Roman"/>
          <w:b/>
          <w:bCs/>
          <w:kern w:val="0"/>
          <w:sz w:val="24"/>
          <w:szCs w:val="24"/>
          <w14:ligatures w14:val="none"/>
        </w:rPr>
        <w:t xml:space="preserve">Therapeutic Potential of </w:t>
      </w:r>
      <w:r w:rsidRPr="004B44A7">
        <w:rPr>
          <w:rFonts w:ascii="Times New Roman" w:eastAsia="Times New Roman" w:hAnsi="Times New Roman" w:cs="Times New Roman"/>
          <w:b/>
          <w:bCs/>
          <w:i/>
          <w:iCs/>
          <w:kern w:val="0"/>
          <w:sz w:val="24"/>
          <w:szCs w:val="24"/>
          <w14:ligatures w14:val="none"/>
        </w:rPr>
        <w:t>Euphorbia hirta</w:t>
      </w:r>
      <w:r w:rsidRPr="004B44A7">
        <w:rPr>
          <w:rFonts w:ascii="Times New Roman" w:eastAsia="Times New Roman" w:hAnsi="Times New Roman" w:cs="Times New Roman"/>
          <w:b/>
          <w:bCs/>
          <w:kern w:val="0"/>
          <w:sz w:val="24"/>
          <w:szCs w:val="24"/>
          <w14:ligatures w14:val="none"/>
        </w:rPr>
        <w:t xml:space="preserve"> in Hepatoprotection</w:t>
      </w:r>
    </w:p>
    <w:p w14:paraId="62D1669B" w14:textId="77777777" w:rsidR="004B44A7" w:rsidRPr="004B44A7" w:rsidRDefault="004B44A7" w:rsidP="004B44A7">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4B44A7">
        <w:rPr>
          <w:rFonts w:ascii="Times New Roman" w:eastAsia="Times New Roman" w:hAnsi="Times New Roman" w:cs="Times New Roman"/>
          <w:kern w:val="0"/>
          <w:sz w:val="24"/>
          <w:szCs w:val="24"/>
          <w14:ligatures w14:val="none"/>
        </w:rPr>
        <w:t xml:space="preserve">The ability of hepatoprotective agents to resist the toxic effects of paracetamol is a crucial therapeutic strategy. The results of this study demonstrate that </w:t>
      </w:r>
      <w:r w:rsidRPr="004B44A7">
        <w:rPr>
          <w:rFonts w:ascii="Times New Roman" w:eastAsia="Times New Roman" w:hAnsi="Times New Roman" w:cs="Times New Roman"/>
          <w:i/>
          <w:iCs/>
          <w:kern w:val="0"/>
          <w:sz w:val="24"/>
          <w:szCs w:val="24"/>
          <w14:ligatures w14:val="none"/>
        </w:rPr>
        <w:t>Euphorbia hirta</w:t>
      </w:r>
      <w:r w:rsidRPr="004B44A7">
        <w:rPr>
          <w:rFonts w:ascii="Times New Roman" w:eastAsia="Times New Roman" w:hAnsi="Times New Roman" w:cs="Times New Roman"/>
          <w:kern w:val="0"/>
          <w:sz w:val="24"/>
          <w:szCs w:val="24"/>
          <w14:ligatures w14:val="none"/>
        </w:rPr>
        <w:t xml:space="preserve"> possesses strong hepatoprotective properties, particularly at 250 mg/kg, where significant reductions in liver enzyme markers and histopathological amelioration were observed. The presence of bioactive compounds, including flavonoids and phenolics, likely contributes to its protective effects by enhancing liver antioxidant defenses and regulating apoptotic pathways.</w:t>
      </w:r>
    </w:p>
    <w:p w14:paraId="165A2D17" w14:textId="77777777" w:rsidR="004B44A7" w:rsidRPr="004B44A7" w:rsidRDefault="004B44A7" w:rsidP="004B44A7">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4B44A7">
        <w:rPr>
          <w:rFonts w:ascii="Times New Roman" w:eastAsia="Times New Roman" w:hAnsi="Times New Roman" w:cs="Times New Roman"/>
          <w:kern w:val="0"/>
          <w:sz w:val="24"/>
          <w:szCs w:val="24"/>
          <w14:ligatures w14:val="none"/>
        </w:rPr>
        <w:t xml:space="preserve">These findings support the ethnomedicinal use of </w:t>
      </w:r>
      <w:r w:rsidRPr="004B44A7">
        <w:rPr>
          <w:rFonts w:ascii="Times New Roman" w:eastAsia="Times New Roman" w:hAnsi="Times New Roman" w:cs="Times New Roman"/>
          <w:i/>
          <w:iCs/>
          <w:kern w:val="0"/>
          <w:sz w:val="24"/>
          <w:szCs w:val="24"/>
          <w14:ligatures w14:val="none"/>
        </w:rPr>
        <w:t>Euphorbia hirta</w:t>
      </w:r>
      <w:r w:rsidRPr="004B44A7">
        <w:rPr>
          <w:rFonts w:ascii="Times New Roman" w:eastAsia="Times New Roman" w:hAnsi="Times New Roman" w:cs="Times New Roman"/>
          <w:kern w:val="0"/>
          <w:sz w:val="24"/>
          <w:szCs w:val="24"/>
          <w14:ligatures w14:val="none"/>
        </w:rPr>
        <w:t xml:space="preserve"> in West African traditional medicine for treating liver disorders. Based on pharmacological screening, </w:t>
      </w:r>
      <w:r w:rsidRPr="004B44A7">
        <w:rPr>
          <w:rFonts w:ascii="Times New Roman" w:eastAsia="Times New Roman" w:hAnsi="Times New Roman" w:cs="Times New Roman"/>
          <w:i/>
          <w:iCs/>
          <w:kern w:val="0"/>
          <w:sz w:val="24"/>
          <w:szCs w:val="24"/>
          <w14:ligatures w14:val="none"/>
        </w:rPr>
        <w:t>Euphorbia hirta</w:t>
      </w:r>
      <w:r w:rsidRPr="004B44A7">
        <w:rPr>
          <w:rFonts w:ascii="Times New Roman" w:eastAsia="Times New Roman" w:hAnsi="Times New Roman" w:cs="Times New Roman"/>
          <w:kern w:val="0"/>
          <w:sz w:val="24"/>
          <w:szCs w:val="24"/>
          <w14:ligatures w14:val="none"/>
        </w:rPr>
        <w:t xml:space="preserve"> shows promise in managing conditions such as cirrhosis, hepatitis, steatosis, and necrosis, making it a potential candidate for herbal hepatoprotective drug development.</w:t>
      </w:r>
    </w:p>
    <w:p w14:paraId="2FE21149" w14:textId="77777777" w:rsidR="004B44A7" w:rsidRPr="004B44A7" w:rsidRDefault="004B44A7" w:rsidP="004B44A7">
      <w:pPr>
        <w:spacing w:after="0" w:line="360" w:lineRule="auto"/>
        <w:jc w:val="both"/>
        <w:rPr>
          <w:rFonts w:ascii="Times New Roman" w:eastAsia="Times New Roman" w:hAnsi="Times New Roman" w:cs="Times New Roman"/>
          <w:kern w:val="0"/>
          <w:sz w:val="24"/>
          <w:szCs w:val="24"/>
          <w14:ligatures w14:val="none"/>
        </w:rPr>
      </w:pPr>
    </w:p>
    <w:p w14:paraId="257A3C1E" w14:textId="77777777" w:rsidR="004B44A7" w:rsidRPr="004B44A7" w:rsidRDefault="004B44A7" w:rsidP="004B44A7">
      <w:pPr>
        <w:spacing w:after="0" w:line="360" w:lineRule="auto"/>
        <w:jc w:val="both"/>
        <w:rPr>
          <w:rFonts w:ascii="Times New Roman" w:eastAsia="Times New Roman" w:hAnsi="Times New Roman" w:cs="Times New Roman"/>
          <w:kern w:val="0"/>
          <w:sz w:val="24"/>
          <w:szCs w:val="24"/>
          <w14:ligatures w14:val="none"/>
        </w:rPr>
      </w:pPr>
    </w:p>
    <w:p w14:paraId="0A51CEC0" w14:textId="0EBDE155" w:rsidR="004B44A7" w:rsidRPr="004B44A7" w:rsidRDefault="004B44A7" w:rsidP="004B44A7">
      <w:pPr>
        <w:spacing w:after="0" w:line="360" w:lineRule="auto"/>
        <w:jc w:val="both"/>
        <w:rPr>
          <w:rFonts w:ascii="Times New Roman" w:eastAsia="Times New Roman" w:hAnsi="Times New Roman" w:cs="Times New Roman"/>
          <w:b/>
          <w:bCs/>
          <w:kern w:val="0"/>
          <w:sz w:val="24"/>
          <w:szCs w:val="24"/>
          <w14:ligatures w14:val="none"/>
        </w:rPr>
      </w:pPr>
      <w:r w:rsidRPr="004B44A7">
        <w:rPr>
          <w:rFonts w:ascii="Times New Roman" w:eastAsia="Times New Roman" w:hAnsi="Times New Roman" w:cs="Times New Roman"/>
          <w:b/>
          <w:bCs/>
          <w:kern w:val="0"/>
          <w:sz w:val="24"/>
          <w:szCs w:val="24"/>
          <w14:ligatures w14:val="none"/>
        </w:rPr>
        <w:t>CONCLUSION</w:t>
      </w:r>
    </w:p>
    <w:p w14:paraId="7F7553F1" w14:textId="77777777" w:rsidR="004B44A7" w:rsidRPr="004B44A7" w:rsidRDefault="004B44A7" w:rsidP="004B44A7">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4B44A7">
        <w:rPr>
          <w:rFonts w:ascii="Times New Roman" w:eastAsia="Times New Roman" w:hAnsi="Times New Roman" w:cs="Times New Roman"/>
          <w:kern w:val="0"/>
          <w:sz w:val="24"/>
          <w:szCs w:val="24"/>
          <w14:ligatures w14:val="none"/>
        </w:rPr>
        <w:t xml:space="preserve">This study confirms that the aqueous extract of </w:t>
      </w:r>
      <w:r w:rsidRPr="004B44A7">
        <w:rPr>
          <w:rFonts w:ascii="Times New Roman" w:eastAsia="Times New Roman" w:hAnsi="Times New Roman" w:cs="Times New Roman"/>
          <w:i/>
          <w:iCs/>
          <w:kern w:val="0"/>
          <w:sz w:val="24"/>
          <w:szCs w:val="24"/>
          <w14:ligatures w14:val="none"/>
        </w:rPr>
        <w:t>Euphorbia hirta</w:t>
      </w:r>
      <w:r w:rsidRPr="004B44A7">
        <w:rPr>
          <w:rFonts w:ascii="Times New Roman" w:eastAsia="Times New Roman" w:hAnsi="Times New Roman" w:cs="Times New Roman"/>
          <w:kern w:val="0"/>
          <w:sz w:val="24"/>
          <w:szCs w:val="24"/>
          <w14:ligatures w14:val="none"/>
        </w:rPr>
        <w:t xml:space="preserve"> exhibits potent hepatoprotective activity by significantly reducing paracetamol-induced elevation in AST and ALT levels. Histopathological findings further support its ability to preserve liver architecture and mitigate hepatic necrosis.</w:t>
      </w:r>
    </w:p>
    <w:p w14:paraId="53224D98" w14:textId="77777777" w:rsidR="004B44A7" w:rsidRDefault="004B44A7" w:rsidP="004B44A7">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4B44A7">
        <w:rPr>
          <w:rFonts w:ascii="Times New Roman" w:eastAsia="Times New Roman" w:hAnsi="Times New Roman" w:cs="Times New Roman"/>
          <w:kern w:val="0"/>
          <w:sz w:val="24"/>
          <w:szCs w:val="24"/>
          <w14:ligatures w14:val="none"/>
        </w:rPr>
        <w:t>Additionally, immunohistochemical analysis revealed reduced Bax expression, highlighting the extract’s potential to regulate apoptosis and oxidative stress markers. The hepatoprotective effects observed at 125 mg/kg and 250 mg/kg demonstrate its dose-dependent efficacy in reversing paracetamol-induced hepatotoxicity.</w:t>
      </w:r>
    </w:p>
    <w:p w14:paraId="593CEEF5" w14:textId="77777777" w:rsidR="00183ADC" w:rsidRPr="004B44A7" w:rsidRDefault="00183ADC" w:rsidP="004B44A7">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p>
    <w:p w14:paraId="044330DF" w14:textId="77777777" w:rsidR="004B44A7" w:rsidRDefault="004B44A7" w:rsidP="004B44A7">
      <w:pPr>
        <w:spacing w:before="100" w:beforeAutospacing="1" w:after="100" w:afterAutospacing="1" w:line="360" w:lineRule="auto"/>
        <w:jc w:val="both"/>
        <w:outlineLvl w:val="2"/>
        <w:rPr>
          <w:rFonts w:ascii="Times New Roman" w:eastAsia="Times New Roman" w:hAnsi="Times New Roman" w:cs="Times New Roman"/>
          <w:b/>
          <w:bCs/>
          <w:kern w:val="0"/>
          <w:sz w:val="24"/>
          <w:szCs w:val="24"/>
          <w14:ligatures w14:val="none"/>
        </w:rPr>
      </w:pPr>
    </w:p>
    <w:p w14:paraId="6607A299" w14:textId="1F89CB26" w:rsidR="004B44A7" w:rsidRPr="004B44A7" w:rsidRDefault="004B44A7" w:rsidP="004B44A7">
      <w:pPr>
        <w:spacing w:before="100" w:beforeAutospacing="1" w:after="100" w:afterAutospacing="1" w:line="360" w:lineRule="auto"/>
        <w:jc w:val="both"/>
        <w:outlineLvl w:val="2"/>
        <w:rPr>
          <w:rFonts w:ascii="Times New Roman" w:eastAsia="Times New Roman" w:hAnsi="Times New Roman" w:cs="Times New Roman"/>
          <w:b/>
          <w:bCs/>
          <w:kern w:val="0"/>
          <w:sz w:val="24"/>
          <w:szCs w:val="24"/>
          <w14:ligatures w14:val="none"/>
        </w:rPr>
      </w:pPr>
      <w:r w:rsidRPr="004B44A7">
        <w:rPr>
          <w:rFonts w:ascii="Times New Roman" w:eastAsia="Times New Roman" w:hAnsi="Times New Roman" w:cs="Times New Roman"/>
          <w:b/>
          <w:bCs/>
          <w:kern w:val="0"/>
          <w:sz w:val="24"/>
          <w:szCs w:val="24"/>
          <w14:ligatures w14:val="none"/>
        </w:rPr>
        <w:t>RECOMMENDATIONS</w:t>
      </w:r>
    </w:p>
    <w:p w14:paraId="20850603" w14:textId="29EE442D" w:rsidR="004B44A7" w:rsidRPr="004B44A7" w:rsidRDefault="004B44A7" w:rsidP="004B44A7">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4B44A7">
        <w:rPr>
          <w:rFonts w:ascii="Times New Roman" w:eastAsia="Times New Roman" w:hAnsi="Times New Roman" w:cs="Times New Roman"/>
          <w:kern w:val="0"/>
          <w:sz w:val="24"/>
          <w:szCs w:val="24"/>
          <w14:ligatures w14:val="none"/>
        </w:rPr>
        <w:t xml:space="preserve">Phytochemical Characterization – Further studies should be conducted to isolate and characterize the active compounds responsible for hepatoprotection. Future clinical trials are necessary to evaluate the safety and efficacy of </w:t>
      </w:r>
      <w:r w:rsidRPr="004B44A7">
        <w:rPr>
          <w:rFonts w:ascii="Times New Roman" w:eastAsia="Times New Roman" w:hAnsi="Times New Roman" w:cs="Times New Roman"/>
          <w:i/>
          <w:iCs/>
          <w:kern w:val="0"/>
          <w:sz w:val="24"/>
          <w:szCs w:val="24"/>
          <w14:ligatures w14:val="none"/>
        </w:rPr>
        <w:t>Euphorbia hirta</w:t>
      </w:r>
      <w:r w:rsidRPr="004B44A7">
        <w:rPr>
          <w:rFonts w:ascii="Times New Roman" w:eastAsia="Times New Roman" w:hAnsi="Times New Roman" w:cs="Times New Roman"/>
          <w:kern w:val="0"/>
          <w:sz w:val="24"/>
          <w:szCs w:val="24"/>
          <w14:ligatures w14:val="none"/>
        </w:rPr>
        <w:t xml:space="preserve"> in human subjects with liver disordersThe development of a standardized herbal hepatoprotective drug using </w:t>
      </w:r>
      <w:r w:rsidRPr="004B44A7">
        <w:rPr>
          <w:rFonts w:ascii="Times New Roman" w:eastAsia="Times New Roman" w:hAnsi="Times New Roman" w:cs="Times New Roman"/>
          <w:i/>
          <w:iCs/>
          <w:kern w:val="0"/>
          <w:sz w:val="24"/>
          <w:szCs w:val="24"/>
          <w14:ligatures w14:val="none"/>
        </w:rPr>
        <w:t>Euphorbia hirta</w:t>
      </w:r>
      <w:r w:rsidRPr="004B44A7">
        <w:rPr>
          <w:rFonts w:ascii="Times New Roman" w:eastAsia="Times New Roman" w:hAnsi="Times New Roman" w:cs="Times New Roman"/>
          <w:kern w:val="0"/>
          <w:sz w:val="24"/>
          <w:szCs w:val="24"/>
          <w14:ligatures w14:val="none"/>
        </w:rPr>
        <w:t xml:space="preserve"> could offer a safer alternative to conventional hepatoprotective agents.</w:t>
      </w:r>
    </w:p>
    <w:p w14:paraId="7130BFDD" w14:textId="77777777" w:rsidR="00183ADC" w:rsidRPr="00C534AA" w:rsidRDefault="00183ADC" w:rsidP="00183ADC">
      <w:pPr>
        <w:spacing w:after="0" w:line="480" w:lineRule="auto"/>
        <w:jc w:val="both"/>
        <w:rPr>
          <w:rFonts w:ascii="Times New Roman" w:hAnsi="Times New Roman" w:cs="Times New Roman"/>
        </w:rPr>
      </w:pPr>
      <w:r w:rsidRPr="00C534AA">
        <w:rPr>
          <w:rFonts w:ascii="Times New Roman" w:hAnsi="Times New Roman" w:cs="Times New Roman"/>
          <w:b/>
          <w:bCs/>
        </w:rPr>
        <w:t>Acknowledgment</w:t>
      </w:r>
      <w:r w:rsidRPr="00C534AA">
        <w:rPr>
          <w:rFonts w:ascii="Times New Roman" w:hAnsi="Times New Roman" w:cs="Times New Roman"/>
        </w:rPr>
        <w:t>: The authors would like to express our sincere gratitude to Dr Oladipo Kolawole for generously allowing us to utilize certain laboratory software essential to the completion of our research project.</w:t>
      </w:r>
    </w:p>
    <w:p w14:paraId="763D7978" w14:textId="77777777" w:rsidR="00183ADC" w:rsidRPr="00C534AA" w:rsidRDefault="00183ADC" w:rsidP="00183ADC">
      <w:pPr>
        <w:pStyle w:val="NormalWeb"/>
        <w:spacing w:line="480" w:lineRule="auto"/>
      </w:pPr>
      <w:r w:rsidRPr="00C534AA">
        <w:rPr>
          <w:rStyle w:val="Strong"/>
        </w:rPr>
        <w:t>Data Availability Statement:</w:t>
      </w:r>
      <w:r w:rsidRPr="00C534AA">
        <w:br/>
        <w:t>The authors declare that all data utilized in the preparation of this manuscript are fully included within the main text and the supplementary data.</w:t>
      </w:r>
    </w:p>
    <w:p w14:paraId="2F69D7EC" w14:textId="77777777" w:rsidR="00183ADC" w:rsidRPr="00C534AA" w:rsidRDefault="00183ADC" w:rsidP="00183ADC">
      <w:pPr>
        <w:spacing w:before="100" w:beforeAutospacing="1" w:after="100" w:afterAutospacing="1" w:line="360" w:lineRule="auto"/>
        <w:jc w:val="both"/>
        <w:rPr>
          <w:rFonts w:ascii="Times New Roman" w:eastAsia="Times New Roman" w:hAnsi="Times New Roman" w:cs="Times New Roman"/>
          <w:kern w:val="0"/>
          <w14:ligatures w14:val="none"/>
        </w:rPr>
      </w:pPr>
      <w:r w:rsidRPr="00C534AA">
        <w:rPr>
          <w:rFonts w:ascii="Times New Roman" w:hAnsi="Times New Roman" w:cs="Times New Roman"/>
          <w:b/>
          <w:bCs/>
        </w:rPr>
        <w:t>Animal Ethics declaration</w:t>
      </w:r>
      <w:r w:rsidRPr="00C534AA">
        <w:rPr>
          <w:rFonts w:ascii="Times New Roman" w:hAnsi="Times New Roman" w:cs="Times New Roman"/>
        </w:rPr>
        <w:t>:</w:t>
      </w:r>
      <w:r w:rsidRPr="00C534AA">
        <w:rPr>
          <w:rFonts w:ascii="Times New Roman" w:eastAsia="Times New Roman" w:hAnsi="Times New Roman" w:cs="Times New Roman"/>
          <w:color w:val="0D0D0D"/>
        </w:rPr>
        <w:t xml:space="preserve"> </w:t>
      </w:r>
      <w:r w:rsidRPr="00C534AA">
        <w:rPr>
          <w:rFonts w:ascii="Times New Roman" w:hAnsi="Times New Roman" w:cs="Times New Roman"/>
          <w:color w:val="0D0D0D"/>
        </w:rPr>
        <w:t xml:space="preserve">All animal procedures in this study were performed according to the guidelines of the research and ethics committee, Ladoke Akintola University of Technology (LAUTECH) for the use of laboratory animals. </w:t>
      </w:r>
      <w:r w:rsidRPr="00C534AA">
        <w:rPr>
          <w:rFonts w:ascii="Times New Roman" w:eastAsia="Times New Roman" w:hAnsi="Times New Roman" w:cs="Times New Roman"/>
          <w:kern w:val="0"/>
          <w14:ligatures w14:val="none"/>
        </w:rPr>
        <w:t>The study received ethical approval from the Faculty of Basic Medical Sciences ethics committee at LAUTECH (Approval No. FBMSERN/2023_BCH_458).</w:t>
      </w:r>
    </w:p>
    <w:p w14:paraId="0A8D3ECC" w14:textId="77777777" w:rsidR="00183ADC" w:rsidRPr="00C534AA" w:rsidRDefault="00183ADC" w:rsidP="00183ADC">
      <w:pPr>
        <w:spacing w:line="480" w:lineRule="auto"/>
        <w:jc w:val="both"/>
        <w:rPr>
          <w:rFonts w:ascii="Times New Roman" w:hAnsi="Times New Roman" w:cs="Times New Roman"/>
          <w:color w:val="0D0D0D"/>
        </w:rPr>
      </w:pPr>
      <w:r w:rsidRPr="00C534AA">
        <w:rPr>
          <w:rFonts w:ascii="Times New Roman" w:hAnsi="Times New Roman" w:cs="Times New Roman"/>
          <w:b/>
          <w:bCs/>
          <w:color w:val="222222"/>
          <w:shd w:val="clear" w:color="auto" w:fill="FFFFFF"/>
        </w:rPr>
        <w:t>Clinical trial number:</w:t>
      </w:r>
      <w:r w:rsidRPr="00C534AA">
        <w:rPr>
          <w:rFonts w:ascii="Times New Roman" w:hAnsi="Times New Roman" w:cs="Times New Roman"/>
          <w:color w:val="222222"/>
          <w:shd w:val="clear" w:color="auto" w:fill="FFFFFF"/>
        </w:rPr>
        <w:t xml:space="preserve"> Not applicable</w:t>
      </w:r>
    </w:p>
    <w:p w14:paraId="67AEC537" w14:textId="77777777" w:rsidR="00183ADC" w:rsidRPr="00C534AA" w:rsidRDefault="00183ADC" w:rsidP="00183ADC">
      <w:pPr>
        <w:spacing w:after="0" w:line="480" w:lineRule="auto"/>
        <w:jc w:val="both"/>
        <w:rPr>
          <w:rFonts w:ascii="Times New Roman" w:hAnsi="Times New Roman" w:cs="Times New Roman"/>
        </w:rPr>
      </w:pPr>
      <w:r w:rsidRPr="00C534AA">
        <w:rPr>
          <w:rFonts w:ascii="Times New Roman" w:hAnsi="Times New Roman" w:cs="Times New Roman"/>
          <w:b/>
          <w:bCs/>
        </w:rPr>
        <w:t>Consent to participate</w:t>
      </w:r>
      <w:r w:rsidRPr="00C534AA">
        <w:rPr>
          <w:rFonts w:ascii="Times New Roman" w:hAnsi="Times New Roman" w:cs="Times New Roman"/>
        </w:rPr>
        <w:t xml:space="preserve">: </w:t>
      </w:r>
      <w:r w:rsidRPr="00C534AA">
        <w:rPr>
          <w:rFonts w:ascii="Times New Roman" w:hAnsi="Times New Roman" w:cs="Times New Roman"/>
          <w:color w:val="222222"/>
          <w:shd w:val="clear" w:color="auto" w:fill="FFFFFF"/>
        </w:rPr>
        <w:t>Not applicable</w:t>
      </w:r>
    </w:p>
    <w:p w14:paraId="36D0B628" w14:textId="77777777" w:rsidR="00183ADC" w:rsidRPr="00C534AA" w:rsidRDefault="00183ADC" w:rsidP="00183ADC">
      <w:pPr>
        <w:spacing w:after="0" w:line="480" w:lineRule="auto"/>
        <w:jc w:val="both"/>
        <w:rPr>
          <w:rFonts w:ascii="Times New Roman" w:hAnsi="Times New Roman" w:cs="Times New Roman"/>
          <w:b/>
          <w:bCs/>
        </w:rPr>
      </w:pPr>
      <w:r w:rsidRPr="00C534AA">
        <w:rPr>
          <w:rFonts w:ascii="Times New Roman" w:hAnsi="Times New Roman" w:cs="Times New Roman"/>
          <w:b/>
          <w:bCs/>
        </w:rPr>
        <w:t>Consent to publish:</w:t>
      </w:r>
      <w:r w:rsidRPr="00C534AA">
        <w:rPr>
          <w:rFonts w:ascii="Times New Roman" w:hAnsi="Times New Roman" w:cs="Times New Roman"/>
        </w:rPr>
        <w:t xml:space="preserve"> The authors authorize the Journal to publish the work.</w:t>
      </w:r>
    </w:p>
    <w:p w14:paraId="7FE8FAF0" w14:textId="77777777" w:rsidR="00183ADC" w:rsidRPr="00C534AA" w:rsidRDefault="00183ADC" w:rsidP="00183ADC">
      <w:pPr>
        <w:spacing w:after="0" w:line="480" w:lineRule="auto"/>
        <w:jc w:val="both"/>
        <w:rPr>
          <w:rFonts w:ascii="Times New Roman" w:hAnsi="Times New Roman" w:cs="Times New Roman"/>
          <w:color w:val="222222"/>
          <w:shd w:val="clear" w:color="auto" w:fill="FFFFFF"/>
        </w:rPr>
      </w:pPr>
      <w:r w:rsidRPr="00C534AA">
        <w:rPr>
          <w:rFonts w:ascii="Times New Roman" w:hAnsi="Times New Roman" w:cs="Times New Roman"/>
          <w:b/>
          <w:bCs/>
          <w:color w:val="222222"/>
          <w:shd w:val="clear" w:color="auto" w:fill="FFFFFF"/>
        </w:rPr>
        <w:t xml:space="preserve">Authors Contribution: </w:t>
      </w:r>
      <w:r w:rsidRPr="00C534AA">
        <w:rPr>
          <w:rFonts w:ascii="Times New Roman" w:hAnsi="Times New Roman" w:cs="Times New Roman"/>
          <w:color w:val="222222"/>
          <w:shd w:val="clear" w:color="auto" w:fill="FFFFFF"/>
        </w:rPr>
        <w:t>TEA</w:t>
      </w:r>
      <w:r w:rsidRPr="00C534AA">
        <w:rPr>
          <w:rFonts w:ascii="Times New Roman" w:hAnsi="Times New Roman" w:cs="Times New Roman"/>
          <w:b/>
          <w:bCs/>
          <w:color w:val="222222"/>
          <w:shd w:val="clear" w:color="auto" w:fill="FFFFFF"/>
        </w:rPr>
        <w:t xml:space="preserve">: </w:t>
      </w:r>
      <w:r w:rsidRPr="00C534AA">
        <w:rPr>
          <w:rFonts w:ascii="Times New Roman" w:hAnsi="Times New Roman" w:cs="Times New Roman"/>
          <w:color w:val="222222"/>
          <w:shd w:val="clear" w:color="auto" w:fill="FFFFFF"/>
        </w:rPr>
        <w:t>Methodology, result analysis, formatting, literature review; research administration, writing the first draft AA</w:t>
      </w:r>
      <w:r w:rsidRPr="00C534AA">
        <w:rPr>
          <w:rFonts w:ascii="Times New Roman" w:hAnsi="Times New Roman" w:cs="Times New Roman"/>
          <w:b/>
          <w:bCs/>
          <w:color w:val="222222"/>
          <w:shd w:val="clear" w:color="auto" w:fill="FFFFFF"/>
        </w:rPr>
        <w:t xml:space="preserve">: </w:t>
      </w:r>
      <w:r w:rsidRPr="00C534AA">
        <w:rPr>
          <w:rFonts w:ascii="Times New Roman" w:hAnsi="Times New Roman" w:cs="Times New Roman"/>
          <w:color w:val="222222"/>
          <w:shd w:val="clear" w:color="auto" w:fill="FFFFFF"/>
        </w:rPr>
        <w:t xml:space="preserve">conceptualization, supervision, methodology, validation, writing, and editing; ABA: result analysis, formatting, literature review; research administration: TDO: </w:t>
      </w:r>
      <w:bookmarkStart w:id="2" w:name="_Hlk185943382"/>
      <w:r w:rsidRPr="00C534AA">
        <w:rPr>
          <w:rFonts w:ascii="Times New Roman" w:hAnsi="Times New Roman" w:cs="Times New Roman"/>
          <w:color w:val="222222"/>
          <w:shd w:val="clear" w:color="auto" w:fill="FFFFFF"/>
        </w:rPr>
        <w:t>Supervision, formatting; literature review; methodology and validation. GEA:</w:t>
      </w:r>
      <w:r w:rsidRPr="00C534AA">
        <w:rPr>
          <w:rFonts w:ascii="Times New Roman" w:hAnsi="Times New Roman" w:cs="Times New Roman"/>
        </w:rPr>
        <w:t xml:space="preserve"> </w:t>
      </w:r>
      <w:r w:rsidRPr="00C534AA">
        <w:rPr>
          <w:rFonts w:ascii="Times New Roman" w:hAnsi="Times New Roman" w:cs="Times New Roman"/>
          <w:color w:val="222222"/>
          <w:shd w:val="clear" w:color="auto" w:fill="FFFFFF"/>
        </w:rPr>
        <w:t>Supervision, formatting; literature review; and validation.</w:t>
      </w:r>
    </w:p>
    <w:bookmarkEnd w:id="2"/>
    <w:p w14:paraId="27EFC44C" w14:textId="77777777" w:rsidR="00183ADC" w:rsidRPr="00C534AA" w:rsidRDefault="00183ADC" w:rsidP="00183ADC">
      <w:pPr>
        <w:spacing w:after="0" w:line="480" w:lineRule="auto"/>
        <w:jc w:val="both"/>
        <w:rPr>
          <w:rFonts w:ascii="Times New Roman" w:hAnsi="Times New Roman" w:cs="Times New Roman"/>
          <w:color w:val="222222"/>
          <w:shd w:val="clear" w:color="auto" w:fill="FFFFFF"/>
        </w:rPr>
      </w:pPr>
      <w:r w:rsidRPr="00C534AA">
        <w:rPr>
          <w:rFonts w:ascii="Times New Roman" w:hAnsi="Times New Roman" w:cs="Times New Roman"/>
          <w:b/>
          <w:bCs/>
          <w:color w:val="222222"/>
          <w:shd w:val="clear" w:color="auto" w:fill="FFFFFF"/>
        </w:rPr>
        <w:t xml:space="preserve">Funding: </w:t>
      </w:r>
      <w:r w:rsidRPr="00C534AA">
        <w:rPr>
          <w:rFonts w:ascii="Times New Roman" w:hAnsi="Times New Roman" w:cs="Times New Roman"/>
          <w:color w:val="222222"/>
          <w:shd w:val="clear" w:color="auto" w:fill="FFFFFF"/>
        </w:rPr>
        <w:t>No funding was provided by any funding agent for this study</w:t>
      </w:r>
    </w:p>
    <w:p w14:paraId="2ECCCEB4" w14:textId="4AF61B95" w:rsidR="004B44A7" w:rsidRDefault="00183ADC" w:rsidP="00183ADC">
      <w:pPr>
        <w:spacing w:after="0" w:line="480" w:lineRule="auto"/>
        <w:jc w:val="both"/>
        <w:rPr>
          <w:rFonts w:ascii="Times New Roman" w:hAnsi="Times New Roman" w:cs="Times New Roman"/>
          <w:color w:val="222222"/>
          <w:shd w:val="clear" w:color="auto" w:fill="FFFFFF"/>
        </w:rPr>
      </w:pPr>
      <w:r w:rsidRPr="00C534AA">
        <w:rPr>
          <w:rFonts w:ascii="Times New Roman" w:hAnsi="Times New Roman" w:cs="Times New Roman"/>
          <w:b/>
          <w:bCs/>
          <w:color w:val="222222"/>
          <w:shd w:val="clear" w:color="auto" w:fill="FFFFFF"/>
        </w:rPr>
        <w:t>Competing Interest:</w:t>
      </w:r>
      <w:r w:rsidRPr="00C534AA">
        <w:rPr>
          <w:rFonts w:ascii="Times New Roman" w:hAnsi="Times New Roman" w:cs="Times New Roman"/>
          <w:color w:val="222222"/>
          <w:shd w:val="clear" w:color="auto" w:fill="FFFFFF"/>
        </w:rPr>
        <w:t xml:space="preserve"> The authors have no financial, personal, or professional conflicts that could influence the work's integrity, ensuring transparency and credibility in the research process.</w:t>
      </w:r>
    </w:p>
    <w:p w14:paraId="5E8D128C" w14:textId="650D6285" w:rsidR="00600BE9" w:rsidRDefault="00600BE9" w:rsidP="00183ADC">
      <w:pPr>
        <w:spacing w:after="0" w:line="480" w:lineRule="auto"/>
        <w:jc w:val="both"/>
        <w:rPr>
          <w:rFonts w:ascii="Times New Roman" w:hAnsi="Times New Roman" w:cs="Times New Roman"/>
          <w:color w:val="222222"/>
          <w:shd w:val="clear" w:color="auto" w:fill="FFFFFF"/>
        </w:rPr>
      </w:pPr>
    </w:p>
    <w:p w14:paraId="4D89641A" w14:textId="2AD226D8" w:rsidR="00600BE9" w:rsidRDefault="00600BE9" w:rsidP="00183ADC">
      <w:pPr>
        <w:spacing w:after="0" w:line="480" w:lineRule="auto"/>
        <w:jc w:val="both"/>
        <w:rPr>
          <w:rFonts w:ascii="Times New Roman" w:hAnsi="Times New Roman" w:cs="Times New Roman"/>
          <w:color w:val="222222"/>
          <w:shd w:val="clear" w:color="auto" w:fill="FFFFFF"/>
        </w:rPr>
      </w:pPr>
    </w:p>
    <w:p w14:paraId="4B438BA7" w14:textId="77777777" w:rsidR="00600BE9" w:rsidRPr="0002489D" w:rsidRDefault="00600BE9" w:rsidP="00600BE9">
      <w:pPr>
        <w:rPr>
          <w:rFonts w:ascii="Calibri" w:eastAsia="Calibri" w:hAnsi="Calibri" w:cs="Times New Roman"/>
          <w:highlight w:val="yellow"/>
        </w:rPr>
      </w:pPr>
      <w:r w:rsidRPr="0002489D">
        <w:rPr>
          <w:rFonts w:ascii="Calibri" w:eastAsia="Calibri" w:hAnsi="Calibri" w:cs="Times New Roman"/>
          <w:highlight w:val="yellow"/>
        </w:rPr>
        <w:t>Disclaimer (Artificial intelligence)</w:t>
      </w:r>
    </w:p>
    <w:p w14:paraId="795168F2" w14:textId="77777777" w:rsidR="00600BE9" w:rsidRPr="0002489D" w:rsidRDefault="00600BE9" w:rsidP="00600BE9">
      <w:pPr>
        <w:rPr>
          <w:rFonts w:ascii="Calibri" w:eastAsia="Calibri" w:hAnsi="Calibri" w:cs="Times New Roman"/>
          <w:highlight w:val="yellow"/>
        </w:rPr>
      </w:pPr>
      <w:r w:rsidRPr="0002489D">
        <w:rPr>
          <w:rFonts w:ascii="Calibri" w:eastAsia="Calibri" w:hAnsi="Calibri" w:cs="Times New Roman"/>
          <w:highlight w:val="yellow"/>
        </w:rPr>
        <w:t xml:space="preserve">Option 1: </w:t>
      </w:r>
    </w:p>
    <w:p w14:paraId="4333FF9A" w14:textId="77777777" w:rsidR="00600BE9" w:rsidRPr="0002489D" w:rsidRDefault="00600BE9" w:rsidP="00600BE9">
      <w:pPr>
        <w:rPr>
          <w:rFonts w:ascii="Calibri" w:eastAsia="Calibri" w:hAnsi="Calibri" w:cs="Times New Roman"/>
          <w:highlight w:val="yellow"/>
        </w:rPr>
      </w:pPr>
      <w:r w:rsidRPr="0002489D">
        <w:rPr>
          <w:rFonts w:ascii="Calibri" w:eastAsia="Calibri" w:hAnsi="Calibri" w:cs="Times New Roman"/>
          <w:highlight w:val="yellow"/>
        </w:rPr>
        <w:t xml:space="preserve">Author(s) hereby declare that NO generative AI technologies such as Large Language Models (ChatGPT, COPILOT, etc.) and text-to-image generators have been used during the writing or editing of this manuscript. </w:t>
      </w:r>
    </w:p>
    <w:p w14:paraId="3CE1A22B" w14:textId="77777777" w:rsidR="00600BE9" w:rsidRPr="0002489D" w:rsidRDefault="00600BE9" w:rsidP="00600BE9">
      <w:pPr>
        <w:rPr>
          <w:rFonts w:ascii="Calibri" w:eastAsia="Calibri" w:hAnsi="Calibri" w:cs="Times New Roman"/>
          <w:highlight w:val="yellow"/>
        </w:rPr>
      </w:pPr>
      <w:r w:rsidRPr="0002489D">
        <w:rPr>
          <w:rFonts w:ascii="Calibri" w:eastAsia="Calibri" w:hAnsi="Calibri" w:cs="Times New Roman"/>
          <w:highlight w:val="yellow"/>
        </w:rPr>
        <w:t xml:space="preserve">Option 2: </w:t>
      </w:r>
    </w:p>
    <w:p w14:paraId="371722B0" w14:textId="77777777" w:rsidR="00600BE9" w:rsidRPr="0002489D" w:rsidRDefault="00600BE9" w:rsidP="00600BE9">
      <w:pPr>
        <w:rPr>
          <w:rFonts w:ascii="Calibri" w:eastAsia="Calibri" w:hAnsi="Calibri" w:cs="Times New Roman"/>
          <w:highlight w:val="yellow"/>
        </w:rPr>
      </w:pPr>
      <w:r w:rsidRPr="0002489D">
        <w:rPr>
          <w:rFonts w:ascii="Calibri" w:eastAsia="Calibri" w:hAnsi="Calibri" w:cs="Times New Roman"/>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D9A9654" w14:textId="77777777" w:rsidR="00600BE9" w:rsidRPr="0002489D" w:rsidRDefault="00600BE9" w:rsidP="00600BE9">
      <w:pPr>
        <w:rPr>
          <w:rFonts w:ascii="Calibri" w:eastAsia="Calibri" w:hAnsi="Calibri" w:cs="Times New Roman"/>
          <w:highlight w:val="yellow"/>
        </w:rPr>
      </w:pPr>
      <w:r w:rsidRPr="0002489D">
        <w:rPr>
          <w:rFonts w:ascii="Calibri" w:eastAsia="Calibri" w:hAnsi="Calibri" w:cs="Times New Roman"/>
          <w:highlight w:val="yellow"/>
        </w:rPr>
        <w:t>Details of the AI usage are given below:</w:t>
      </w:r>
    </w:p>
    <w:p w14:paraId="7E85C690" w14:textId="77777777" w:rsidR="00600BE9" w:rsidRPr="0002489D" w:rsidRDefault="00600BE9" w:rsidP="00600BE9">
      <w:pPr>
        <w:rPr>
          <w:rFonts w:ascii="Calibri" w:eastAsia="Calibri" w:hAnsi="Calibri" w:cs="Times New Roman"/>
          <w:highlight w:val="yellow"/>
        </w:rPr>
      </w:pPr>
      <w:r w:rsidRPr="0002489D">
        <w:rPr>
          <w:rFonts w:ascii="Calibri" w:eastAsia="Calibri" w:hAnsi="Calibri" w:cs="Times New Roman"/>
          <w:highlight w:val="yellow"/>
        </w:rPr>
        <w:t>1.</w:t>
      </w:r>
    </w:p>
    <w:p w14:paraId="6D1F8F66" w14:textId="77777777" w:rsidR="00600BE9" w:rsidRPr="0002489D" w:rsidRDefault="00600BE9" w:rsidP="00600BE9">
      <w:pPr>
        <w:rPr>
          <w:rFonts w:ascii="Calibri" w:eastAsia="Calibri" w:hAnsi="Calibri" w:cs="Times New Roman"/>
          <w:highlight w:val="yellow"/>
        </w:rPr>
      </w:pPr>
      <w:r w:rsidRPr="0002489D">
        <w:rPr>
          <w:rFonts w:ascii="Calibri" w:eastAsia="Calibri" w:hAnsi="Calibri" w:cs="Times New Roman"/>
          <w:highlight w:val="yellow"/>
        </w:rPr>
        <w:t>2.</w:t>
      </w:r>
    </w:p>
    <w:p w14:paraId="6ECD3D74" w14:textId="77777777" w:rsidR="00600BE9" w:rsidRPr="0002489D" w:rsidRDefault="00600BE9" w:rsidP="00600BE9">
      <w:pPr>
        <w:rPr>
          <w:rFonts w:ascii="Calibri" w:eastAsia="Calibri" w:hAnsi="Calibri" w:cs="Times New Roman"/>
        </w:rPr>
      </w:pPr>
      <w:r w:rsidRPr="0002489D">
        <w:rPr>
          <w:rFonts w:ascii="Calibri" w:eastAsia="Calibri" w:hAnsi="Calibri" w:cs="Times New Roman"/>
          <w:highlight w:val="yellow"/>
        </w:rPr>
        <w:t>3.</w:t>
      </w:r>
    </w:p>
    <w:p w14:paraId="5B28E770" w14:textId="77777777" w:rsidR="00600BE9" w:rsidRPr="00183ADC" w:rsidRDefault="00600BE9" w:rsidP="00183ADC">
      <w:pPr>
        <w:spacing w:after="0" w:line="480" w:lineRule="auto"/>
        <w:jc w:val="both"/>
        <w:rPr>
          <w:rFonts w:ascii="Times New Roman" w:hAnsi="Times New Roman" w:cs="Times New Roman"/>
          <w:color w:val="222222"/>
          <w:shd w:val="clear" w:color="auto" w:fill="FFFFFF"/>
        </w:rPr>
      </w:pPr>
    </w:p>
    <w:p w14:paraId="06D44D55" w14:textId="77777777" w:rsidR="004B44A7" w:rsidRDefault="004B44A7" w:rsidP="00AF5592">
      <w:pPr>
        <w:spacing w:after="0" w:line="360" w:lineRule="auto"/>
        <w:jc w:val="both"/>
        <w:rPr>
          <w:rFonts w:ascii="Times New Roman" w:eastAsia="Times New Roman" w:hAnsi="Times New Roman" w:cs="Times New Roman"/>
          <w:b/>
          <w:sz w:val="24"/>
          <w:szCs w:val="24"/>
        </w:rPr>
      </w:pPr>
    </w:p>
    <w:p w14:paraId="11FB2F23" w14:textId="2E9F66A8" w:rsidR="004B44A7" w:rsidRPr="004B44A7" w:rsidRDefault="00D14551" w:rsidP="004B44A7">
      <w:pPr>
        <w:spacing w:after="0" w:line="360" w:lineRule="auto"/>
        <w:jc w:val="both"/>
        <w:rPr>
          <w:rFonts w:ascii="Times New Roman" w:eastAsia="Times New Roman" w:hAnsi="Times New Roman" w:cs="Times New Roman"/>
          <w:b/>
          <w:bCs/>
          <w:kern w:val="0"/>
          <w:sz w:val="27"/>
          <w:szCs w:val="27"/>
          <w14:ligatures w14:val="none"/>
        </w:rPr>
      </w:pPr>
      <w:r w:rsidRPr="005954ED">
        <w:rPr>
          <w:rFonts w:ascii="Times New Roman" w:eastAsia="Times New Roman" w:hAnsi="Times New Roman" w:cs="Times New Roman"/>
          <w:b/>
          <w:sz w:val="24"/>
          <w:szCs w:val="24"/>
        </w:rPr>
        <w:t>Reference</w:t>
      </w:r>
      <w:r w:rsidR="004B44A7">
        <w:rPr>
          <w:rFonts w:ascii="Times New Roman" w:eastAsia="Times New Roman" w:hAnsi="Times New Roman" w:cs="Times New Roman"/>
          <w:b/>
          <w:sz w:val="24"/>
          <w:szCs w:val="24"/>
        </w:rPr>
        <w:t>s</w:t>
      </w:r>
    </w:p>
    <w:p w14:paraId="4DEAECF3" w14:textId="77777777" w:rsidR="004B44A7" w:rsidRPr="004B44A7" w:rsidRDefault="004B44A7" w:rsidP="004B44A7">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4B44A7">
        <w:rPr>
          <w:rFonts w:ascii="Times New Roman" w:eastAsia="Times New Roman" w:hAnsi="Times New Roman" w:cs="Times New Roman"/>
          <w:kern w:val="0"/>
          <w:sz w:val="24"/>
          <w:szCs w:val="24"/>
          <w14:ligatures w14:val="none"/>
        </w:rPr>
        <w:t xml:space="preserve">Abdullah, A., Phern, T. C., Rahim, N. F. H. M., Zaharuddin, N. I., Salihin, N. M., &amp; Yusof, A. H. (2017). The effects of </w:t>
      </w:r>
      <w:r w:rsidRPr="004B44A7">
        <w:rPr>
          <w:rFonts w:ascii="Times New Roman" w:eastAsia="Times New Roman" w:hAnsi="Times New Roman" w:cs="Times New Roman"/>
          <w:i/>
          <w:iCs/>
          <w:kern w:val="0"/>
          <w:sz w:val="24"/>
          <w:szCs w:val="24"/>
          <w14:ligatures w14:val="none"/>
        </w:rPr>
        <w:t>Cosmos caudatus</w:t>
      </w:r>
      <w:r w:rsidRPr="004B44A7">
        <w:rPr>
          <w:rFonts w:ascii="Times New Roman" w:eastAsia="Times New Roman" w:hAnsi="Times New Roman" w:cs="Times New Roman"/>
          <w:kern w:val="0"/>
          <w:sz w:val="24"/>
          <w:szCs w:val="24"/>
          <w14:ligatures w14:val="none"/>
        </w:rPr>
        <w:t xml:space="preserve"> (</w:t>
      </w:r>
      <w:r w:rsidRPr="004B44A7">
        <w:rPr>
          <w:rFonts w:ascii="Times New Roman" w:eastAsia="Times New Roman" w:hAnsi="Times New Roman" w:cs="Times New Roman"/>
          <w:i/>
          <w:iCs/>
          <w:kern w:val="0"/>
          <w:sz w:val="24"/>
          <w:szCs w:val="24"/>
          <w14:ligatures w14:val="none"/>
        </w:rPr>
        <w:t>Ulam Raja</w:t>
      </w:r>
      <w:r w:rsidRPr="004B44A7">
        <w:rPr>
          <w:rFonts w:ascii="Times New Roman" w:eastAsia="Times New Roman" w:hAnsi="Times New Roman" w:cs="Times New Roman"/>
          <w:kern w:val="0"/>
          <w:sz w:val="24"/>
          <w:szCs w:val="24"/>
          <w14:ligatures w14:val="none"/>
        </w:rPr>
        <w:t xml:space="preserve">) on the levels of expression of BAX target genes in mice liver. </w:t>
      </w:r>
      <w:r w:rsidRPr="004B44A7">
        <w:rPr>
          <w:rFonts w:ascii="Times New Roman" w:eastAsia="Times New Roman" w:hAnsi="Times New Roman" w:cs="Times New Roman"/>
          <w:i/>
          <w:iCs/>
          <w:kern w:val="0"/>
          <w:sz w:val="24"/>
          <w:szCs w:val="24"/>
          <w14:ligatures w14:val="none"/>
        </w:rPr>
        <w:t>Journal of Pharmacy and Nutrition Sciences, 7</w:t>
      </w:r>
      <w:r w:rsidRPr="004B44A7">
        <w:rPr>
          <w:rFonts w:ascii="Times New Roman" w:eastAsia="Times New Roman" w:hAnsi="Times New Roman" w:cs="Times New Roman"/>
          <w:kern w:val="0"/>
          <w:sz w:val="24"/>
          <w:szCs w:val="24"/>
          <w14:ligatures w14:val="none"/>
        </w:rPr>
        <w:t>(4), 147–157.</w:t>
      </w:r>
    </w:p>
    <w:p w14:paraId="48910C1B" w14:textId="77777777" w:rsidR="004B44A7" w:rsidRDefault="004B44A7" w:rsidP="004B44A7">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4B44A7">
        <w:rPr>
          <w:rFonts w:ascii="Times New Roman" w:eastAsia="Times New Roman" w:hAnsi="Times New Roman" w:cs="Times New Roman"/>
          <w:kern w:val="0"/>
          <w:sz w:val="24"/>
          <w:szCs w:val="24"/>
          <w14:ligatures w14:val="none"/>
        </w:rPr>
        <w:t xml:space="preserve">Almasi, F., Khazaei, M., Chehrei, S., &amp; Ghanbari, A. (2024). Hepatoprotective effects of </w:t>
      </w:r>
      <w:r w:rsidRPr="004B44A7">
        <w:rPr>
          <w:rFonts w:ascii="Times New Roman" w:eastAsia="Times New Roman" w:hAnsi="Times New Roman" w:cs="Times New Roman"/>
          <w:i/>
          <w:iCs/>
          <w:kern w:val="0"/>
          <w:sz w:val="24"/>
          <w:szCs w:val="24"/>
          <w14:ligatures w14:val="none"/>
        </w:rPr>
        <w:t>Tribulus terrestris</w:t>
      </w:r>
      <w:r w:rsidRPr="004B44A7">
        <w:rPr>
          <w:rFonts w:ascii="Times New Roman" w:eastAsia="Times New Roman" w:hAnsi="Times New Roman" w:cs="Times New Roman"/>
          <w:kern w:val="0"/>
          <w:sz w:val="24"/>
          <w:szCs w:val="24"/>
          <w14:ligatures w14:val="none"/>
        </w:rPr>
        <w:t xml:space="preserve"> hydro-alcoholic extract on non-alcoholic fatty liver-induced rats. </w:t>
      </w:r>
      <w:r w:rsidRPr="004B44A7">
        <w:rPr>
          <w:rFonts w:ascii="Times New Roman" w:eastAsia="Times New Roman" w:hAnsi="Times New Roman" w:cs="Times New Roman"/>
          <w:i/>
          <w:iCs/>
          <w:kern w:val="0"/>
          <w:sz w:val="24"/>
          <w:szCs w:val="24"/>
          <w14:ligatures w14:val="none"/>
        </w:rPr>
        <w:t>International Journal of Morphology, 35</w:t>
      </w:r>
      <w:r w:rsidRPr="004B44A7">
        <w:rPr>
          <w:rFonts w:ascii="Times New Roman" w:eastAsia="Times New Roman" w:hAnsi="Times New Roman" w:cs="Times New Roman"/>
          <w:kern w:val="0"/>
          <w:sz w:val="24"/>
          <w:szCs w:val="24"/>
          <w14:ligatures w14:val="none"/>
        </w:rPr>
        <w:t>(1), 345-350.</w:t>
      </w:r>
    </w:p>
    <w:p w14:paraId="1E68732E" w14:textId="77777777" w:rsidR="006755C8" w:rsidRPr="006755C8" w:rsidRDefault="006755C8" w:rsidP="006755C8">
      <w:pPr>
        <w:jc w:val="both"/>
        <w:rPr>
          <w:rFonts w:ascii="Times New Roman" w:hAnsi="Times New Roman" w:cs="Times New Roman"/>
          <w:sz w:val="24"/>
          <w:szCs w:val="24"/>
          <w:lang w:val="en-GB"/>
        </w:rPr>
      </w:pPr>
      <w:r w:rsidRPr="006755C8">
        <w:rPr>
          <w:rFonts w:ascii="Times New Roman" w:hAnsi="Times New Roman" w:cs="Times New Roman"/>
          <w:sz w:val="24"/>
          <w:szCs w:val="24"/>
          <w:highlight w:val="yellow"/>
          <w:lang w:val="en-GB"/>
        </w:rPr>
        <w:t>Anyanwu, R. O., Onochie, A. U., Idama, F. O. Assessment of Hepatoprotective Potential of Ethanolic Extract of Allium sativum (Garlic) in Diabetes Induced Male Wistar Albino Rats. J. Adv. Med. Pharm. Sci. [Internet]. 2023 Nov. 17 [cited 2025 Mar. 8];25(11):8-13. Available from: https://journaljamps.com/index.php/JAMPS/article/view/650</w:t>
      </w:r>
    </w:p>
    <w:p w14:paraId="03DF08FD" w14:textId="097EEBFA" w:rsidR="006755C8" w:rsidRPr="002C3A5B" w:rsidRDefault="002C3A5B" w:rsidP="004B44A7">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2C3A5B">
        <w:rPr>
          <w:rStyle w:val="x193iq5w"/>
          <w:rFonts w:ascii="Times New Roman" w:hAnsi="Times New Roman" w:cs="Times New Roman"/>
          <w:sz w:val="24"/>
          <w:szCs w:val="24"/>
        </w:rPr>
        <w:t>Anwar, S., &amp; Ahmad, I. (2024). Antimicrobial effects of Euphorbia hirta against medically significant microorganisms: A narrative review. International Journal of Biosciences, 24(3), 76–92.</w:t>
      </w:r>
    </w:p>
    <w:p w14:paraId="7F8A3BE0" w14:textId="77777777" w:rsidR="004B44A7" w:rsidRPr="004B44A7" w:rsidRDefault="004B44A7" w:rsidP="004B44A7">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4B44A7">
        <w:rPr>
          <w:rFonts w:ascii="Times New Roman" w:eastAsia="Times New Roman" w:hAnsi="Times New Roman" w:cs="Times New Roman"/>
          <w:kern w:val="0"/>
          <w:sz w:val="24"/>
          <w:szCs w:val="24"/>
          <w14:ligatures w14:val="none"/>
        </w:rPr>
        <w:t xml:space="preserve">Bunchorntavakul, C., &amp; Reddy, K. R. (2013). Acetaminophen-related hepatotoxicity. </w:t>
      </w:r>
      <w:r w:rsidRPr="004B44A7">
        <w:rPr>
          <w:rFonts w:ascii="Times New Roman" w:eastAsia="Times New Roman" w:hAnsi="Times New Roman" w:cs="Times New Roman"/>
          <w:i/>
          <w:iCs/>
          <w:kern w:val="0"/>
          <w:sz w:val="24"/>
          <w:szCs w:val="24"/>
          <w14:ligatures w14:val="none"/>
        </w:rPr>
        <w:t>Clinics in Liver Disease, 17</w:t>
      </w:r>
      <w:r w:rsidRPr="004B44A7">
        <w:rPr>
          <w:rFonts w:ascii="Times New Roman" w:eastAsia="Times New Roman" w:hAnsi="Times New Roman" w:cs="Times New Roman"/>
          <w:kern w:val="0"/>
          <w:sz w:val="24"/>
          <w:szCs w:val="24"/>
          <w14:ligatures w14:val="none"/>
        </w:rPr>
        <w:t xml:space="preserve">(4), 587–607. </w:t>
      </w:r>
      <w:hyperlink r:id="rId17" w:history="1">
        <w:r w:rsidRPr="004B44A7">
          <w:rPr>
            <w:rFonts w:ascii="Times New Roman" w:eastAsia="Times New Roman" w:hAnsi="Times New Roman" w:cs="Times New Roman"/>
            <w:color w:val="0000FF"/>
            <w:kern w:val="0"/>
            <w:sz w:val="24"/>
            <w:szCs w:val="24"/>
            <w:u w:val="single"/>
            <w14:ligatures w14:val="none"/>
          </w:rPr>
          <w:t>https://doi.org/10.1016/j.cld.2013.07.005</w:t>
        </w:r>
      </w:hyperlink>
    </w:p>
    <w:p w14:paraId="7527F8EF" w14:textId="77777777" w:rsidR="004B44A7" w:rsidRDefault="004B44A7" w:rsidP="004B44A7">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4B44A7">
        <w:rPr>
          <w:rFonts w:ascii="Times New Roman" w:eastAsia="Times New Roman" w:hAnsi="Times New Roman" w:cs="Times New Roman"/>
          <w:kern w:val="0"/>
          <w:sz w:val="24"/>
          <w:szCs w:val="24"/>
          <w14:ligatures w14:val="none"/>
        </w:rPr>
        <w:t xml:space="preserve">Buckley, N., Calear, A., Cairns, R., &amp; Department of Health and Aged Care (Therapeutic Goods Administration). (2022). </w:t>
      </w:r>
      <w:r w:rsidRPr="004B44A7">
        <w:rPr>
          <w:rFonts w:ascii="Times New Roman" w:eastAsia="Times New Roman" w:hAnsi="Times New Roman" w:cs="Times New Roman"/>
          <w:i/>
          <w:iCs/>
          <w:kern w:val="0"/>
          <w:sz w:val="24"/>
          <w:szCs w:val="24"/>
          <w14:ligatures w14:val="none"/>
        </w:rPr>
        <w:t>Independent expert report on the risks of intentional self-poisoning with paracetamol.</w:t>
      </w:r>
      <w:r w:rsidRPr="004B44A7">
        <w:rPr>
          <w:rFonts w:ascii="Times New Roman" w:eastAsia="Times New Roman" w:hAnsi="Times New Roman" w:cs="Times New Roman"/>
          <w:kern w:val="0"/>
          <w:sz w:val="24"/>
          <w:szCs w:val="24"/>
          <w14:ligatures w14:val="none"/>
        </w:rPr>
        <w:t xml:space="preserve"> Canberra, Australia.</w:t>
      </w:r>
    </w:p>
    <w:p w14:paraId="61F87BCC" w14:textId="255A0D7D" w:rsidR="002C3A5B" w:rsidRPr="002C3A5B" w:rsidRDefault="002C3A5B" w:rsidP="004B44A7">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2C3A5B">
        <w:rPr>
          <w:rStyle w:val="x193iq5w"/>
          <w:rFonts w:ascii="Times New Roman" w:hAnsi="Times New Roman" w:cs="Times New Roman"/>
          <w:sz w:val="24"/>
          <w:szCs w:val="24"/>
          <w:highlight w:val="yellow"/>
        </w:rPr>
        <w:t>Doria, M., Careddu, D., Iorio, R., Verrotti, A., Chiappini, E., Barbero, G. M., Ceschin, F., Dell’Era, L., Fabiano, V., Mencacci, M., Carlomagno, F., Libranti, M., Mazzone, T., &amp; Vitale, A. (2021). Paracetamol and Ibuprofen in the Treatment of Fever and Acute Mild–Moderate Pain in Children: Italian Experts’ Consensus Statements. Children, 8(10), 873. MD</w:t>
      </w:r>
    </w:p>
    <w:p w14:paraId="53081A1E" w14:textId="69FDD896" w:rsidR="006755C8" w:rsidRDefault="006755C8" w:rsidP="006755C8">
      <w:pPr>
        <w:spacing w:before="100" w:beforeAutospacing="1" w:after="100" w:afterAutospacing="1" w:line="360" w:lineRule="auto"/>
        <w:ind w:left="720" w:hanging="720"/>
        <w:jc w:val="both"/>
        <w:rPr>
          <w:rFonts w:ascii="Times New Roman" w:eastAsia="Times New Roman" w:hAnsi="Times New Roman" w:cs="Times New Roman"/>
          <w:kern w:val="0"/>
          <w:sz w:val="24"/>
          <w:szCs w:val="24"/>
          <w14:ligatures w14:val="none"/>
        </w:rPr>
      </w:pPr>
      <w:r w:rsidRPr="006755C8">
        <w:rPr>
          <w:rFonts w:ascii="Times New Roman" w:eastAsia="Times New Roman" w:hAnsi="Times New Roman" w:cs="Times New Roman"/>
          <w:kern w:val="0"/>
          <w:sz w:val="24"/>
          <w:szCs w:val="24"/>
          <w:highlight w:val="yellow"/>
          <w14:ligatures w14:val="none"/>
        </w:rPr>
        <w:t xml:space="preserve">Ghosh, P., Ghosh, C., Das, S., Das, C., Mandal, S., &amp; Chatterjee, S. (2019). Botanical description, phytochemical constituents and pharmacological properties of </w:t>
      </w:r>
      <w:r w:rsidRPr="006755C8">
        <w:rPr>
          <w:rFonts w:ascii="Times New Roman" w:eastAsia="Times New Roman" w:hAnsi="Times New Roman" w:cs="Times New Roman"/>
          <w:i/>
          <w:iCs/>
          <w:kern w:val="0"/>
          <w:sz w:val="24"/>
          <w:szCs w:val="24"/>
          <w:highlight w:val="yellow"/>
          <w14:ligatures w14:val="none"/>
        </w:rPr>
        <w:t>Euphorbia hirta</w:t>
      </w:r>
      <w:r w:rsidRPr="006755C8">
        <w:rPr>
          <w:rFonts w:ascii="Times New Roman" w:eastAsia="Times New Roman" w:hAnsi="Times New Roman" w:cs="Times New Roman"/>
          <w:kern w:val="0"/>
          <w:sz w:val="24"/>
          <w:szCs w:val="24"/>
          <w:highlight w:val="yellow"/>
          <w14:ligatures w14:val="none"/>
        </w:rPr>
        <w:t xml:space="preserve"> Linn: A review. </w:t>
      </w:r>
      <w:r w:rsidRPr="006755C8">
        <w:rPr>
          <w:rFonts w:ascii="Times New Roman" w:eastAsia="Times New Roman" w:hAnsi="Times New Roman" w:cs="Times New Roman"/>
          <w:i/>
          <w:iCs/>
          <w:kern w:val="0"/>
          <w:sz w:val="24"/>
          <w:szCs w:val="24"/>
          <w:highlight w:val="yellow"/>
          <w14:ligatures w14:val="none"/>
        </w:rPr>
        <w:t>International Journal of Health Sciences and Research</w:t>
      </w:r>
      <w:r w:rsidRPr="006755C8">
        <w:rPr>
          <w:rFonts w:ascii="Times New Roman" w:eastAsia="Times New Roman" w:hAnsi="Times New Roman" w:cs="Times New Roman"/>
          <w:kern w:val="0"/>
          <w:sz w:val="24"/>
          <w:szCs w:val="24"/>
          <w:highlight w:val="yellow"/>
          <w14:ligatures w14:val="none"/>
        </w:rPr>
        <w:t>, 9(3), 273-286.</w:t>
      </w:r>
    </w:p>
    <w:p w14:paraId="614B4C0C" w14:textId="48C9A8BE" w:rsidR="00280A28" w:rsidRPr="002C3A5B" w:rsidRDefault="00280A28" w:rsidP="006755C8">
      <w:pPr>
        <w:spacing w:before="100" w:beforeAutospacing="1" w:after="100" w:afterAutospacing="1" w:line="360" w:lineRule="auto"/>
        <w:ind w:left="720" w:hanging="720"/>
        <w:jc w:val="both"/>
        <w:rPr>
          <w:rFonts w:ascii="Times New Roman" w:eastAsia="Times New Roman" w:hAnsi="Times New Roman" w:cs="Times New Roman"/>
          <w:kern w:val="0"/>
          <w:sz w:val="24"/>
          <w:szCs w:val="24"/>
          <w14:ligatures w14:val="none"/>
        </w:rPr>
      </w:pPr>
      <w:r w:rsidRPr="002C3A5B">
        <w:rPr>
          <w:rStyle w:val="x193iq5w"/>
          <w:rFonts w:ascii="Times New Roman" w:hAnsi="Times New Roman" w:cs="Times New Roman"/>
          <w:sz w:val="24"/>
          <w:szCs w:val="24"/>
          <w:highlight w:val="yellow"/>
        </w:rPr>
        <w:t>Haseen, A., Prasanth, M. L. L., &amp; Jagajith, A. A. (2024). Comprehensive study on phytochemical analysis of medicinal plants. International Journal of Pharmacognosy, 11(3), 53–64.</w:t>
      </w:r>
    </w:p>
    <w:p w14:paraId="1985CCB5" w14:textId="77777777" w:rsidR="004B44A7" w:rsidRPr="004B44A7" w:rsidRDefault="004B44A7" w:rsidP="004B44A7">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4B44A7">
        <w:rPr>
          <w:rFonts w:ascii="Times New Roman" w:eastAsia="Times New Roman" w:hAnsi="Times New Roman" w:cs="Times New Roman"/>
          <w:kern w:val="0"/>
          <w:sz w:val="24"/>
          <w:szCs w:val="24"/>
          <w14:ligatures w14:val="none"/>
        </w:rPr>
        <w:t xml:space="preserve">Kumar, S., Malhotra, P., &amp; Kumar, D. (2017). Medicinal plants with hepatoprotective potential against acetaminophen-induced liver toxicity: A review. </w:t>
      </w:r>
      <w:r w:rsidRPr="004B44A7">
        <w:rPr>
          <w:rFonts w:ascii="Times New Roman" w:eastAsia="Times New Roman" w:hAnsi="Times New Roman" w:cs="Times New Roman"/>
          <w:i/>
          <w:iCs/>
          <w:kern w:val="0"/>
          <w:sz w:val="24"/>
          <w:szCs w:val="24"/>
          <w14:ligatures w14:val="none"/>
        </w:rPr>
        <w:t>Frontiers in Pharmacology, 8</w:t>
      </w:r>
      <w:r w:rsidRPr="004B44A7">
        <w:rPr>
          <w:rFonts w:ascii="Times New Roman" w:eastAsia="Times New Roman" w:hAnsi="Times New Roman" w:cs="Times New Roman"/>
          <w:kern w:val="0"/>
          <w:sz w:val="24"/>
          <w:szCs w:val="24"/>
          <w14:ligatures w14:val="none"/>
        </w:rPr>
        <w:t xml:space="preserve">, 77. </w:t>
      </w:r>
      <w:hyperlink r:id="rId18" w:history="1">
        <w:r w:rsidRPr="004B44A7">
          <w:rPr>
            <w:rFonts w:ascii="Times New Roman" w:eastAsia="Times New Roman" w:hAnsi="Times New Roman" w:cs="Times New Roman"/>
            <w:color w:val="0000FF"/>
            <w:kern w:val="0"/>
            <w:sz w:val="24"/>
            <w:szCs w:val="24"/>
            <w:u w:val="single"/>
            <w14:ligatures w14:val="none"/>
          </w:rPr>
          <w:t>https://doi.org/10.3389/fphar.2017.00077</w:t>
        </w:r>
      </w:hyperlink>
    </w:p>
    <w:p w14:paraId="3D0AF42D" w14:textId="77777777" w:rsidR="004B44A7" w:rsidRPr="004B44A7" w:rsidRDefault="004B44A7" w:rsidP="004B44A7">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4B44A7">
        <w:rPr>
          <w:rFonts w:ascii="Times New Roman" w:eastAsia="Times New Roman" w:hAnsi="Times New Roman" w:cs="Times New Roman"/>
          <w:kern w:val="0"/>
          <w:sz w:val="24"/>
          <w:szCs w:val="24"/>
          <w14:ligatures w14:val="none"/>
        </w:rPr>
        <w:t xml:space="preserve">Laura, R., &amp; Nikolaos, P. (2020). Liver injury induced by paracetamol and challenges associated with intentional and unintentional use. </w:t>
      </w:r>
      <w:r w:rsidRPr="004B44A7">
        <w:rPr>
          <w:rFonts w:ascii="Times New Roman" w:eastAsia="Times New Roman" w:hAnsi="Times New Roman" w:cs="Times New Roman"/>
          <w:i/>
          <w:iCs/>
          <w:kern w:val="0"/>
          <w:sz w:val="24"/>
          <w:szCs w:val="24"/>
          <w14:ligatures w14:val="none"/>
        </w:rPr>
        <w:t>World Journal of Hepatology, 12</w:t>
      </w:r>
      <w:r w:rsidRPr="004B44A7">
        <w:rPr>
          <w:rFonts w:ascii="Times New Roman" w:eastAsia="Times New Roman" w:hAnsi="Times New Roman" w:cs="Times New Roman"/>
          <w:kern w:val="0"/>
          <w:sz w:val="24"/>
          <w:szCs w:val="24"/>
          <w14:ligatures w14:val="none"/>
        </w:rPr>
        <w:t xml:space="preserve">(4), 125-136. </w:t>
      </w:r>
      <w:hyperlink r:id="rId19" w:history="1">
        <w:r w:rsidRPr="004B44A7">
          <w:rPr>
            <w:rFonts w:ascii="Times New Roman" w:eastAsia="Times New Roman" w:hAnsi="Times New Roman" w:cs="Times New Roman"/>
            <w:color w:val="0000FF"/>
            <w:kern w:val="0"/>
            <w:sz w:val="24"/>
            <w:szCs w:val="24"/>
            <w:u w:val="single"/>
            <w14:ligatures w14:val="none"/>
          </w:rPr>
          <w:t>https://doi.org/10.4254/wjh.v12.i4.125</w:t>
        </w:r>
      </w:hyperlink>
    </w:p>
    <w:p w14:paraId="68463391" w14:textId="77777777" w:rsidR="004B44A7" w:rsidRPr="004B44A7" w:rsidRDefault="004B44A7" w:rsidP="004B44A7">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4B44A7">
        <w:rPr>
          <w:rFonts w:ascii="Times New Roman" w:eastAsia="Times New Roman" w:hAnsi="Times New Roman" w:cs="Times New Roman"/>
          <w:kern w:val="0"/>
          <w:sz w:val="24"/>
          <w:szCs w:val="24"/>
          <w14:ligatures w14:val="none"/>
        </w:rPr>
        <w:t xml:space="preserve">Moore, K. L., &amp; Dalley, A. F. (2006). </w:t>
      </w:r>
      <w:r w:rsidRPr="004B44A7">
        <w:rPr>
          <w:rFonts w:ascii="Times New Roman" w:eastAsia="Times New Roman" w:hAnsi="Times New Roman" w:cs="Times New Roman"/>
          <w:i/>
          <w:iCs/>
          <w:kern w:val="0"/>
          <w:sz w:val="24"/>
          <w:szCs w:val="24"/>
          <w14:ligatures w14:val="none"/>
        </w:rPr>
        <w:t>Clinically oriented anatomy</w:t>
      </w:r>
      <w:r w:rsidRPr="004B44A7">
        <w:rPr>
          <w:rFonts w:ascii="Times New Roman" w:eastAsia="Times New Roman" w:hAnsi="Times New Roman" w:cs="Times New Roman"/>
          <w:kern w:val="0"/>
          <w:sz w:val="24"/>
          <w:szCs w:val="24"/>
          <w14:ligatures w14:val="none"/>
        </w:rPr>
        <w:t xml:space="preserve"> (5th ed.). Lippincott Williams &amp; Wilkins.</w:t>
      </w:r>
    </w:p>
    <w:p w14:paraId="68353DFB" w14:textId="77777777" w:rsidR="004B44A7" w:rsidRPr="004B44A7" w:rsidRDefault="004B44A7" w:rsidP="004B44A7">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4B44A7">
        <w:rPr>
          <w:rFonts w:ascii="Times New Roman" w:eastAsia="Times New Roman" w:hAnsi="Times New Roman" w:cs="Times New Roman"/>
          <w:kern w:val="0"/>
          <w:sz w:val="24"/>
          <w:szCs w:val="24"/>
          <w14:ligatures w14:val="none"/>
        </w:rPr>
        <w:t xml:space="preserve">Moss, D. W., &amp; Henderson, A. R. (2009). Clinical enzymology. In C. A. Burtis &amp; E. R. Ashwood (Eds.), </w:t>
      </w:r>
      <w:r w:rsidRPr="004B44A7">
        <w:rPr>
          <w:rFonts w:ascii="Times New Roman" w:eastAsia="Times New Roman" w:hAnsi="Times New Roman" w:cs="Times New Roman"/>
          <w:i/>
          <w:iCs/>
          <w:kern w:val="0"/>
          <w:sz w:val="24"/>
          <w:szCs w:val="24"/>
          <w14:ligatures w14:val="none"/>
        </w:rPr>
        <w:t>Tietz textbook of clinical chemistry</w:t>
      </w:r>
      <w:r w:rsidRPr="004B44A7">
        <w:rPr>
          <w:rFonts w:ascii="Times New Roman" w:eastAsia="Times New Roman" w:hAnsi="Times New Roman" w:cs="Times New Roman"/>
          <w:kern w:val="0"/>
          <w:sz w:val="24"/>
          <w:szCs w:val="24"/>
          <w14:ligatures w14:val="none"/>
        </w:rPr>
        <w:t xml:space="preserve"> (3rd ed., pp. 617-721). W.B. Saunders.</w:t>
      </w:r>
    </w:p>
    <w:p w14:paraId="5D97AD22" w14:textId="77777777" w:rsidR="004B44A7" w:rsidRDefault="004B44A7" w:rsidP="004B44A7">
      <w:pPr>
        <w:spacing w:before="100" w:beforeAutospacing="1" w:after="100" w:afterAutospacing="1" w:line="360" w:lineRule="auto"/>
        <w:jc w:val="both"/>
        <w:rPr>
          <w:rFonts w:ascii="Times New Roman" w:eastAsia="Times New Roman" w:hAnsi="Times New Roman" w:cs="Times New Roman"/>
          <w:color w:val="0000FF"/>
          <w:kern w:val="0"/>
          <w:sz w:val="24"/>
          <w:szCs w:val="24"/>
          <w:u w:val="single"/>
          <w14:ligatures w14:val="none"/>
        </w:rPr>
      </w:pPr>
      <w:r w:rsidRPr="004B44A7">
        <w:rPr>
          <w:rFonts w:ascii="Times New Roman" w:eastAsia="Times New Roman" w:hAnsi="Times New Roman" w:cs="Times New Roman"/>
          <w:kern w:val="0"/>
          <w:sz w:val="24"/>
          <w:szCs w:val="24"/>
          <w14:ligatures w14:val="none"/>
        </w:rPr>
        <w:t xml:space="preserve">Motto, A. E., Lawson-Evi, P., Bakoma, B., Eklu-Gadegbeku, K., &amp; Aklikokou, K. (2021). Antihyperlipidemic and antioxidant properties of hydro-alcoholic extracts from </w:t>
      </w:r>
      <w:r w:rsidRPr="004B44A7">
        <w:rPr>
          <w:rFonts w:ascii="Times New Roman" w:eastAsia="Times New Roman" w:hAnsi="Times New Roman" w:cs="Times New Roman"/>
          <w:i/>
          <w:iCs/>
          <w:kern w:val="0"/>
          <w:sz w:val="24"/>
          <w:szCs w:val="24"/>
          <w14:ligatures w14:val="none"/>
        </w:rPr>
        <w:t>Euphorbia</w:t>
      </w:r>
      <w:r w:rsidRPr="004B44A7">
        <w:rPr>
          <w:rFonts w:ascii="Times New Roman" w:eastAsia="Times New Roman" w:hAnsi="Times New Roman" w:cs="Times New Roman"/>
          <w:kern w:val="0"/>
          <w:sz w:val="24"/>
          <w:szCs w:val="24"/>
          <w14:ligatures w14:val="none"/>
        </w:rPr>
        <w:t xml:space="preserve"> species. </w:t>
      </w:r>
      <w:r w:rsidRPr="004B44A7">
        <w:rPr>
          <w:rFonts w:ascii="Times New Roman" w:eastAsia="Times New Roman" w:hAnsi="Times New Roman" w:cs="Times New Roman"/>
          <w:i/>
          <w:iCs/>
          <w:kern w:val="0"/>
          <w:sz w:val="24"/>
          <w:szCs w:val="24"/>
          <w14:ligatures w14:val="none"/>
        </w:rPr>
        <w:t>Heliyon, 7</w:t>
      </w:r>
      <w:r w:rsidRPr="004B44A7">
        <w:rPr>
          <w:rFonts w:ascii="Times New Roman" w:eastAsia="Times New Roman" w:hAnsi="Times New Roman" w:cs="Times New Roman"/>
          <w:kern w:val="0"/>
          <w:sz w:val="24"/>
          <w:szCs w:val="24"/>
          <w14:ligatures w14:val="none"/>
        </w:rPr>
        <w:t xml:space="preserve">(4), e06648. </w:t>
      </w:r>
      <w:hyperlink r:id="rId20" w:history="1">
        <w:r w:rsidRPr="004B44A7">
          <w:rPr>
            <w:rFonts w:ascii="Times New Roman" w:eastAsia="Times New Roman" w:hAnsi="Times New Roman" w:cs="Times New Roman"/>
            <w:color w:val="0000FF"/>
            <w:kern w:val="0"/>
            <w:sz w:val="24"/>
            <w:szCs w:val="24"/>
            <w:u w:val="single"/>
            <w14:ligatures w14:val="none"/>
          </w:rPr>
          <w:t>https://doi.org/10.1016/j.heliyon.2021.e06648</w:t>
        </w:r>
      </w:hyperlink>
    </w:p>
    <w:p w14:paraId="2CC9E2B5" w14:textId="51041C20" w:rsidR="002C3A5B" w:rsidRPr="002C3A5B" w:rsidRDefault="002C3A5B" w:rsidP="004B44A7">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2C3A5B">
        <w:rPr>
          <w:rStyle w:val="x193iq5w"/>
          <w:rFonts w:ascii="Times New Roman" w:hAnsi="Times New Roman" w:cs="Times New Roman"/>
          <w:sz w:val="24"/>
          <w:szCs w:val="24"/>
        </w:rPr>
        <w:t>Nicolescu, A., Simionescu, N., Ursu, L., Deleanu, C., &amp; Simionescu, B. C. (2012). The Effect of Therapeutic Doses of Paracetamol and Aspirin on the NMR Profile of Urine at 400 MHz. Revue Roumaine de Chimie, 57(7-8), 653–658.</w:t>
      </w:r>
    </w:p>
    <w:p w14:paraId="1ED9E139" w14:textId="77777777" w:rsidR="004B44A7" w:rsidRPr="004B44A7" w:rsidRDefault="004B44A7" w:rsidP="004B44A7">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4B44A7">
        <w:rPr>
          <w:rFonts w:ascii="Times New Roman" w:eastAsia="Times New Roman" w:hAnsi="Times New Roman" w:cs="Times New Roman"/>
          <w:kern w:val="0"/>
          <w:sz w:val="24"/>
          <w:szCs w:val="24"/>
          <w14:ligatures w14:val="none"/>
        </w:rPr>
        <w:t xml:space="preserve">Oluwole, T. D. (2023). Lipid-modulating properties of saponins. </w:t>
      </w:r>
      <w:r w:rsidRPr="004B44A7">
        <w:rPr>
          <w:rFonts w:ascii="Times New Roman" w:eastAsia="Times New Roman" w:hAnsi="Times New Roman" w:cs="Times New Roman"/>
          <w:i/>
          <w:iCs/>
          <w:kern w:val="0"/>
          <w:sz w:val="24"/>
          <w:szCs w:val="24"/>
          <w14:ligatures w14:val="none"/>
        </w:rPr>
        <w:t>International Journal of Medicinal Plants Research, 13</w:t>
      </w:r>
      <w:r w:rsidRPr="004B44A7">
        <w:rPr>
          <w:rFonts w:ascii="Times New Roman" w:eastAsia="Times New Roman" w:hAnsi="Times New Roman" w:cs="Times New Roman"/>
          <w:kern w:val="0"/>
          <w:sz w:val="24"/>
          <w:szCs w:val="24"/>
          <w14:ligatures w14:val="none"/>
        </w:rPr>
        <w:t>(5), 345-356.</w:t>
      </w:r>
    </w:p>
    <w:p w14:paraId="27A20274" w14:textId="77777777" w:rsidR="004B44A7" w:rsidRPr="004B44A7" w:rsidRDefault="004B44A7" w:rsidP="004B44A7">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4B44A7">
        <w:rPr>
          <w:rFonts w:ascii="Times New Roman" w:eastAsia="Times New Roman" w:hAnsi="Times New Roman" w:cs="Times New Roman"/>
          <w:kern w:val="0"/>
          <w:sz w:val="24"/>
          <w:szCs w:val="24"/>
          <w14:ligatures w14:val="none"/>
        </w:rPr>
        <w:t xml:space="preserve">Polyak, S. J., Morishima, C., Lohmann, V., Pal, S., Lee, D. Y., &amp; Liu, Y. (2010). Identification of hepatoprotective flavonolignans from silymarin. </w:t>
      </w:r>
      <w:r w:rsidRPr="004B44A7">
        <w:rPr>
          <w:rFonts w:ascii="Times New Roman" w:eastAsia="Times New Roman" w:hAnsi="Times New Roman" w:cs="Times New Roman"/>
          <w:i/>
          <w:iCs/>
          <w:kern w:val="0"/>
          <w:sz w:val="24"/>
          <w:szCs w:val="24"/>
          <w14:ligatures w14:val="none"/>
        </w:rPr>
        <w:t>Proceedings of the National Academy of Sciences of the United States of America, 107</w:t>
      </w:r>
      <w:r w:rsidRPr="004B44A7">
        <w:rPr>
          <w:rFonts w:ascii="Times New Roman" w:eastAsia="Times New Roman" w:hAnsi="Times New Roman" w:cs="Times New Roman"/>
          <w:kern w:val="0"/>
          <w:sz w:val="24"/>
          <w:szCs w:val="24"/>
          <w14:ligatures w14:val="none"/>
        </w:rPr>
        <w:t xml:space="preserve">(14), 5995–5999. </w:t>
      </w:r>
      <w:hyperlink r:id="rId21" w:history="1">
        <w:r w:rsidRPr="004B44A7">
          <w:rPr>
            <w:rFonts w:ascii="Times New Roman" w:eastAsia="Times New Roman" w:hAnsi="Times New Roman" w:cs="Times New Roman"/>
            <w:color w:val="0000FF"/>
            <w:kern w:val="0"/>
            <w:sz w:val="24"/>
            <w:szCs w:val="24"/>
            <w:u w:val="single"/>
            <w14:ligatures w14:val="none"/>
          </w:rPr>
          <w:t>https://doi.org/10.1073/pnas.0914009107</w:t>
        </w:r>
      </w:hyperlink>
    </w:p>
    <w:p w14:paraId="0D44DF34" w14:textId="77777777" w:rsidR="004B44A7" w:rsidRPr="004B44A7" w:rsidRDefault="004B44A7" w:rsidP="004B44A7">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4B44A7">
        <w:rPr>
          <w:rFonts w:ascii="Times New Roman" w:eastAsia="Times New Roman" w:hAnsi="Times New Roman" w:cs="Times New Roman"/>
          <w:kern w:val="0"/>
          <w:sz w:val="24"/>
          <w:szCs w:val="24"/>
          <w14:ligatures w14:val="none"/>
        </w:rPr>
        <w:t xml:space="preserve">Ramachandran, A., &amp; Jaeschke, H. (2020). A mitochondrial journey through acetaminophen hepatotoxicity. </w:t>
      </w:r>
      <w:r w:rsidRPr="004B44A7">
        <w:rPr>
          <w:rFonts w:ascii="Times New Roman" w:eastAsia="Times New Roman" w:hAnsi="Times New Roman" w:cs="Times New Roman"/>
          <w:i/>
          <w:iCs/>
          <w:kern w:val="0"/>
          <w:sz w:val="24"/>
          <w:szCs w:val="24"/>
          <w14:ligatures w14:val="none"/>
        </w:rPr>
        <w:t>Food and Chemical Toxicology, 140</w:t>
      </w:r>
      <w:r w:rsidRPr="004B44A7">
        <w:rPr>
          <w:rFonts w:ascii="Times New Roman" w:eastAsia="Times New Roman" w:hAnsi="Times New Roman" w:cs="Times New Roman"/>
          <w:kern w:val="0"/>
          <w:sz w:val="24"/>
          <w:szCs w:val="24"/>
          <w14:ligatures w14:val="none"/>
        </w:rPr>
        <w:t xml:space="preserve">, 111282. </w:t>
      </w:r>
      <w:hyperlink r:id="rId22" w:history="1">
        <w:r w:rsidRPr="004B44A7">
          <w:rPr>
            <w:rFonts w:ascii="Times New Roman" w:eastAsia="Times New Roman" w:hAnsi="Times New Roman" w:cs="Times New Roman"/>
            <w:color w:val="0000FF"/>
            <w:kern w:val="0"/>
            <w:sz w:val="24"/>
            <w:szCs w:val="24"/>
            <w:u w:val="single"/>
            <w14:ligatures w14:val="none"/>
          </w:rPr>
          <w:t>https://doi.org/10.1016/j.fct.2020.111282</w:t>
        </w:r>
      </w:hyperlink>
    </w:p>
    <w:p w14:paraId="2633972C" w14:textId="77777777" w:rsidR="004B44A7" w:rsidRPr="004B44A7" w:rsidRDefault="004B44A7" w:rsidP="004B44A7">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4B44A7">
        <w:rPr>
          <w:rFonts w:ascii="Times New Roman" w:eastAsia="Times New Roman" w:hAnsi="Times New Roman" w:cs="Times New Roman"/>
          <w:kern w:val="0"/>
          <w:sz w:val="24"/>
          <w:szCs w:val="24"/>
          <w14:ligatures w14:val="none"/>
        </w:rPr>
        <w:t xml:space="preserve">Rasool, H., &amp; Bassam, A. (2012). Traditional medicinal plants in modern drug discovery. </w:t>
      </w:r>
      <w:r w:rsidRPr="004B44A7">
        <w:rPr>
          <w:rFonts w:ascii="Times New Roman" w:eastAsia="Times New Roman" w:hAnsi="Times New Roman" w:cs="Times New Roman"/>
          <w:i/>
          <w:iCs/>
          <w:kern w:val="0"/>
          <w:sz w:val="24"/>
          <w:szCs w:val="24"/>
          <w14:ligatures w14:val="none"/>
        </w:rPr>
        <w:t>Pharmaceutical Analysis Acta, 3</w:t>
      </w:r>
      <w:r w:rsidRPr="004B44A7">
        <w:rPr>
          <w:rFonts w:ascii="Times New Roman" w:eastAsia="Times New Roman" w:hAnsi="Times New Roman" w:cs="Times New Roman"/>
          <w:kern w:val="0"/>
          <w:sz w:val="24"/>
          <w:szCs w:val="24"/>
          <w14:ligatures w14:val="none"/>
        </w:rPr>
        <w:t xml:space="preserve">(10), e13. </w:t>
      </w:r>
      <w:hyperlink r:id="rId23" w:history="1">
        <w:r w:rsidRPr="004B44A7">
          <w:rPr>
            <w:rFonts w:ascii="Times New Roman" w:eastAsia="Times New Roman" w:hAnsi="Times New Roman" w:cs="Times New Roman"/>
            <w:color w:val="0000FF"/>
            <w:kern w:val="0"/>
            <w:sz w:val="24"/>
            <w:szCs w:val="24"/>
            <w:u w:val="single"/>
            <w14:ligatures w14:val="none"/>
          </w:rPr>
          <w:t>https://doi.org/10.4172/2153-2435.1000e13</w:t>
        </w:r>
      </w:hyperlink>
    </w:p>
    <w:p w14:paraId="243B3F30" w14:textId="77777777" w:rsidR="004B44A7" w:rsidRPr="004B44A7" w:rsidRDefault="004B44A7" w:rsidP="004B44A7">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4B44A7">
        <w:rPr>
          <w:rFonts w:ascii="Times New Roman" w:eastAsia="Times New Roman" w:hAnsi="Times New Roman" w:cs="Times New Roman"/>
          <w:kern w:val="0"/>
          <w:sz w:val="24"/>
          <w:szCs w:val="24"/>
          <w14:ligatures w14:val="none"/>
        </w:rPr>
        <w:t xml:space="preserve">Saccomano, S. J. (2019). Acute acetaminophen toxicity in adults. </w:t>
      </w:r>
      <w:r w:rsidRPr="004B44A7">
        <w:rPr>
          <w:rFonts w:ascii="Times New Roman" w:eastAsia="Times New Roman" w:hAnsi="Times New Roman" w:cs="Times New Roman"/>
          <w:i/>
          <w:iCs/>
          <w:kern w:val="0"/>
          <w:sz w:val="24"/>
          <w:szCs w:val="24"/>
          <w14:ligatures w14:val="none"/>
        </w:rPr>
        <w:t>The Nurse Practitioner, 44</w:t>
      </w:r>
      <w:r w:rsidRPr="004B44A7">
        <w:rPr>
          <w:rFonts w:ascii="Times New Roman" w:eastAsia="Times New Roman" w:hAnsi="Times New Roman" w:cs="Times New Roman"/>
          <w:kern w:val="0"/>
          <w:sz w:val="24"/>
          <w:szCs w:val="24"/>
          <w14:ligatures w14:val="none"/>
        </w:rPr>
        <w:t xml:space="preserve">(11), 42–47. </w:t>
      </w:r>
      <w:hyperlink r:id="rId24" w:history="1">
        <w:r w:rsidRPr="004B44A7">
          <w:rPr>
            <w:rFonts w:ascii="Times New Roman" w:eastAsia="Times New Roman" w:hAnsi="Times New Roman" w:cs="Times New Roman"/>
            <w:color w:val="0000FF"/>
            <w:kern w:val="0"/>
            <w:sz w:val="24"/>
            <w:szCs w:val="24"/>
            <w:u w:val="single"/>
            <w14:ligatures w14:val="none"/>
          </w:rPr>
          <w:t>https://doi.org/10.1097/01.NPR.0000586020.15798.c6</w:t>
        </w:r>
      </w:hyperlink>
    </w:p>
    <w:p w14:paraId="0FF3E3DD" w14:textId="77777777" w:rsidR="004B44A7" w:rsidRPr="009D2918" w:rsidRDefault="004B44A7" w:rsidP="004B44A7">
      <w:pPr>
        <w:spacing w:before="100" w:beforeAutospacing="1" w:after="100" w:afterAutospacing="1" w:line="360" w:lineRule="auto"/>
        <w:jc w:val="both"/>
        <w:rPr>
          <w:rFonts w:ascii="Times New Roman" w:eastAsia="Times New Roman" w:hAnsi="Times New Roman" w:cs="Times New Roman"/>
          <w:color w:val="0000FF"/>
          <w:kern w:val="0"/>
          <w:sz w:val="24"/>
          <w:szCs w:val="24"/>
          <w:u w:val="single"/>
          <w14:ligatures w14:val="none"/>
        </w:rPr>
      </w:pPr>
      <w:r w:rsidRPr="004B44A7">
        <w:rPr>
          <w:rFonts w:ascii="Times New Roman" w:eastAsia="Times New Roman" w:hAnsi="Times New Roman" w:cs="Times New Roman"/>
          <w:kern w:val="0"/>
          <w:sz w:val="24"/>
          <w:szCs w:val="24"/>
          <w14:ligatures w14:val="none"/>
        </w:rPr>
        <w:t xml:space="preserve">Saab, S., Manne, V., Nieto, J., Schwimmer, J. B., &amp; Chalasani, N. P. (2015). Nonalcoholic fatty liver disease in Latinos. </w:t>
      </w:r>
      <w:r w:rsidRPr="004B44A7">
        <w:rPr>
          <w:rFonts w:ascii="Times New Roman" w:eastAsia="Times New Roman" w:hAnsi="Times New Roman" w:cs="Times New Roman"/>
          <w:i/>
          <w:iCs/>
          <w:kern w:val="0"/>
          <w:sz w:val="24"/>
          <w:szCs w:val="24"/>
          <w14:ligatures w14:val="none"/>
        </w:rPr>
        <w:t>Clinical Gastroenterology and Hepatology, 13</w:t>
      </w:r>
      <w:r w:rsidRPr="004B44A7">
        <w:rPr>
          <w:rFonts w:ascii="Times New Roman" w:eastAsia="Times New Roman" w:hAnsi="Times New Roman" w:cs="Times New Roman"/>
          <w:kern w:val="0"/>
          <w:sz w:val="24"/>
          <w:szCs w:val="24"/>
          <w14:ligatures w14:val="none"/>
        </w:rPr>
        <w:t xml:space="preserve">(4), 1203–1210. </w:t>
      </w:r>
      <w:hyperlink r:id="rId25" w:history="1">
        <w:r w:rsidRPr="009D2918">
          <w:rPr>
            <w:rFonts w:ascii="Times New Roman" w:eastAsia="Times New Roman" w:hAnsi="Times New Roman" w:cs="Times New Roman"/>
            <w:color w:val="0000FF"/>
            <w:kern w:val="0"/>
            <w:sz w:val="24"/>
            <w:szCs w:val="24"/>
            <w:u w:val="single"/>
            <w14:ligatures w14:val="none"/>
          </w:rPr>
          <w:t>https://doi.org/10.1016/j.cgh.2015.05.001</w:t>
        </w:r>
      </w:hyperlink>
    </w:p>
    <w:p w14:paraId="7DEA8E5D" w14:textId="1DD98F19" w:rsidR="009D2918" w:rsidRPr="009D2918" w:rsidRDefault="009D2918" w:rsidP="004B44A7">
      <w:pPr>
        <w:spacing w:before="100" w:beforeAutospacing="1" w:after="100" w:afterAutospacing="1" w:line="360" w:lineRule="auto"/>
        <w:jc w:val="both"/>
        <w:rPr>
          <w:rFonts w:ascii="Times New Roman" w:eastAsia="Times New Roman" w:hAnsi="Times New Roman" w:cs="Times New Roman"/>
          <w:color w:val="0000FF"/>
          <w:kern w:val="0"/>
          <w:sz w:val="24"/>
          <w:szCs w:val="24"/>
          <w:u w:val="single"/>
          <w14:ligatures w14:val="none"/>
        </w:rPr>
      </w:pPr>
      <w:r w:rsidRPr="009D2918">
        <w:rPr>
          <w:rStyle w:val="x193iq5w"/>
          <w:rFonts w:ascii="Times New Roman" w:hAnsi="Times New Roman" w:cs="Times New Roman"/>
          <w:sz w:val="24"/>
          <w:szCs w:val="24"/>
        </w:rPr>
        <w:t>Sharma, P., &amp; Verma, S. (2022). Phytochemical screening of Euphorbia hirta L and antioxidant properties. Journal of Botany Research, 7(3), 38–47.</w:t>
      </w:r>
    </w:p>
    <w:p w14:paraId="3D4E9A92" w14:textId="3310D198" w:rsidR="002C3A5B" w:rsidRPr="002C3A5B" w:rsidRDefault="002C3A5B" w:rsidP="004B44A7">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2C3A5B">
        <w:rPr>
          <w:rStyle w:val="x193iq5w"/>
          <w:rFonts w:ascii="Times New Roman" w:hAnsi="Times New Roman" w:cs="Times New Roman"/>
          <w:sz w:val="24"/>
          <w:szCs w:val="24"/>
        </w:rPr>
        <w:t>Tayo, L. B., Rivera, Z. A. A., Roxas, T. J. R., Chi, T.-C., Ko, S.-Y., Hsueh, C.-C., &amp; Tsai, P.-W. (2024). Investigating the anti-inflammatory and immunoregulatory effects of Euphorbia hirta on post-COVID syndrome. BioEnergy Research, 17(3), 1234–1248.</w:t>
      </w:r>
    </w:p>
    <w:p w14:paraId="1A795D72" w14:textId="77777777" w:rsidR="004B44A7" w:rsidRPr="004B44A7" w:rsidRDefault="004B44A7" w:rsidP="004B44A7">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4B44A7">
        <w:rPr>
          <w:rFonts w:ascii="Times New Roman" w:eastAsia="Times New Roman" w:hAnsi="Times New Roman" w:cs="Times New Roman"/>
          <w:kern w:val="0"/>
          <w:sz w:val="24"/>
          <w:szCs w:val="24"/>
          <w14:ligatures w14:val="none"/>
        </w:rPr>
        <w:t xml:space="preserve">Tietz, C. A., &amp; Ashwood, E. R. (2012). </w:t>
      </w:r>
      <w:r w:rsidRPr="004B44A7">
        <w:rPr>
          <w:rFonts w:ascii="Times New Roman" w:eastAsia="Times New Roman" w:hAnsi="Times New Roman" w:cs="Times New Roman"/>
          <w:i/>
          <w:iCs/>
          <w:kern w:val="0"/>
          <w:sz w:val="24"/>
          <w:szCs w:val="24"/>
          <w14:ligatures w14:val="none"/>
        </w:rPr>
        <w:t>Tietz textbook of clinical chemistry</w:t>
      </w:r>
      <w:r w:rsidRPr="004B44A7">
        <w:rPr>
          <w:rFonts w:ascii="Times New Roman" w:eastAsia="Times New Roman" w:hAnsi="Times New Roman" w:cs="Times New Roman"/>
          <w:kern w:val="0"/>
          <w:sz w:val="24"/>
          <w:szCs w:val="24"/>
          <w14:ligatures w14:val="none"/>
        </w:rPr>
        <w:t xml:space="preserve"> (5th ed.). Elsevier.</w:t>
      </w:r>
    </w:p>
    <w:p w14:paraId="3D028ED1" w14:textId="77777777" w:rsidR="004B44A7" w:rsidRPr="004B44A7" w:rsidRDefault="004B44A7" w:rsidP="004B44A7">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4B44A7">
        <w:rPr>
          <w:rFonts w:ascii="Times New Roman" w:eastAsia="Times New Roman" w:hAnsi="Times New Roman" w:cs="Times New Roman"/>
          <w:kern w:val="0"/>
          <w:sz w:val="24"/>
          <w:szCs w:val="24"/>
          <w14:ligatures w14:val="none"/>
        </w:rPr>
        <w:t xml:space="preserve">Verma, P. K., Raina, R., Sultana, M., Singh, M., &amp; Kumar, P. (2016). Acetaminophen-induced oxidative and histopathological alterations in hepatic tissue: Protective effects of </w:t>
      </w:r>
      <w:r w:rsidRPr="004B44A7">
        <w:rPr>
          <w:rFonts w:ascii="Times New Roman" w:eastAsia="Times New Roman" w:hAnsi="Times New Roman" w:cs="Times New Roman"/>
          <w:i/>
          <w:iCs/>
          <w:kern w:val="0"/>
          <w:sz w:val="24"/>
          <w:szCs w:val="24"/>
          <w14:ligatures w14:val="none"/>
        </w:rPr>
        <w:t>Alstonia scholaris</w:t>
      </w:r>
      <w:r w:rsidRPr="004B44A7">
        <w:rPr>
          <w:rFonts w:ascii="Times New Roman" w:eastAsia="Times New Roman" w:hAnsi="Times New Roman" w:cs="Times New Roman"/>
          <w:kern w:val="0"/>
          <w:sz w:val="24"/>
          <w:szCs w:val="24"/>
          <w14:ligatures w14:val="none"/>
        </w:rPr>
        <w:t xml:space="preserve"> leaf extracts. </w:t>
      </w:r>
      <w:r w:rsidRPr="004B44A7">
        <w:rPr>
          <w:rFonts w:ascii="Times New Roman" w:eastAsia="Times New Roman" w:hAnsi="Times New Roman" w:cs="Times New Roman"/>
          <w:i/>
          <w:iCs/>
          <w:kern w:val="0"/>
          <w:sz w:val="24"/>
          <w:szCs w:val="24"/>
          <w14:ligatures w14:val="none"/>
        </w:rPr>
        <w:t>Pharmacognosy Journal, 8</w:t>
      </w:r>
      <w:r w:rsidRPr="004B44A7">
        <w:rPr>
          <w:rFonts w:ascii="Times New Roman" w:eastAsia="Times New Roman" w:hAnsi="Times New Roman" w:cs="Times New Roman"/>
          <w:kern w:val="0"/>
          <w:sz w:val="24"/>
          <w:szCs w:val="24"/>
          <w14:ligatures w14:val="none"/>
        </w:rPr>
        <w:t xml:space="preserve">(4), 385-391. </w:t>
      </w:r>
      <w:hyperlink r:id="rId26" w:history="1">
        <w:r w:rsidRPr="004B44A7">
          <w:rPr>
            <w:rFonts w:ascii="Times New Roman" w:eastAsia="Times New Roman" w:hAnsi="Times New Roman" w:cs="Times New Roman"/>
            <w:color w:val="0000FF"/>
            <w:kern w:val="0"/>
            <w:sz w:val="24"/>
            <w:szCs w:val="24"/>
            <w:u w:val="single"/>
            <w14:ligatures w14:val="none"/>
          </w:rPr>
          <w:t>https://doi.org/10.5530/pj.2016.4.9</w:t>
        </w:r>
      </w:hyperlink>
    </w:p>
    <w:p w14:paraId="262DCECE" w14:textId="77777777" w:rsidR="004B44A7" w:rsidRPr="004B44A7" w:rsidRDefault="004B44A7" w:rsidP="004B44A7">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4B44A7">
        <w:rPr>
          <w:rFonts w:ascii="Times New Roman" w:eastAsia="Times New Roman" w:hAnsi="Times New Roman" w:cs="Times New Roman"/>
          <w:kern w:val="0"/>
          <w:sz w:val="24"/>
          <w:szCs w:val="24"/>
          <w14:ligatures w14:val="none"/>
        </w:rPr>
        <w:t xml:space="preserve">Wadood, A., Ghufran, M., Jamal, S. B., Naeem, M., Khan, A., et al. (2013). Phytochemical analysis of medicinal plants occurring in the local area of Mardan. </w:t>
      </w:r>
      <w:r w:rsidRPr="004B44A7">
        <w:rPr>
          <w:rFonts w:ascii="Times New Roman" w:eastAsia="Times New Roman" w:hAnsi="Times New Roman" w:cs="Times New Roman"/>
          <w:i/>
          <w:iCs/>
          <w:kern w:val="0"/>
          <w:sz w:val="24"/>
          <w:szCs w:val="24"/>
          <w14:ligatures w14:val="none"/>
        </w:rPr>
        <w:t>Biochemistry &amp; Analytical Biochemistry, 2</w:t>
      </w:r>
      <w:r w:rsidRPr="004B44A7">
        <w:rPr>
          <w:rFonts w:ascii="Times New Roman" w:eastAsia="Times New Roman" w:hAnsi="Times New Roman" w:cs="Times New Roman"/>
          <w:kern w:val="0"/>
          <w:sz w:val="24"/>
          <w:szCs w:val="24"/>
          <w14:ligatures w14:val="none"/>
        </w:rPr>
        <w:t xml:space="preserve">(144). </w:t>
      </w:r>
      <w:hyperlink r:id="rId27" w:history="1">
        <w:r w:rsidRPr="004B44A7">
          <w:rPr>
            <w:rFonts w:ascii="Times New Roman" w:eastAsia="Times New Roman" w:hAnsi="Times New Roman" w:cs="Times New Roman"/>
            <w:color w:val="0000FF"/>
            <w:kern w:val="0"/>
            <w:sz w:val="24"/>
            <w:szCs w:val="24"/>
            <w:u w:val="single"/>
            <w14:ligatures w14:val="none"/>
          </w:rPr>
          <w:t>https://doi.org/10.4172/2161-1009.1000144</w:t>
        </w:r>
      </w:hyperlink>
    </w:p>
    <w:p w14:paraId="60D04168" w14:textId="77777777" w:rsidR="005D747E" w:rsidRPr="005954ED" w:rsidRDefault="005D747E" w:rsidP="00AF5592">
      <w:pPr>
        <w:pStyle w:val="NormalWeb"/>
        <w:spacing w:line="480" w:lineRule="auto"/>
        <w:jc w:val="both"/>
      </w:pPr>
    </w:p>
    <w:p w14:paraId="306A0A4C" w14:textId="77777777" w:rsidR="005D747E" w:rsidRPr="005954ED" w:rsidRDefault="005D747E" w:rsidP="00AF5592">
      <w:pPr>
        <w:spacing w:line="480" w:lineRule="auto"/>
        <w:jc w:val="both"/>
        <w:rPr>
          <w:rFonts w:ascii="Times New Roman" w:hAnsi="Times New Roman" w:cs="Times New Roman"/>
          <w:b/>
          <w:bCs/>
          <w:sz w:val="24"/>
          <w:szCs w:val="24"/>
        </w:rPr>
      </w:pPr>
    </w:p>
    <w:p w14:paraId="6F19E571" w14:textId="77777777" w:rsidR="005D747E" w:rsidRPr="005954ED" w:rsidRDefault="005D747E" w:rsidP="00AF5592">
      <w:pPr>
        <w:spacing w:line="480" w:lineRule="auto"/>
        <w:rPr>
          <w:rFonts w:ascii="Times New Roman" w:hAnsi="Times New Roman" w:cs="Times New Roman"/>
          <w:sz w:val="24"/>
          <w:szCs w:val="24"/>
        </w:rPr>
      </w:pPr>
    </w:p>
    <w:p w14:paraId="4F84061A" w14:textId="77777777" w:rsidR="00495F6A" w:rsidRPr="005954ED" w:rsidRDefault="00495F6A" w:rsidP="00AF5592">
      <w:pPr>
        <w:spacing w:after="0" w:line="480" w:lineRule="auto"/>
        <w:jc w:val="center"/>
        <w:rPr>
          <w:rFonts w:ascii="Times New Roman" w:hAnsi="Times New Roman" w:cs="Times New Roman"/>
          <w:sz w:val="24"/>
          <w:szCs w:val="24"/>
        </w:rPr>
      </w:pPr>
    </w:p>
    <w:sectPr w:rsidR="00495F6A" w:rsidRPr="005954ED">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CAF76" w14:textId="77777777" w:rsidR="00867B6A" w:rsidRDefault="00867B6A" w:rsidP="00360990">
      <w:pPr>
        <w:spacing w:after="0" w:line="240" w:lineRule="auto"/>
      </w:pPr>
      <w:r>
        <w:separator/>
      </w:r>
    </w:p>
  </w:endnote>
  <w:endnote w:type="continuationSeparator" w:id="0">
    <w:p w14:paraId="020A9A26" w14:textId="77777777" w:rsidR="00867B6A" w:rsidRDefault="00867B6A" w:rsidP="00360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D794F" w14:textId="77777777" w:rsidR="00360990" w:rsidRDefault="003609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C437E" w14:textId="77777777" w:rsidR="00360990" w:rsidRDefault="003609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8C5BE" w14:textId="77777777" w:rsidR="00360990" w:rsidRDefault="003609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4D619" w14:textId="77777777" w:rsidR="00867B6A" w:rsidRDefault="00867B6A" w:rsidP="00360990">
      <w:pPr>
        <w:spacing w:after="0" w:line="240" w:lineRule="auto"/>
      </w:pPr>
      <w:r>
        <w:separator/>
      </w:r>
    </w:p>
  </w:footnote>
  <w:footnote w:type="continuationSeparator" w:id="0">
    <w:p w14:paraId="2828D833" w14:textId="77777777" w:rsidR="00867B6A" w:rsidRDefault="00867B6A" w:rsidP="003609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D9830" w14:textId="696F1759" w:rsidR="00360990" w:rsidRDefault="00C651EB">
    <w:pPr>
      <w:pStyle w:val="Header"/>
    </w:pPr>
    <w:r>
      <w:rPr>
        <w:noProof/>
      </w:rPr>
    </w:r>
    <w:r w:rsidR="00C651EB">
      <w:rPr>
        <w:noProof/>
      </w:rPr>
      <w:pict w14:anchorId="5DCBAB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226219" o:spid="_x0000_s1026" type="#_x0000_t136" style="position:absolute;margin-left:0;margin-top:0;width:555.6pt;height:104.15pt;rotation:315;z-index:-25165619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ABAB6" w14:textId="13E0E71A" w:rsidR="00360990" w:rsidRDefault="00C651EB">
    <w:pPr>
      <w:pStyle w:val="Header"/>
    </w:pPr>
    <w:r>
      <w:rPr>
        <w:noProof/>
      </w:rPr>
    </w:r>
    <w:r w:rsidR="00C651EB">
      <w:rPr>
        <w:noProof/>
      </w:rPr>
      <w:pict w14:anchorId="63A389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226220" o:spid="_x0000_s1027"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0A468" w14:textId="38B348D8" w:rsidR="00360990" w:rsidRDefault="00C651EB">
    <w:pPr>
      <w:pStyle w:val="Header"/>
    </w:pPr>
    <w:r>
      <w:rPr>
        <w:noProof/>
      </w:rPr>
    </w:r>
    <w:r w:rsidR="00C651EB">
      <w:rPr>
        <w:noProof/>
      </w:rPr>
      <w:pict w14:anchorId="4DA471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226218" o:spid="_x0000_s1025" type="#_x0000_t136" style="position:absolute;margin-left:0;margin-top:0;width:555.6pt;height:104.15pt;rotation:315;z-index:-25165824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65B04"/>
    <w:multiLevelType w:val="multilevel"/>
    <w:tmpl w:val="F8382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D74540"/>
    <w:multiLevelType w:val="multilevel"/>
    <w:tmpl w:val="DD6C3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C167268"/>
    <w:multiLevelType w:val="hybridMultilevel"/>
    <w:tmpl w:val="F0D49D04"/>
    <w:lvl w:ilvl="0" w:tplc="1F2EA00A">
      <w:start w:val="1"/>
      <w:numFmt w:val="decimal"/>
      <w:lvlText w:val="%1."/>
      <w:lvlJc w:val="left"/>
      <w:pPr>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745B65"/>
    <w:multiLevelType w:val="hybridMultilevel"/>
    <w:tmpl w:val="531CC16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9B04D4"/>
    <w:multiLevelType w:val="multilevel"/>
    <w:tmpl w:val="E9C85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988876">
    <w:abstractNumId w:val="3"/>
  </w:num>
  <w:num w:numId="2" w16cid:durableId="2055885073">
    <w:abstractNumId w:val="2"/>
  </w:num>
  <w:num w:numId="3" w16cid:durableId="1807356222">
    <w:abstractNumId w:val="0"/>
  </w:num>
  <w:num w:numId="4" w16cid:durableId="790706838">
    <w:abstractNumId w:val="4"/>
  </w:num>
  <w:num w:numId="5" w16cid:durableId="278993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0"/>
  <w:revisionView w:inkAnnotations="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622C"/>
    <w:rsid w:val="00003FF7"/>
    <w:rsid w:val="00024397"/>
    <w:rsid w:val="0003622C"/>
    <w:rsid w:val="00050EF7"/>
    <w:rsid w:val="0009278F"/>
    <w:rsid w:val="000A3E96"/>
    <w:rsid w:val="001420CC"/>
    <w:rsid w:val="00161DE0"/>
    <w:rsid w:val="00173AE5"/>
    <w:rsid w:val="001816E7"/>
    <w:rsid w:val="00183ADC"/>
    <w:rsid w:val="001C4886"/>
    <w:rsid w:val="001D6C23"/>
    <w:rsid w:val="00280A28"/>
    <w:rsid w:val="002C3A5B"/>
    <w:rsid w:val="002E6DC6"/>
    <w:rsid w:val="00317F09"/>
    <w:rsid w:val="00360990"/>
    <w:rsid w:val="00367E83"/>
    <w:rsid w:val="003C5577"/>
    <w:rsid w:val="00480509"/>
    <w:rsid w:val="00485AAA"/>
    <w:rsid w:val="00495F6A"/>
    <w:rsid w:val="004B44A7"/>
    <w:rsid w:val="0055637A"/>
    <w:rsid w:val="005613EA"/>
    <w:rsid w:val="0059430D"/>
    <w:rsid w:val="005954ED"/>
    <w:rsid w:val="005D747E"/>
    <w:rsid w:val="00600BE9"/>
    <w:rsid w:val="006755C8"/>
    <w:rsid w:val="00715AC1"/>
    <w:rsid w:val="007A650A"/>
    <w:rsid w:val="007B32B0"/>
    <w:rsid w:val="007E042B"/>
    <w:rsid w:val="007F566C"/>
    <w:rsid w:val="00867B6A"/>
    <w:rsid w:val="008B5B10"/>
    <w:rsid w:val="008C215B"/>
    <w:rsid w:val="00900C1E"/>
    <w:rsid w:val="0090231E"/>
    <w:rsid w:val="0092474B"/>
    <w:rsid w:val="00973E58"/>
    <w:rsid w:val="009D2918"/>
    <w:rsid w:val="00A00E25"/>
    <w:rsid w:val="00A425B4"/>
    <w:rsid w:val="00A44FEB"/>
    <w:rsid w:val="00AF5592"/>
    <w:rsid w:val="00C651EB"/>
    <w:rsid w:val="00CA021E"/>
    <w:rsid w:val="00CF01FD"/>
    <w:rsid w:val="00CF4726"/>
    <w:rsid w:val="00D03F8E"/>
    <w:rsid w:val="00D14551"/>
    <w:rsid w:val="00D6286F"/>
    <w:rsid w:val="00DF5025"/>
    <w:rsid w:val="00E415E2"/>
    <w:rsid w:val="00E563C5"/>
    <w:rsid w:val="00EA43CA"/>
    <w:rsid w:val="00EB1ED8"/>
    <w:rsid w:val="00EC3D18"/>
    <w:rsid w:val="00EC6731"/>
    <w:rsid w:val="00EE6C73"/>
    <w:rsid w:val="00F27114"/>
    <w:rsid w:val="00F8204E"/>
    <w:rsid w:val="00F85C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65FA10E"/>
  <w15:docId w15:val="{8E05F2F7-4361-C049-9F38-6A2C8EC0B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22C"/>
    <w:pPr>
      <w:spacing w:after="160" w:line="259" w:lineRule="auto"/>
    </w:pPr>
    <w:rPr>
      <w:kern w:val="2"/>
      <w14:ligatures w14:val="standardContextual"/>
    </w:rPr>
  </w:style>
  <w:style w:type="paragraph" w:styleId="Heading1">
    <w:name w:val="heading 1"/>
    <w:basedOn w:val="Normal"/>
    <w:link w:val="Heading1Char"/>
    <w:uiPriority w:val="9"/>
    <w:qFormat/>
    <w:rsid w:val="00173AE5"/>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3">
    <w:name w:val="heading 3"/>
    <w:basedOn w:val="Normal"/>
    <w:next w:val="Normal"/>
    <w:link w:val="Heading3Char"/>
    <w:uiPriority w:val="9"/>
    <w:semiHidden/>
    <w:unhideWhenUsed/>
    <w:qFormat/>
    <w:rsid w:val="0009278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9278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9278F"/>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Light1">
    <w:name w:val="Table Grid Light1"/>
    <w:basedOn w:val="TableNormal"/>
    <w:uiPriority w:val="40"/>
    <w:rsid w:val="0003622C"/>
    <w:pPr>
      <w:spacing w:after="0" w:line="240" w:lineRule="auto"/>
    </w:pPr>
    <w:rPr>
      <w:kern w:val="2"/>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umpedfont15">
    <w:name w:val="bumpedfont15"/>
    <w:basedOn w:val="DefaultParagraphFont"/>
    <w:rsid w:val="0003622C"/>
  </w:style>
  <w:style w:type="paragraph" w:customStyle="1" w:styleId="s5">
    <w:name w:val="s5"/>
    <w:basedOn w:val="Normal"/>
    <w:rsid w:val="0003622C"/>
    <w:pPr>
      <w:spacing w:before="100" w:beforeAutospacing="1" w:after="100" w:afterAutospacing="1" w:line="240" w:lineRule="auto"/>
    </w:pPr>
    <w:rPr>
      <w:rFonts w:ascii="Times New Roman" w:eastAsiaTheme="minorEastAsia" w:hAnsi="Times New Roman" w:cs="Times New Roman"/>
      <w:kern w:val="0"/>
      <w:sz w:val="24"/>
      <w:szCs w:val="24"/>
    </w:rPr>
  </w:style>
  <w:style w:type="table" w:styleId="TableGrid">
    <w:name w:val="Table Grid"/>
    <w:basedOn w:val="TableNormal"/>
    <w:uiPriority w:val="39"/>
    <w:rsid w:val="00036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E6C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C73"/>
    <w:rPr>
      <w:rFonts w:ascii="Tahoma" w:hAnsi="Tahoma" w:cs="Tahoma"/>
      <w:kern w:val="2"/>
      <w:sz w:val="16"/>
      <w:szCs w:val="16"/>
      <w14:ligatures w14:val="standardContextual"/>
    </w:rPr>
  </w:style>
  <w:style w:type="character" w:styleId="Strong">
    <w:name w:val="Strong"/>
    <w:basedOn w:val="DefaultParagraphFont"/>
    <w:uiPriority w:val="22"/>
    <w:qFormat/>
    <w:rsid w:val="00EE6C73"/>
    <w:rPr>
      <w:b/>
      <w:bCs/>
    </w:rPr>
  </w:style>
  <w:style w:type="paragraph" w:styleId="NormalWeb">
    <w:name w:val="Normal (Web)"/>
    <w:basedOn w:val="Normal"/>
    <w:uiPriority w:val="99"/>
    <w:unhideWhenUsed/>
    <w:rsid w:val="00EE6C7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A44FEB"/>
    <w:pPr>
      <w:spacing w:after="0" w:line="240" w:lineRule="auto"/>
      <w:ind w:left="720"/>
      <w:contextualSpacing/>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F27114"/>
    <w:rPr>
      <w:color w:val="0000FF" w:themeColor="hyperlink"/>
      <w:u w:val="single"/>
    </w:rPr>
  </w:style>
  <w:style w:type="character" w:customStyle="1" w:styleId="citationsource-journal">
    <w:name w:val="citation_source-journal"/>
    <w:basedOn w:val="DefaultParagraphFont"/>
    <w:rsid w:val="00173AE5"/>
  </w:style>
  <w:style w:type="character" w:customStyle="1" w:styleId="Heading1Char">
    <w:name w:val="Heading 1 Char"/>
    <w:basedOn w:val="DefaultParagraphFont"/>
    <w:link w:val="Heading1"/>
    <w:uiPriority w:val="9"/>
    <w:rsid w:val="00173AE5"/>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D03F8E"/>
  </w:style>
  <w:style w:type="character" w:styleId="Emphasis">
    <w:name w:val="Emphasis"/>
    <w:basedOn w:val="DefaultParagraphFont"/>
    <w:uiPriority w:val="20"/>
    <w:qFormat/>
    <w:rsid w:val="007F566C"/>
    <w:rPr>
      <w:i/>
      <w:iCs/>
    </w:rPr>
  </w:style>
  <w:style w:type="character" w:customStyle="1" w:styleId="Heading3Char">
    <w:name w:val="Heading 3 Char"/>
    <w:basedOn w:val="DefaultParagraphFont"/>
    <w:link w:val="Heading3"/>
    <w:uiPriority w:val="9"/>
    <w:semiHidden/>
    <w:rsid w:val="0009278F"/>
    <w:rPr>
      <w:rFonts w:asciiTheme="majorHAnsi" w:eastAsiaTheme="majorEastAsia" w:hAnsiTheme="majorHAnsi" w:cstheme="majorBidi"/>
      <w:color w:val="243F60" w:themeColor="accent1" w:themeShade="7F"/>
      <w:kern w:val="2"/>
      <w:sz w:val="24"/>
      <w:szCs w:val="24"/>
      <w14:ligatures w14:val="standardContextual"/>
    </w:rPr>
  </w:style>
  <w:style w:type="character" w:customStyle="1" w:styleId="Heading4Char">
    <w:name w:val="Heading 4 Char"/>
    <w:basedOn w:val="DefaultParagraphFont"/>
    <w:link w:val="Heading4"/>
    <w:uiPriority w:val="9"/>
    <w:semiHidden/>
    <w:rsid w:val="0009278F"/>
    <w:rPr>
      <w:rFonts w:asciiTheme="majorHAnsi" w:eastAsiaTheme="majorEastAsia" w:hAnsiTheme="majorHAnsi" w:cstheme="majorBidi"/>
      <w:i/>
      <w:iCs/>
      <w:color w:val="365F91" w:themeColor="accent1" w:themeShade="BF"/>
      <w:kern w:val="2"/>
      <w14:ligatures w14:val="standardContextual"/>
    </w:rPr>
  </w:style>
  <w:style w:type="character" w:customStyle="1" w:styleId="Heading5Char">
    <w:name w:val="Heading 5 Char"/>
    <w:basedOn w:val="DefaultParagraphFont"/>
    <w:link w:val="Heading5"/>
    <w:uiPriority w:val="9"/>
    <w:semiHidden/>
    <w:rsid w:val="0009278F"/>
    <w:rPr>
      <w:rFonts w:asciiTheme="majorHAnsi" w:eastAsiaTheme="majorEastAsia" w:hAnsiTheme="majorHAnsi" w:cstheme="majorBidi"/>
      <w:color w:val="365F91" w:themeColor="accent1" w:themeShade="BF"/>
      <w:kern w:val="2"/>
      <w14:ligatures w14:val="standardContextual"/>
    </w:rPr>
  </w:style>
  <w:style w:type="paragraph" w:styleId="Header">
    <w:name w:val="header"/>
    <w:basedOn w:val="Normal"/>
    <w:link w:val="HeaderChar"/>
    <w:uiPriority w:val="99"/>
    <w:unhideWhenUsed/>
    <w:rsid w:val="003609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990"/>
    <w:rPr>
      <w:kern w:val="2"/>
      <w14:ligatures w14:val="standardContextual"/>
    </w:rPr>
  </w:style>
  <w:style w:type="paragraph" w:styleId="Footer">
    <w:name w:val="footer"/>
    <w:basedOn w:val="Normal"/>
    <w:link w:val="FooterChar"/>
    <w:uiPriority w:val="99"/>
    <w:unhideWhenUsed/>
    <w:rsid w:val="003609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990"/>
    <w:rPr>
      <w:kern w:val="2"/>
      <w14:ligatures w14:val="standardContextual"/>
    </w:rPr>
  </w:style>
  <w:style w:type="character" w:customStyle="1" w:styleId="x193iq5w">
    <w:name w:val="x193iq5w"/>
    <w:basedOn w:val="DefaultParagraphFont"/>
    <w:rsid w:val="00280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01792">
      <w:bodyDiv w:val="1"/>
      <w:marLeft w:val="0"/>
      <w:marRight w:val="0"/>
      <w:marTop w:val="0"/>
      <w:marBottom w:val="0"/>
      <w:divBdr>
        <w:top w:val="none" w:sz="0" w:space="0" w:color="auto"/>
        <w:left w:val="none" w:sz="0" w:space="0" w:color="auto"/>
        <w:bottom w:val="none" w:sz="0" w:space="0" w:color="auto"/>
        <w:right w:val="none" w:sz="0" w:space="0" w:color="auto"/>
      </w:divBdr>
      <w:divsChild>
        <w:div w:id="1782190461">
          <w:marLeft w:val="0"/>
          <w:marRight w:val="0"/>
          <w:marTop w:val="0"/>
          <w:marBottom w:val="0"/>
          <w:divBdr>
            <w:top w:val="none" w:sz="0" w:space="0" w:color="auto"/>
            <w:left w:val="none" w:sz="0" w:space="0" w:color="auto"/>
            <w:bottom w:val="none" w:sz="0" w:space="0" w:color="auto"/>
            <w:right w:val="none" w:sz="0" w:space="0" w:color="auto"/>
          </w:divBdr>
          <w:divsChild>
            <w:div w:id="1780640535">
              <w:marLeft w:val="0"/>
              <w:marRight w:val="0"/>
              <w:marTop w:val="0"/>
              <w:marBottom w:val="0"/>
              <w:divBdr>
                <w:top w:val="none" w:sz="0" w:space="0" w:color="auto"/>
                <w:left w:val="none" w:sz="0" w:space="0" w:color="auto"/>
                <w:bottom w:val="none" w:sz="0" w:space="0" w:color="auto"/>
                <w:right w:val="none" w:sz="0" w:space="0" w:color="auto"/>
              </w:divBdr>
              <w:divsChild>
                <w:div w:id="998265628">
                  <w:marLeft w:val="0"/>
                  <w:marRight w:val="0"/>
                  <w:marTop w:val="0"/>
                  <w:marBottom w:val="0"/>
                  <w:divBdr>
                    <w:top w:val="none" w:sz="0" w:space="0" w:color="auto"/>
                    <w:left w:val="none" w:sz="0" w:space="0" w:color="auto"/>
                    <w:bottom w:val="none" w:sz="0" w:space="0" w:color="auto"/>
                    <w:right w:val="none" w:sz="0" w:space="0" w:color="auto"/>
                  </w:divBdr>
                  <w:divsChild>
                    <w:div w:id="37126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747707">
      <w:bodyDiv w:val="1"/>
      <w:marLeft w:val="0"/>
      <w:marRight w:val="0"/>
      <w:marTop w:val="0"/>
      <w:marBottom w:val="0"/>
      <w:divBdr>
        <w:top w:val="none" w:sz="0" w:space="0" w:color="auto"/>
        <w:left w:val="none" w:sz="0" w:space="0" w:color="auto"/>
        <w:bottom w:val="none" w:sz="0" w:space="0" w:color="auto"/>
        <w:right w:val="none" w:sz="0" w:space="0" w:color="auto"/>
      </w:divBdr>
      <w:divsChild>
        <w:div w:id="1022324317">
          <w:marLeft w:val="0"/>
          <w:marRight w:val="0"/>
          <w:marTop w:val="0"/>
          <w:marBottom w:val="0"/>
          <w:divBdr>
            <w:top w:val="none" w:sz="0" w:space="0" w:color="auto"/>
            <w:left w:val="none" w:sz="0" w:space="0" w:color="auto"/>
            <w:bottom w:val="none" w:sz="0" w:space="0" w:color="auto"/>
            <w:right w:val="none" w:sz="0" w:space="0" w:color="auto"/>
          </w:divBdr>
          <w:divsChild>
            <w:div w:id="1651054081">
              <w:marLeft w:val="0"/>
              <w:marRight w:val="0"/>
              <w:marTop w:val="0"/>
              <w:marBottom w:val="0"/>
              <w:divBdr>
                <w:top w:val="none" w:sz="0" w:space="0" w:color="auto"/>
                <w:left w:val="none" w:sz="0" w:space="0" w:color="auto"/>
                <w:bottom w:val="none" w:sz="0" w:space="0" w:color="auto"/>
                <w:right w:val="none" w:sz="0" w:space="0" w:color="auto"/>
              </w:divBdr>
              <w:divsChild>
                <w:div w:id="278879388">
                  <w:marLeft w:val="0"/>
                  <w:marRight w:val="0"/>
                  <w:marTop w:val="0"/>
                  <w:marBottom w:val="0"/>
                  <w:divBdr>
                    <w:top w:val="none" w:sz="0" w:space="0" w:color="auto"/>
                    <w:left w:val="none" w:sz="0" w:space="0" w:color="auto"/>
                    <w:bottom w:val="none" w:sz="0" w:space="0" w:color="auto"/>
                    <w:right w:val="none" w:sz="0" w:space="0" w:color="auto"/>
                  </w:divBdr>
                  <w:divsChild>
                    <w:div w:id="14143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196926">
      <w:bodyDiv w:val="1"/>
      <w:marLeft w:val="0"/>
      <w:marRight w:val="0"/>
      <w:marTop w:val="0"/>
      <w:marBottom w:val="0"/>
      <w:divBdr>
        <w:top w:val="none" w:sz="0" w:space="0" w:color="auto"/>
        <w:left w:val="none" w:sz="0" w:space="0" w:color="auto"/>
        <w:bottom w:val="none" w:sz="0" w:space="0" w:color="auto"/>
        <w:right w:val="none" w:sz="0" w:space="0" w:color="auto"/>
      </w:divBdr>
    </w:div>
    <w:div w:id="767458150">
      <w:bodyDiv w:val="1"/>
      <w:marLeft w:val="0"/>
      <w:marRight w:val="0"/>
      <w:marTop w:val="0"/>
      <w:marBottom w:val="0"/>
      <w:divBdr>
        <w:top w:val="none" w:sz="0" w:space="0" w:color="auto"/>
        <w:left w:val="none" w:sz="0" w:space="0" w:color="auto"/>
        <w:bottom w:val="none" w:sz="0" w:space="0" w:color="auto"/>
        <w:right w:val="none" w:sz="0" w:space="0" w:color="auto"/>
      </w:divBdr>
    </w:div>
    <w:div w:id="806166124">
      <w:bodyDiv w:val="1"/>
      <w:marLeft w:val="0"/>
      <w:marRight w:val="0"/>
      <w:marTop w:val="0"/>
      <w:marBottom w:val="0"/>
      <w:divBdr>
        <w:top w:val="none" w:sz="0" w:space="0" w:color="auto"/>
        <w:left w:val="none" w:sz="0" w:space="0" w:color="auto"/>
        <w:bottom w:val="none" w:sz="0" w:space="0" w:color="auto"/>
        <w:right w:val="none" w:sz="0" w:space="0" w:color="auto"/>
      </w:divBdr>
      <w:divsChild>
        <w:div w:id="362244748">
          <w:marLeft w:val="0"/>
          <w:marRight w:val="0"/>
          <w:marTop w:val="0"/>
          <w:marBottom w:val="0"/>
          <w:divBdr>
            <w:top w:val="none" w:sz="0" w:space="0" w:color="auto"/>
            <w:left w:val="none" w:sz="0" w:space="0" w:color="auto"/>
            <w:bottom w:val="none" w:sz="0" w:space="0" w:color="auto"/>
            <w:right w:val="none" w:sz="0" w:space="0" w:color="auto"/>
          </w:divBdr>
          <w:divsChild>
            <w:div w:id="430587809">
              <w:marLeft w:val="0"/>
              <w:marRight w:val="0"/>
              <w:marTop w:val="0"/>
              <w:marBottom w:val="0"/>
              <w:divBdr>
                <w:top w:val="none" w:sz="0" w:space="0" w:color="auto"/>
                <w:left w:val="none" w:sz="0" w:space="0" w:color="auto"/>
                <w:bottom w:val="none" w:sz="0" w:space="0" w:color="auto"/>
                <w:right w:val="none" w:sz="0" w:space="0" w:color="auto"/>
              </w:divBdr>
              <w:divsChild>
                <w:div w:id="1622834796">
                  <w:marLeft w:val="0"/>
                  <w:marRight w:val="0"/>
                  <w:marTop w:val="0"/>
                  <w:marBottom w:val="0"/>
                  <w:divBdr>
                    <w:top w:val="none" w:sz="0" w:space="0" w:color="auto"/>
                    <w:left w:val="none" w:sz="0" w:space="0" w:color="auto"/>
                    <w:bottom w:val="none" w:sz="0" w:space="0" w:color="auto"/>
                    <w:right w:val="none" w:sz="0" w:space="0" w:color="auto"/>
                  </w:divBdr>
                  <w:divsChild>
                    <w:div w:id="212804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934263">
      <w:bodyDiv w:val="1"/>
      <w:marLeft w:val="0"/>
      <w:marRight w:val="0"/>
      <w:marTop w:val="0"/>
      <w:marBottom w:val="0"/>
      <w:divBdr>
        <w:top w:val="none" w:sz="0" w:space="0" w:color="auto"/>
        <w:left w:val="none" w:sz="0" w:space="0" w:color="auto"/>
        <w:bottom w:val="none" w:sz="0" w:space="0" w:color="auto"/>
        <w:right w:val="none" w:sz="0" w:space="0" w:color="auto"/>
      </w:divBdr>
    </w:div>
    <w:div w:id="1093430269">
      <w:bodyDiv w:val="1"/>
      <w:marLeft w:val="0"/>
      <w:marRight w:val="0"/>
      <w:marTop w:val="0"/>
      <w:marBottom w:val="0"/>
      <w:divBdr>
        <w:top w:val="none" w:sz="0" w:space="0" w:color="auto"/>
        <w:left w:val="none" w:sz="0" w:space="0" w:color="auto"/>
        <w:bottom w:val="none" w:sz="0" w:space="0" w:color="auto"/>
        <w:right w:val="none" w:sz="0" w:space="0" w:color="auto"/>
      </w:divBdr>
      <w:divsChild>
        <w:div w:id="1002321869">
          <w:marLeft w:val="0"/>
          <w:marRight w:val="0"/>
          <w:marTop w:val="0"/>
          <w:marBottom w:val="0"/>
          <w:divBdr>
            <w:top w:val="none" w:sz="0" w:space="0" w:color="auto"/>
            <w:left w:val="none" w:sz="0" w:space="0" w:color="auto"/>
            <w:bottom w:val="none" w:sz="0" w:space="0" w:color="auto"/>
            <w:right w:val="none" w:sz="0" w:space="0" w:color="auto"/>
          </w:divBdr>
          <w:divsChild>
            <w:div w:id="908730038">
              <w:marLeft w:val="0"/>
              <w:marRight w:val="0"/>
              <w:marTop w:val="0"/>
              <w:marBottom w:val="0"/>
              <w:divBdr>
                <w:top w:val="none" w:sz="0" w:space="0" w:color="auto"/>
                <w:left w:val="none" w:sz="0" w:space="0" w:color="auto"/>
                <w:bottom w:val="none" w:sz="0" w:space="0" w:color="auto"/>
                <w:right w:val="none" w:sz="0" w:space="0" w:color="auto"/>
              </w:divBdr>
              <w:divsChild>
                <w:div w:id="414016353">
                  <w:marLeft w:val="0"/>
                  <w:marRight w:val="0"/>
                  <w:marTop w:val="0"/>
                  <w:marBottom w:val="0"/>
                  <w:divBdr>
                    <w:top w:val="none" w:sz="0" w:space="0" w:color="auto"/>
                    <w:left w:val="none" w:sz="0" w:space="0" w:color="auto"/>
                    <w:bottom w:val="none" w:sz="0" w:space="0" w:color="auto"/>
                    <w:right w:val="none" w:sz="0" w:space="0" w:color="auto"/>
                  </w:divBdr>
                  <w:divsChild>
                    <w:div w:id="911351497">
                      <w:marLeft w:val="0"/>
                      <w:marRight w:val="0"/>
                      <w:marTop w:val="0"/>
                      <w:marBottom w:val="0"/>
                      <w:divBdr>
                        <w:top w:val="none" w:sz="0" w:space="0" w:color="auto"/>
                        <w:left w:val="none" w:sz="0" w:space="0" w:color="auto"/>
                        <w:bottom w:val="none" w:sz="0" w:space="0" w:color="auto"/>
                        <w:right w:val="none" w:sz="0" w:space="0" w:color="auto"/>
                      </w:divBdr>
                      <w:divsChild>
                        <w:div w:id="1026369585">
                          <w:marLeft w:val="0"/>
                          <w:marRight w:val="0"/>
                          <w:marTop w:val="0"/>
                          <w:marBottom w:val="0"/>
                          <w:divBdr>
                            <w:top w:val="none" w:sz="0" w:space="0" w:color="auto"/>
                            <w:left w:val="none" w:sz="0" w:space="0" w:color="auto"/>
                            <w:bottom w:val="none" w:sz="0" w:space="0" w:color="auto"/>
                            <w:right w:val="none" w:sz="0" w:space="0" w:color="auto"/>
                          </w:divBdr>
                          <w:divsChild>
                            <w:div w:id="1575436114">
                              <w:marLeft w:val="0"/>
                              <w:marRight w:val="0"/>
                              <w:marTop w:val="0"/>
                              <w:marBottom w:val="0"/>
                              <w:divBdr>
                                <w:top w:val="none" w:sz="0" w:space="0" w:color="auto"/>
                                <w:left w:val="none" w:sz="0" w:space="0" w:color="auto"/>
                                <w:bottom w:val="none" w:sz="0" w:space="0" w:color="auto"/>
                                <w:right w:val="none" w:sz="0" w:space="0" w:color="auto"/>
                              </w:divBdr>
                              <w:divsChild>
                                <w:div w:id="1039477849">
                                  <w:marLeft w:val="0"/>
                                  <w:marRight w:val="0"/>
                                  <w:marTop w:val="0"/>
                                  <w:marBottom w:val="0"/>
                                  <w:divBdr>
                                    <w:top w:val="none" w:sz="0" w:space="0" w:color="auto"/>
                                    <w:left w:val="none" w:sz="0" w:space="0" w:color="auto"/>
                                    <w:bottom w:val="none" w:sz="0" w:space="0" w:color="auto"/>
                                    <w:right w:val="none" w:sz="0" w:space="0" w:color="auto"/>
                                  </w:divBdr>
                                  <w:divsChild>
                                    <w:div w:id="86410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353258">
                          <w:marLeft w:val="0"/>
                          <w:marRight w:val="0"/>
                          <w:marTop w:val="0"/>
                          <w:marBottom w:val="0"/>
                          <w:divBdr>
                            <w:top w:val="none" w:sz="0" w:space="0" w:color="auto"/>
                            <w:left w:val="none" w:sz="0" w:space="0" w:color="auto"/>
                            <w:bottom w:val="none" w:sz="0" w:space="0" w:color="auto"/>
                            <w:right w:val="none" w:sz="0" w:space="0" w:color="auto"/>
                          </w:divBdr>
                          <w:divsChild>
                            <w:div w:id="850528308">
                              <w:marLeft w:val="0"/>
                              <w:marRight w:val="0"/>
                              <w:marTop w:val="0"/>
                              <w:marBottom w:val="0"/>
                              <w:divBdr>
                                <w:top w:val="none" w:sz="0" w:space="0" w:color="auto"/>
                                <w:left w:val="none" w:sz="0" w:space="0" w:color="auto"/>
                                <w:bottom w:val="none" w:sz="0" w:space="0" w:color="auto"/>
                                <w:right w:val="none" w:sz="0" w:space="0" w:color="auto"/>
                              </w:divBdr>
                              <w:divsChild>
                                <w:div w:id="1323697727">
                                  <w:marLeft w:val="0"/>
                                  <w:marRight w:val="0"/>
                                  <w:marTop w:val="0"/>
                                  <w:marBottom w:val="0"/>
                                  <w:divBdr>
                                    <w:top w:val="none" w:sz="0" w:space="0" w:color="auto"/>
                                    <w:left w:val="none" w:sz="0" w:space="0" w:color="auto"/>
                                    <w:bottom w:val="none" w:sz="0" w:space="0" w:color="auto"/>
                                    <w:right w:val="none" w:sz="0" w:space="0" w:color="auto"/>
                                  </w:divBdr>
                                  <w:divsChild>
                                    <w:div w:id="166195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1657979">
      <w:bodyDiv w:val="1"/>
      <w:marLeft w:val="0"/>
      <w:marRight w:val="0"/>
      <w:marTop w:val="0"/>
      <w:marBottom w:val="0"/>
      <w:divBdr>
        <w:top w:val="none" w:sz="0" w:space="0" w:color="auto"/>
        <w:left w:val="none" w:sz="0" w:space="0" w:color="auto"/>
        <w:bottom w:val="none" w:sz="0" w:space="0" w:color="auto"/>
        <w:right w:val="none" w:sz="0" w:space="0" w:color="auto"/>
      </w:divBdr>
    </w:div>
    <w:div w:id="1848903583">
      <w:bodyDiv w:val="1"/>
      <w:marLeft w:val="0"/>
      <w:marRight w:val="0"/>
      <w:marTop w:val="0"/>
      <w:marBottom w:val="0"/>
      <w:divBdr>
        <w:top w:val="none" w:sz="0" w:space="0" w:color="auto"/>
        <w:left w:val="none" w:sz="0" w:space="0" w:color="auto"/>
        <w:bottom w:val="none" w:sz="0" w:space="0" w:color="auto"/>
        <w:right w:val="none" w:sz="0" w:space="0" w:color="auto"/>
      </w:divBdr>
    </w:div>
    <w:div w:id="2073307078">
      <w:bodyDiv w:val="1"/>
      <w:marLeft w:val="0"/>
      <w:marRight w:val="0"/>
      <w:marTop w:val="0"/>
      <w:marBottom w:val="0"/>
      <w:divBdr>
        <w:top w:val="none" w:sz="0" w:space="0" w:color="auto"/>
        <w:left w:val="none" w:sz="0" w:space="0" w:color="auto"/>
        <w:bottom w:val="none" w:sz="0" w:space="0" w:color="auto"/>
        <w:right w:val="none" w:sz="0" w:space="0" w:color="auto"/>
      </w:divBdr>
    </w:div>
    <w:div w:id="2117669887">
      <w:bodyDiv w:val="1"/>
      <w:marLeft w:val="0"/>
      <w:marRight w:val="0"/>
      <w:marTop w:val="0"/>
      <w:marBottom w:val="0"/>
      <w:divBdr>
        <w:top w:val="none" w:sz="0" w:space="0" w:color="auto"/>
        <w:left w:val="none" w:sz="0" w:space="0" w:color="auto"/>
        <w:bottom w:val="none" w:sz="0" w:space="0" w:color="auto"/>
        <w:right w:val="none" w:sz="0" w:space="0" w:color="auto"/>
      </w:divBdr>
      <w:divsChild>
        <w:div w:id="2093118058">
          <w:marLeft w:val="0"/>
          <w:marRight w:val="0"/>
          <w:marTop w:val="0"/>
          <w:marBottom w:val="0"/>
          <w:divBdr>
            <w:top w:val="none" w:sz="0" w:space="0" w:color="auto"/>
            <w:left w:val="none" w:sz="0" w:space="0" w:color="auto"/>
            <w:bottom w:val="none" w:sz="0" w:space="0" w:color="auto"/>
            <w:right w:val="none" w:sz="0" w:space="0" w:color="auto"/>
          </w:divBdr>
          <w:divsChild>
            <w:div w:id="1076903006">
              <w:marLeft w:val="0"/>
              <w:marRight w:val="0"/>
              <w:marTop w:val="0"/>
              <w:marBottom w:val="0"/>
              <w:divBdr>
                <w:top w:val="none" w:sz="0" w:space="0" w:color="auto"/>
                <w:left w:val="none" w:sz="0" w:space="0" w:color="auto"/>
                <w:bottom w:val="none" w:sz="0" w:space="0" w:color="auto"/>
                <w:right w:val="none" w:sz="0" w:space="0" w:color="auto"/>
              </w:divBdr>
              <w:divsChild>
                <w:div w:id="388768465">
                  <w:marLeft w:val="0"/>
                  <w:marRight w:val="0"/>
                  <w:marTop w:val="0"/>
                  <w:marBottom w:val="0"/>
                  <w:divBdr>
                    <w:top w:val="none" w:sz="0" w:space="0" w:color="auto"/>
                    <w:left w:val="none" w:sz="0" w:space="0" w:color="auto"/>
                    <w:bottom w:val="none" w:sz="0" w:space="0" w:color="auto"/>
                    <w:right w:val="none" w:sz="0" w:space="0" w:color="auto"/>
                  </w:divBdr>
                  <w:divsChild>
                    <w:div w:id="209231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image" Target="media/image7.jpeg" /><Relationship Id="rId18" Type="http://schemas.openxmlformats.org/officeDocument/2006/relationships/hyperlink" Target="https://doi.org/10.3389/fphar.2017.00077" TargetMode="External" /><Relationship Id="rId26" Type="http://schemas.openxmlformats.org/officeDocument/2006/relationships/hyperlink" Target="https://doi.org/10.5530/pj.2016.4.9" TargetMode="External" /><Relationship Id="rId3" Type="http://schemas.openxmlformats.org/officeDocument/2006/relationships/settings" Target="settings.xml" /><Relationship Id="rId21" Type="http://schemas.openxmlformats.org/officeDocument/2006/relationships/hyperlink" Target="https://doi.org/10.1073/pnas.0914009107" TargetMode="External" /><Relationship Id="rId34" Type="http://schemas.openxmlformats.org/officeDocument/2006/relationships/fontTable" Target="fontTable.xml" /><Relationship Id="rId7" Type="http://schemas.openxmlformats.org/officeDocument/2006/relationships/image" Target="media/image1.jpeg" /><Relationship Id="rId12" Type="http://schemas.openxmlformats.org/officeDocument/2006/relationships/image" Target="media/image6.jpeg" /><Relationship Id="rId17" Type="http://schemas.openxmlformats.org/officeDocument/2006/relationships/hyperlink" Target="https://doi.org/10.1016/j.cld.2013.07.005" TargetMode="External" /><Relationship Id="rId25" Type="http://schemas.openxmlformats.org/officeDocument/2006/relationships/hyperlink" Target="https://doi.org/10.1016/j.cgh.2015.05.001" TargetMode="External" /><Relationship Id="rId33" Type="http://schemas.openxmlformats.org/officeDocument/2006/relationships/footer" Target="footer3.xml" /><Relationship Id="rId2" Type="http://schemas.openxmlformats.org/officeDocument/2006/relationships/styles" Target="styles.xml" /><Relationship Id="rId16" Type="http://schemas.openxmlformats.org/officeDocument/2006/relationships/image" Target="media/image10.jpeg" /><Relationship Id="rId20" Type="http://schemas.openxmlformats.org/officeDocument/2006/relationships/hyperlink" Target="https://doi.org/10.1016/j.heliyon.2021.e06648" TargetMode="External" /><Relationship Id="rId29" Type="http://schemas.openxmlformats.org/officeDocument/2006/relationships/header" Target="header2.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5.jpeg" /><Relationship Id="rId24" Type="http://schemas.openxmlformats.org/officeDocument/2006/relationships/hyperlink" Target="https://doi.org/10.1097/01.NPR.0000586020.15798.c6" TargetMode="External" /><Relationship Id="rId32" Type="http://schemas.openxmlformats.org/officeDocument/2006/relationships/header" Target="header3.xml" /><Relationship Id="rId5" Type="http://schemas.openxmlformats.org/officeDocument/2006/relationships/footnotes" Target="footnotes.xml" /><Relationship Id="rId15" Type="http://schemas.openxmlformats.org/officeDocument/2006/relationships/image" Target="media/image9.jpeg" /><Relationship Id="rId23" Type="http://schemas.openxmlformats.org/officeDocument/2006/relationships/hyperlink" Target="https://doi.org/10.4172/2153-2435.1000e13" TargetMode="External" /><Relationship Id="rId28" Type="http://schemas.openxmlformats.org/officeDocument/2006/relationships/header" Target="header1.xml" /><Relationship Id="rId10" Type="http://schemas.openxmlformats.org/officeDocument/2006/relationships/image" Target="media/image4.jpeg" /><Relationship Id="rId19" Type="http://schemas.openxmlformats.org/officeDocument/2006/relationships/hyperlink" Target="https://doi.org/10.4254/wjh.v12.i4.125" TargetMode="External" /><Relationship Id="rId31"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image" Target="media/image3.jpeg" /><Relationship Id="rId14" Type="http://schemas.openxmlformats.org/officeDocument/2006/relationships/image" Target="media/image8.jpeg" /><Relationship Id="rId22" Type="http://schemas.openxmlformats.org/officeDocument/2006/relationships/hyperlink" Target="https://doi.org/10.1016/j.fct.2020.111282" TargetMode="External" /><Relationship Id="rId27" Type="http://schemas.openxmlformats.org/officeDocument/2006/relationships/hyperlink" Target="https://doi.org/10.4172/2161-1009.1000144" TargetMode="External" /><Relationship Id="rId30" Type="http://schemas.openxmlformats.org/officeDocument/2006/relationships/footer" Target="footer1.xml" /><Relationship Id="rId3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5162</Words>
  <Characters>29428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BIODUN</dc:creator>
  <cp:lastModifiedBy>abiodun aborisade</cp:lastModifiedBy>
  <cp:revision>2</cp:revision>
  <dcterms:created xsi:type="dcterms:W3CDTF">2025-03-15T18:29:00Z</dcterms:created>
  <dcterms:modified xsi:type="dcterms:W3CDTF">2025-03-15T18:29:00Z</dcterms:modified>
</cp:coreProperties>
</file>