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21C64" w14:textId="77777777" w:rsidR="00CD0CD6" w:rsidRDefault="00CD0CD6" w:rsidP="00E66107">
      <w:pPr>
        <w:spacing w:after="0" w:line="360" w:lineRule="auto"/>
        <w:jc w:val="both"/>
        <w:rPr>
          <w:rFonts w:ascii="Times New Roman" w:hAnsi="Times New Roman" w:cs="Times New Roman"/>
          <w:b/>
          <w:sz w:val="24"/>
          <w:szCs w:val="24"/>
        </w:rPr>
      </w:pPr>
      <w:r w:rsidRPr="00E66107">
        <w:rPr>
          <w:rFonts w:ascii="Times New Roman" w:hAnsi="Times New Roman" w:cs="Times New Roman"/>
          <w:b/>
          <w:sz w:val="24"/>
          <w:szCs w:val="24"/>
        </w:rPr>
        <w:t xml:space="preserve">Hepatoprotective effect of </w:t>
      </w:r>
      <w:r w:rsidRPr="00E66107">
        <w:rPr>
          <w:rFonts w:ascii="Times New Roman" w:eastAsia="Times New Roman" w:hAnsi="Times New Roman" w:cs="Times New Roman"/>
          <w:b/>
          <w:i/>
          <w:iCs/>
          <w:sz w:val="24"/>
          <w:szCs w:val="24"/>
        </w:rPr>
        <w:t>Anogeissus leiocarpus</w:t>
      </w:r>
      <w:r w:rsidRPr="00E66107">
        <w:rPr>
          <w:rFonts w:ascii="Times New Roman" w:eastAsia="Times New Roman" w:hAnsi="Times New Roman" w:cs="Times New Roman"/>
          <w:b/>
          <w:sz w:val="24"/>
          <w:szCs w:val="24"/>
        </w:rPr>
        <w:t xml:space="preserve"> against </w:t>
      </w:r>
      <w:r w:rsidRPr="00E66107">
        <w:rPr>
          <w:rFonts w:ascii="Times New Roman" w:hAnsi="Times New Roman" w:cs="Times New Roman"/>
          <w:b/>
          <w:sz w:val="24"/>
          <w:szCs w:val="24"/>
        </w:rPr>
        <w:t>Carbon tetrachloride-induced toxicity in rat liver damage</w:t>
      </w:r>
    </w:p>
    <w:p w14:paraId="032BCF87" w14:textId="77777777" w:rsidR="00D65229" w:rsidRPr="00E66107" w:rsidRDefault="00D65229" w:rsidP="00E66107">
      <w:pPr>
        <w:spacing w:after="0" w:line="360" w:lineRule="auto"/>
        <w:jc w:val="both"/>
        <w:rPr>
          <w:rFonts w:ascii="Times New Roman" w:hAnsi="Times New Roman" w:cs="Times New Roman"/>
          <w:b/>
          <w:sz w:val="24"/>
          <w:szCs w:val="24"/>
        </w:rPr>
      </w:pPr>
    </w:p>
    <w:p w14:paraId="17704225" w14:textId="77777777" w:rsidR="00D26BDA" w:rsidRPr="00E66107" w:rsidRDefault="00D26BDA" w:rsidP="00E66107">
      <w:pPr>
        <w:spacing w:after="0" w:line="360" w:lineRule="auto"/>
        <w:jc w:val="both"/>
        <w:rPr>
          <w:rFonts w:ascii="Times New Roman" w:hAnsi="Times New Roman" w:cs="Times New Roman"/>
          <w:b/>
          <w:sz w:val="24"/>
          <w:szCs w:val="24"/>
        </w:rPr>
      </w:pPr>
    </w:p>
    <w:p w14:paraId="48A639AB" w14:textId="77777777" w:rsidR="007C4941" w:rsidRPr="00E66107" w:rsidRDefault="007C4941" w:rsidP="00E66107">
      <w:pPr>
        <w:spacing w:after="0" w:line="360" w:lineRule="auto"/>
        <w:jc w:val="both"/>
        <w:rPr>
          <w:rFonts w:ascii="Times New Roman" w:hAnsi="Times New Roman" w:cs="Times New Roman"/>
          <w:b/>
          <w:sz w:val="24"/>
          <w:szCs w:val="24"/>
        </w:rPr>
      </w:pPr>
      <w:r w:rsidRPr="00E66107">
        <w:rPr>
          <w:rFonts w:ascii="Times New Roman" w:hAnsi="Times New Roman" w:cs="Times New Roman"/>
          <w:b/>
          <w:sz w:val="24"/>
          <w:szCs w:val="24"/>
        </w:rPr>
        <w:t>ABSTRACT</w:t>
      </w:r>
    </w:p>
    <w:p w14:paraId="2E17BD65" w14:textId="76FEEC11" w:rsidR="00D26BDA" w:rsidRPr="00E66107" w:rsidRDefault="007A4F9F" w:rsidP="00E66107">
      <w:pPr>
        <w:spacing w:after="0" w:line="360" w:lineRule="auto"/>
        <w:jc w:val="both"/>
        <w:rPr>
          <w:rFonts w:ascii="Times New Roman" w:eastAsia="Times New Roman" w:hAnsi="Times New Roman" w:cs="Times New Roman"/>
          <w:sz w:val="24"/>
          <w:szCs w:val="24"/>
        </w:rPr>
      </w:pPr>
      <w:r w:rsidRPr="007A4F9F">
        <w:rPr>
          <w:rFonts w:ascii="Times New Roman" w:eastAsia="Times New Roman" w:hAnsi="Times New Roman" w:cs="Times New Roman"/>
          <w:sz w:val="24"/>
          <w:szCs w:val="24"/>
          <w:highlight w:val="yellow"/>
        </w:rPr>
        <w:t xml:space="preserve">This study evaluated the hepatoprotective, anti-inflammatory, and antiapoptotic effects of aqueous leaf extracts of </w:t>
      </w:r>
      <w:r w:rsidRPr="00972DFD">
        <w:rPr>
          <w:rFonts w:ascii="Times New Roman" w:eastAsia="Times New Roman" w:hAnsi="Times New Roman" w:cs="Times New Roman"/>
          <w:i/>
          <w:sz w:val="24"/>
          <w:szCs w:val="24"/>
          <w:highlight w:val="yellow"/>
        </w:rPr>
        <w:t>Anogeissus leiocarpus</w:t>
      </w:r>
      <w:r w:rsidRPr="007A4F9F">
        <w:rPr>
          <w:rFonts w:ascii="Times New Roman" w:eastAsia="Times New Roman" w:hAnsi="Times New Roman" w:cs="Times New Roman"/>
          <w:sz w:val="24"/>
          <w:szCs w:val="24"/>
          <w:highlight w:val="yellow"/>
        </w:rPr>
        <w:t xml:space="preserve"> (ALEAL) in mitigating carbon tetrachloride-induced liver damage in male Wistar rats.</w:t>
      </w:r>
      <w:r w:rsidRPr="007A4F9F">
        <w:rPr>
          <w:rFonts w:ascii="Times New Roman" w:eastAsia="Times New Roman" w:hAnsi="Times New Roman" w:cs="Times New Roman"/>
          <w:sz w:val="24"/>
          <w:szCs w:val="24"/>
        </w:rPr>
        <w:t xml:space="preserve"> </w:t>
      </w:r>
      <w:r w:rsidR="007C4941" w:rsidRPr="00E66107">
        <w:rPr>
          <w:rFonts w:ascii="Times New Roman" w:eastAsia="Times New Roman" w:hAnsi="Times New Roman" w:cs="Times New Roman"/>
          <w:sz w:val="24"/>
          <w:szCs w:val="24"/>
        </w:rPr>
        <w:t>Liver diseases are a critical global health challenge often resulting from the reactive free radicals that can bind covalently to cellular macromolecules forming nucleic acid, protein and lipids adducts. Carbon tetrachloride (CCl</w:t>
      </w:r>
      <w:r w:rsidR="007C4941" w:rsidRPr="00E66107">
        <w:rPr>
          <w:rFonts w:ascii="Times New Roman" w:eastAsia="Times New Roman" w:hAnsi="Times New Roman" w:cs="Times New Roman"/>
          <w:sz w:val="24"/>
          <w:szCs w:val="24"/>
          <w:vertAlign w:val="subscript"/>
        </w:rPr>
        <w:t>4</w:t>
      </w:r>
      <w:r w:rsidR="007C4941" w:rsidRPr="000A4404">
        <w:rPr>
          <w:rFonts w:ascii="Times New Roman" w:eastAsia="Times New Roman" w:hAnsi="Times New Roman" w:cs="Times New Roman"/>
          <w:sz w:val="24"/>
          <w:szCs w:val="24"/>
          <w:highlight w:val="yellow"/>
        </w:rPr>
        <w:t xml:space="preserve">) is </w:t>
      </w:r>
      <w:r w:rsidR="00484A1D" w:rsidRPr="000A4404">
        <w:rPr>
          <w:rFonts w:ascii="Times New Roman" w:eastAsia="Times New Roman" w:hAnsi="Times New Roman" w:cs="Times New Roman"/>
          <w:sz w:val="24"/>
          <w:szCs w:val="24"/>
          <w:highlight w:val="yellow"/>
        </w:rPr>
        <w:t xml:space="preserve">a </w:t>
      </w:r>
      <w:r w:rsidR="00786D4E" w:rsidRPr="000A4404">
        <w:rPr>
          <w:rFonts w:ascii="Times New Roman" w:eastAsia="Times New Roman" w:hAnsi="Times New Roman" w:cs="Times New Roman"/>
          <w:sz w:val="24"/>
          <w:szCs w:val="24"/>
          <w:highlight w:val="yellow"/>
        </w:rPr>
        <w:t xml:space="preserve">leading </w:t>
      </w:r>
      <w:r w:rsidR="00786D4E" w:rsidRPr="00E66107">
        <w:rPr>
          <w:rFonts w:ascii="Times New Roman" w:eastAsia="Times New Roman" w:hAnsi="Times New Roman" w:cs="Times New Roman"/>
          <w:sz w:val="24"/>
          <w:szCs w:val="24"/>
        </w:rPr>
        <w:t>cause of hepatotoxicity</w:t>
      </w:r>
      <w:r w:rsidR="007C4941" w:rsidRPr="00E66107">
        <w:rPr>
          <w:rFonts w:ascii="Times New Roman" w:eastAsia="Times New Roman" w:hAnsi="Times New Roman" w:cs="Times New Roman"/>
          <w:sz w:val="24"/>
          <w:szCs w:val="24"/>
        </w:rPr>
        <w:t>, attributed to oxidative stress, inflammation, and apoptosis through the induction of hypomethylated ribosomal RNA, resulting in inhibition of protein synthesis and CCl</w:t>
      </w:r>
      <w:r w:rsidR="007C4941" w:rsidRPr="00E66107">
        <w:rPr>
          <w:rFonts w:ascii="Times New Roman" w:eastAsia="Times New Roman" w:hAnsi="Times New Roman" w:cs="Times New Roman"/>
          <w:sz w:val="24"/>
          <w:szCs w:val="24"/>
          <w:vertAlign w:val="subscript"/>
        </w:rPr>
        <w:t>4</w:t>
      </w:r>
      <w:r w:rsidR="007C4941" w:rsidRPr="00E66107">
        <w:rPr>
          <w:rFonts w:ascii="Times New Roman" w:eastAsia="Times New Roman" w:hAnsi="Times New Roman" w:cs="Times New Roman"/>
          <w:sz w:val="24"/>
          <w:szCs w:val="24"/>
        </w:rPr>
        <w:t xml:space="preserve"> can</w:t>
      </w:r>
      <w:r w:rsidR="007C4941" w:rsidRPr="00E66107">
        <w:rPr>
          <w:rFonts w:ascii="Times New Roman" w:hAnsi="Times New Roman" w:cs="Times New Roman"/>
          <w:sz w:val="24"/>
          <w:szCs w:val="24"/>
        </w:rPr>
        <w:t xml:space="preserve"> affect hepatocellular structure of the liver</w:t>
      </w:r>
      <w:r w:rsidR="007C4941" w:rsidRPr="00E66107">
        <w:rPr>
          <w:rFonts w:ascii="Times New Roman" w:eastAsia="Times New Roman" w:hAnsi="Times New Roman" w:cs="Times New Roman"/>
          <w:sz w:val="24"/>
          <w:szCs w:val="24"/>
        </w:rPr>
        <w:t xml:space="preserve">. The hepatoprotective potential of aqueous leaf extract of </w:t>
      </w:r>
      <w:r w:rsidR="007C4941" w:rsidRPr="00E66107">
        <w:rPr>
          <w:rFonts w:ascii="Times New Roman" w:eastAsia="Times New Roman" w:hAnsi="Times New Roman" w:cs="Times New Roman"/>
          <w:i/>
          <w:iCs/>
          <w:sz w:val="24"/>
          <w:szCs w:val="24"/>
        </w:rPr>
        <w:t>Anogeissus leiocarpus</w:t>
      </w:r>
      <w:r w:rsidR="007C4941" w:rsidRPr="00E66107">
        <w:rPr>
          <w:rFonts w:ascii="Times New Roman" w:eastAsia="Times New Roman" w:hAnsi="Times New Roman" w:cs="Times New Roman"/>
          <w:sz w:val="24"/>
          <w:szCs w:val="24"/>
        </w:rPr>
        <w:t xml:space="preserve"> (ALEAL) was evaluated in male Wistar rats </w:t>
      </w:r>
      <w:r w:rsidR="007C4941" w:rsidRPr="000A4404">
        <w:rPr>
          <w:rFonts w:ascii="Times New Roman" w:eastAsia="Times New Roman" w:hAnsi="Times New Roman" w:cs="Times New Roman"/>
          <w:sz w:val="24"/>
          <w:szCs w:val="24"/>
          <w:highlight w:val="yellow"/>
        </w:rPr>
        <w:t xml:space="preserve">using </w:t>
      </w:r>
      <w:r w:rsidR="00484A1D" w:rsidRPr="000A4404">
        <w:rPr>
          <w:rFonts w:ascii="Times New Roman" w:eastAsia="Times New Roman" w:hAnsi="Times New Roman" w:cs="Times New Roman"/>
          <w:sz w:val="24"/>
          <w:szCs w:val="24"/>
          <w:highlight w:val="yellow"/>
        </w:rPr>
        <w:t xml:space="preserve">a </w:t>
      </w:r>
      <w:r w:rsidR="007C4941" w:rsidRPr="000A4404">
        <w:rPr>
          <w:rFonts w:ascii="Times New Roman" w:eastAsia="Times New Roman" w:hAnsi="Times New Roman" w:cs="Times New Roman"/>
          <w:sz w:val="24"/>
          <w:szCs w:val="24"/>
          <w:highlight w:val="yellow"/>
        </w:rPr>
        <w:t>CCl</w:t>
      </w:r>
      <w:r w:rsidR="007C4941" w:rsidRPr="00E66107">
        <w:rPr>
          <w:rFonts w:ascii="Times New Roman" w:eastAsia="Times New Roman" w:hAnsi="Times New Roman" w:cs="Times New Roman"/>
          <w:sz w:val="24"/>
          <w:szCs w:val="24"/>
          <w:vertAlign w:val="subscript"/>
        </w:rPr>
        <w:t>4</w:t>
      </w:r>
      <w:r w:rsidR="007C4941" w:rsidRPr="00E66107">
        <w:rPr>
          <w:rFonts w:ascii="Times New Roman" w:eastAsia="Times New Roman" w:hAnsi="Times New Roman" w:cs="Times New Roman"/>
          <w:sz w:val="24"/>
          <w:szCs w:val="24"/>
        </w:rPr>
        <w:t xml:space="preserve">-induced hepatotoxicity model. </w:t>
      </w:r>
      <w:r w:rsidR="007C4941" w:rsidRPr="00666195">
        <w:rPr>
          <w:rFonts w:ascii="Times New Roman" w:eastAsia="Times New Roman" w:hAnsi="Times New Roman" w:cs="Times New Roman"/>
          <w:sz w:val="24"/>
          <w:szCs w:val="24"/>
        </w:rPr>
        <w:t xml:space="preserve">Statistical analyses were performed using Graph </w:t>
      </w:r>
      <w:r w:rsidR="007C4941" w:rsidRPr="00473691">
        <w:rPr>
          <w:rFonts w:ascii="Times New Roman" w:eastAsia="Times New Roman" w:hAnsi="Times New Roman" w:cs="Times New Roman"/>
          <w:sz w:val="24"/>
          <w:szCs w:val="24"/>
        </w:rPr>
        <w:t xml:space="preserve">pad Prism 9 with significance different at </w:t>
      </w:r>
      <w:r w:rsidR="007C4941" w:rsidRPr="00473691">
        <w:rPr>
          <w:rFonts w:ascii="Times New Roman" w:eastAsia="Times New Roman" w:hAnsi="Times New Roman" w:cs="Times New Roman"/>
          <w:i/>
          <w:sz w:val="24"/>
          <w:szCs w:val="24"/>
        </w:rPr>
        <w:t>P</w:t>
      </w:r>
      <w:r w:rsidR="007C4941" w:rsidRPr="00473691">
        <w:rPr>
          <w:rFonts w:ascii="Times New Roman" w:eastAsia="Times New Roman" w:hAnsi="Times New Roman" w:cs="Times New Roman"/>
          <w:sz w:val="24"/>
          <w:szCs w:val="24"/>
        </w:rPr>
        <w:t>&lt;0.05.</w:t>
      </w:r>
      <w:r>
        <w:rPr>
          <w:rFonts w:ascii="Times New Roman" w:eastAsia="Times New Roman" w:hAnsi="Times New Roman" w:cs="Times New Roman"/>
          <w:sz w:val="24"/>
          <w:szCs w:val="24"/>
        </w:rPr>
        <w:t xml:space="preserve"> </w:t>
      </w:r>
      <w:r w:rsidR="007C4941" w:rsidRPr="00E66107">
        <w:rPr>
          <w:rFonts w:ascii="Times New Roman" w:eastAsia="Times New Roman" w:hAnsi="Times New Roman" w:cs="Times New Roman"/>
          <w:sz w:val="24"/>
          <w:szCs w:val="24"/>
        </w:rPr>
        <w:t>Elevated liver function enzymes (ALT, AST, and ALP) observed in CCl</w:t>
      </w:r>
      <w:r w:rsidR="007C4941" w:rsidRPr="00E66107">
        <w:rPr>
          <w:rFonts w:ascii="Times New Roman" w:eastAsia="Times New Roman" w:hAnsi="Times New Roman" w:cs="Times New Roman"/>
          <w:sz w:val="24"/>
          <w:szCs w:val="24"/>
          <w:vertAlign w:val="subscript"/>
        </w:rPr>
        <w:t>4</w:t>
      </w:r>
      <w:r w:rsidR="007C4941" w:rsidRPr="00E66107">
        <w:rPr>
          <w:rFonts w:ascii="Times New Roman" w:eastAsia="Times New Roman" w:hAnsi="Times New Roman" w:cs="Times New Roman"/>
          <w:sz w:val="24"/>
          <w:szCs w:val="24"/>
        </w:rPr>
        <w:t xml:space="preserve"> groups </w:t>
      </w:r>
      <w:r w:rsidR="00484A1D" w:rsidRPr="000A4404">
        <w:rPr>
          <w:rFonts w:ascii="Times New Roman" w:eastAsia="Times New Roman" w:hAnsi="Times New Roman" w:cs="Times New Roman"/>
          <w:sz w:val="24"/>
          <w:szCs w:val="24"/>
          <w:highlight w:val="yellow"/>
        </w:rPr>
        <w:t xml:space="preserve">were </w:t>
      </w:r>
      <w:r w:rsidR="007C4941" w:rsidRPr="000A4404">
        <w:rPr>
          <w:rFonts w:ascii="Times New Roman" w:eastAsia="Times New Roman" w:hAnsi="Times New Roman" w:cs="Times New Roman"/>
          <w:sz w:val="24"/>
          <w:szCs w:val="24"/>
          <w:highlight w:val="yellow"/>
        </w:rPr>
        <w:t xml:space="preserve">significantly </w:t>
      </w:r>
      <w:r w:rsidR="00666195">
        <w:rPr>
          <w:rFonts w:ascii="Times New Roman" w:eastAsia="Times New Roman" w:hAnsi="Times New Roman" w:cs="Times New Roman"/>
          <w:sz w:val="24"/>
          <w:szCs w:val="24"/>
        </w:rPr>
        <w:t xml:space="preserve">(P&lt;0.05) </w:t>
      </w:r>
      <w:r w:rsidR="007C4941" w:rsidRPr="00E66107">
        <w:rPr>
          <w:rFonts w:ascii="Times New Roman" w:eastAsia="Times New Roman" w:hAnsi="Times New Roman" w:cs="Times New Roman"/>
          <w:sz w:val="24"/>
          <w:szCs w:val="24"/>
        </w:rPr>
        <w:t>reversed by ALEAL treatment</w:t>
      </w:r>
      <w:r w:rsidR="00666195">
        <w:rPr>
          <w:rFonts w:ascii="Times New Roman" w:eastAsia="Times New Roman" w:hAnsi="Times New Roman" w:cs="Times New Roman"/>
          <w:sz w:val="24"/>
          <w:szCs w:val="24"/>
        </w:rPr>
        <w:t>s (115 and 230 mg/kg)</w:t>
      </w:r>
      <w:r w:rsidR="007C4941" w:rsidRPr="00E66107">
        <w:rPr>
          <w:rFonts w:ascii="Times New Roman" w:eastAsia="Times New Roman" w:hAnsi="Times New Roman" w:cs="Times New Roman"/>
          <w:sz w:val="24"/>
          <w:szCs w:val="24"/>
        </w:rPr>
        <w:t>. The Pro-inflammatory markers (IL-6 and TNF-α) were significantly decreased (P&lt;0.05) in ALEAL-treated groups</w:t>
      </w:r>
      <w:r w:rsidR="00666195">
        <w:rPr>
          <w:rFonts w:ascii="Times New Roman" w:eastAsia="Times New Roman" w:hAnsi="Times New Roman" w:cs="Times New Roman"/>
          <w:sz w:val="24"/>
          <w:szCs w:val="24"/>
        </w:rPr>
        <w:t xml:space="preserve"> (115 and 230 mg/kg)</w:t>
      </w:r>
      <w:r w:rsidR="007C4941" w:rsidRPr="00E66107">
        <w:rPr>
          <w:rFonts w:ascii="Times New Roman" w:eastAsia="Times New Roman" w:hAnsi="Times New Roman" w:cs="Times New Roman"/>
          <w:sz w:val="24"/>
          <w:szCs w:val="24"/>
        </w:rPr>
        <w:t xml:space="preserve"> but significantly increased (P&lt;0.05) in </w:t>
      </w:r>
      <w:r w:rsidR="00484A1D" w:rsidRPr="000A4404">
        <w:rPr>
          <w:rFonts w:ascii="Times New Roman" w:eastAsia="Times New Roman" w:hAnsi="Times New Roman" w:cs="Times New Roman"/>
          <w:sz w:val="24"/>
          <w:szCs w:val="24"/>
          <w:highlight w:val="yellow"/>
        </w:rPr>
        <w:t xml:space="preserve">the </w:t>
      </w:r>
      <w:r w:rsidR="007C4941" w:rsidRPr="000A4404">
        <w:rPr>
          <w:rFonts w:ascii="Times New Roman" w:eastAsia="Times New Roman" w:hAnsi="Times New Roman" w:cs="Times New Roman"/>
          <w:sz w:val="24"/>
          <w:szCs w:val="24"/>
          <w:highlight w:val="yellow"/>
        </w:rPr>
        <w:t>untr</w:t>
      </w:r>
      <w:r w:rsidR="007C4941" w:rsidRPr="00E66107">
        <w:rPr>
          <w:rFonts w:ascii="Times New Roman" w:eastAsia="Times New Roman" w:hAnsi="Times New Roman" w:cs="Times New Roman"/>
          <w:sz w:val="24"/>
          <w:szCs w:val="24"/>
        </w:rPr>
        <w:t>eated group. Histological analysis revealed preserved liver architecture and reduced steatosis, necrosis, and fibrosis in ALEAL-treated groups.</w:t>
      </w:r>
      <w:r w:rsidR="001B378A">
        <w:rPr>
          <w:rFonts w:ascii="Times New Roman" w:eastAsia="Times New Roman" w:hAnsi="Times New Roman" w:cs="Times New Roman"/>
          <w:sz w:val="24"/>
          <w:szCs w:val="24"/>
        </w:rPr>
        <w:t xml:space="preserve"> </w:t>
      </w:r>
      <w:r w:rsidR="001B378A" w:rsidRPr="001B378A">
        <w:rPr>
          <w:rFonts w:ascii="Times New Roman" w:eastAsia="Times New Roman" w:hAnsi="Times New Roman" w:cs="Times New Roman"/>
          <w:sz w:val="24"/>
          <w:szCs w:val="24"/>
          <w:highlight w:val="yellow"/>
        </w:rPr>
        <w:t>The study demonstrated that Anogeissus leiocarpus possesses potent hepatoprotective properties mediated through its antioxidant, and anti-inflammatory activities.</w:t>
      </w:r>
      <w:r w:rsidR="001B378A">
        <w:rPr>
          <w:rFonts w:ascii="Times New Roman" w:eastAsia="Times New Roman" w:hAnsi="Times New Roman" w:cs="Times New Roman"/>
          <w:sz w:val="24"/>
          <w:szCs w:val="24"/>
        </w:rPr>
        <w:t xml:space="preserve"> </w:t>
      </w:r>
      <w:r w:rsidR="007C4941" w:rsidRPr="00E66107">
        <w:rPr>
          <w:rFonts w:ascii="Times New Roman" w:eastAsia="Times New Roman" w:hAnsi="Times New Roman" w:cs="Times New Roman"/>
          <w:sz w:val="24"/>
          <w:szCs w:val="24"/>
        </w:rPr>
        <w:t xml:space="preserve">The findings validate the traditional use of </w:t>
      </w:r>
      <w:r w:rsidR="007C4941" w:rsidRPr="00E66107">
        <w:rPr>
          <w:rFonts w:ascii="Times New Roman" w:eastAsia="Times New Roman" w:hAnsi="Times New Roman" w:cs="Times New Roman"/>
          <w:i/>
          <w:iCs/>
          <w:sz w:val="24"/>
          <w:szCs w:val="24"/>
        </w:rPr>
        <w:t>Anogeissus leiocarpus</w:t>
      </w:r>
      <w:r w:rsidR="007C4941" w:rsidRPr="00E66107">
        <w:rPr>
          <w:rFonts w:ascii="Times New Roman" w:eastAsia="Times New Roman" w:hAnsi="Times New Roman" w:cs="Times New Roman"/>
          <w:sz w:val="24"/>
          <w:szCs w:val="24"/>
        </w:rPr>
        <w:t xml:space="preserve"> for liver ailments and highlight its potential as a natural alternative for managing hepatotoxicity. </w:t>
      </w:r>
    </w:p>
    <w:p w14:paraId="5FC9975E" w14:textId="52F3FD2E" w:rsidR="00D26BDA" w:rsidRDefault="00D26BDA" w:rsidP="00E66107">
      <w:pPr>
        <w:pStyle w:val="NormalWeb"/>
        <w:jc w:val="both"/>
      </w:pPr>
      <w:r w:rsidRPr="00E66107">
        <w:rPr>
          <w:b/>
          <w:bCs/>
        </w:rPr>
        <w:t>Keywords</w:t>
      </w:r>
      <w:r w:rsidRPr="00E66107">
        <w:t xml:space="preserve">: </w:t>
      </w:r>
      <w:r w:rsidRPr="00E66107">
        <w:rPr>
          <w:rStyle w:val="Strong"/>
          <w:rFonts w:eastAsiaTheme="majorEastAsia"/>
        </w:rPr>
        <w:t>Carbon tetrachloride-induced hepatotoxicity</w:t>
      </w:r>
      <w:r w:rsidRPr="00E66107">
        <w:t xml:space="preserve">, </w:t>
      </w:r>
      <w:r w:rsidRPr="00E66107">
        <w:rPr>
          <w:b/>
          <w:i/>
          <w:iCs/>
        </w:rPr>
        <w:t>Anogeissus leiocarpus</w:t>
      </w:r>
      <w:r w:rsidRPr="00E66107">
        <w:rPr>
          <w:b/>
        </w:rPr>
        <w:t>,</w:t>
      </w:r>
      <w:r w:rsidRPr="00E66107">
        <w:t xml:space="preserve"> </w:t>
      </w:r>
      <w:r w:rsidR="00C93C15" w:rsidRPr="00E66107">
        <w:rPr>
          <w:rStyle w:val="Strong"/>
          <w:rFonts w:eastAsiaTheme="majorEastAsia"/>
        </w:rPr>
        <w:t xml:space="preserve">liver functions </w:t>
      </w:r>
      <w:r w:rsidRPr="00E66107">
        <w:rPr>
          <w:rStyle w:val="Strong"/>
          <w:rFonts w:eastAsiaTheme="majorEastAsia"/>
        </w:rPr>
        <w:t>assays</w:t>
      </w:r>
      <w:r w:rsidRPr="00E66107">
        <w:t xml:space="preserve">, </w:t>
      </w:r>
      <w:r w:rsidRPr="00E66107">
        <w:rPr>
          <w:rStyle w:val="Strong"/>
          <w:rFonts w:eastAsiaTheme="majorEastAsia"/>
        </w:rPr>
        <w:t>inflammation</w:t>
      </w:r>
      <w:r w:rsidRPr="00E66107">
        <w:t xml:space="preserve">, and </w:t>
      </w:r>
      <w:r w:rsidRPr="00E66107">
        <w:rPr>
          <w:rStyle w:val="Strong"/>
          <w:rFonts w:eastAsiaTheme="majorEastAsia"/>
        </w:rPr>
        <w:t>hepatoprotective agents</w:t>
      </w:r>
    </w:p>
    <w:p w14:paraId="39113F45" w14:textId="65B50F68" w:rsidR="00B34A59" w:rsidRDefault="00B34A59" w:rsidP="00E66107">
      <w:pPr>
        <w:pStyle w:val="NormalWeb"/>
        <w:jc w:val="both"/>
      </w:pPr>
    </w:p>
    <w:p w14:paraId="6E1D04B6" w14:textId="6A4AA497" w:rsidR="00B34A59" w:rsidRDefault="00B34A59" w:rsidP="00E66107">
      <w:pPr>
        <w:pStyle w:val="NormalWeb"/>
        <w:jc w:val="both"/>
      </w:pPr>
    </w:p>
    <w:p w14:paraId="4C99130A" w14:textId="77777777" w:rsidR="00B34A59" w:rsidRPr="00E66107" w:rsidRDefault="00B34A59" w:rsidP="00E66107">
      <w:pPr>
        <w:pStyle w:val="NormalWeb"/>
        <w:jc w:val="both"/>
      </w:pPr>
    </w:p>
    <w:p w14:paraId="53C0DC85" w14:textId="77777777" w:rsidR="007C4941" w:rsidRPr="00E66107" w:rsidRDefault="00D26BDA" w:rsidP="00E66107">
      <w:pPr>
        <w:pStyle w:val="ListParagraph"/>
        <w:tabs>
          <w:tab w:val="left" w:pos="90"/>
        </w:tabs>
        <w:spacing w:after="0" w:line="360" w:lineRule="auto"/>
        <w:ind w:left="0"/>
        <w:jc w:val="both"/>
        <w:rPr>
          <w:rFonts w:ascii="Times New Roman" w:hAnsi="Times New Roman" w:cs="Times New Roman"/>
          <w:b/>
          <w:sz w:val="24"/>
          <w:szCs w:val="24"/>
        </w:rPr>
      </w:pPr>
      <w:r w:rsidRPr="00E66107">
        <w:rPr>
          <w:rFonts w:ascii="Times New Roman" w:hAnsi="Times New Roman" w:cs="Times New Roman"/>
          <w:b/>
          <w:sz w:val="24"/>
          <w:szCs w:val="24"/>
        </w:rPr>
        <w:lastRenderedPageBreak/>
        <w:t>Introduction</w:t>
      </w:r>
    </w:p>
    <w:p w14:paraId="28D8BF52" w14:textId="296F4359" w:rsidR="007C4941" w:rsidRDefault="007C4941" w:rsidP="00F24A0B">
      <w:pPr>
        <w:tabs>
          <w:tab w:val="left" w:pos="90"/>
        </w:tabs>
        <w:spacing w:after="0" w:line="360" w:lineRule="auto"/>
        <w:jc w:val="both"/>
        <w:rPr>
          <w:rFonts w:ascii="Times New Roman" w:hAnsi="Times New Roman" w:cs="Times New Roman"/>
          <w:sz w:val="24"/>
          <w:szCs w:val="24"/>
        </w:rPr>
      </w:pPr>
      <w:r w:rsidRPr="00E66107">
        <w:rPr>
          <w:rFonts w:ascii="Times New Roman" w:hAnsi="Times New Roman" w:cs="Times New Roman"/>
          <w:sz w:val="24"/>
          <w:szCs w:val="24"/>
        </w:rPr>
        <w:t xml:space="preserve">The liver is a primary structural and functional organ in mammals, performing numerous critical tasks, including bile secretion, bilirubin metabolism, nutrient processing, production of immune agents for infection control, and the metabolism of xenobiotics (Nagy </w:t>
      </w:r>
      <w:r w:rsidRPr="00E66107">
        <w:rPr>
          <w:rFonts w:ascii="Times New Roman" w:hAnsi="Times New Roman" w:cs="Times New Roman"/>
          <w:i/>
          <w:sz w:val="24"/>
          <w:szCs w:val="24"/>
        </w:rPr>
        <w:t>et al</w:t>
      </w:r>
      <w:r w:rsidRPr="00E66107">
        <w:rPr>
          <w:rFonts w:ascii="Times New Roman" w:hAnsi="Times New Roman" w:cs="Times New Roman"/>
          <w:sz w:val="24"/>
          <w:szCs w:val="24"/>
        </w:rPr>
        <w:t xml:space="preserve">., 2020). As a metabolically active organ, the liver is responsible for the biotransformation and clearance of foreign substances (xenobiotics and hepatotoxins), making it a key target for drugs and pathogens that could potentially damage liver cells and impair its function (Hong </w:t>
      </w:r>
      <w:r w:rsidRPr="00E66107">
        <w:rPr>
          <w:rFonts w:ascii="Times New Roman" w:hAnsi="Times New Roman" w:cs="Times New Roman"/>
          <w:i/>
          <w:sz w:val="24"/>
          <w:szCs w:val="24"/>
        </w:rPr>
        <w:t>et al</w:t>
      </w:r>
      <w:r w:rsidRPr="00E66107">
        <w:rPr>
          <w:rFonts w:ascii="Times New Roman" w:hAnsi="Times New Roman" w:cs="Times New Roman"/>
          <w:sz w:val="24"/>
          <w:szCs w:val="24"/>
        </w:rPr>
        <w:t xml:space="preserve">., 2009). In 2020, Globocan reported more than 75,000 new liver </w:t>
      </w:r>
      <w:r w:rsidRPr="000A4404">
        <w:rPr>
          <w:rFonts w:ascii="Times New Roman" w:hAnsi="Times New Roman" w:cs="Times New Roman"/>
          <w:sz w:val="24"/>
          <w:szCs w:val="24"/>
          <w:highlight w:val="yellow"/>
        </w:rPr>
        <w:t>disease cas</w:t>
      </w:r>
      <w:r w:rsidRPr="00E66107">
        <w:rPr>
          <w:rFonts w:ascii="Times New Roman" w:hAnsi="Times New Roman" w:cs="Times New Roman"/>
          <w:sz w:val="24"/>
          <w:szCs w:val="24"/>
        </w:rPr>
        <w:t xml:space="preserve">es in Nigeria. The mortality rate from liver diseases is increasing, and the number of new cases is projected to rise by over 50% in the next 20 years (GLOBOCAN, 2020). Self-medication, drug overdose, contaminated food or water consumption and exposure to pollutants (such as inhaled chemicals) have contributed to a rise in liver damage (Elbery </w:t>
      </w:r>
      <w:r w:rsidRPr="00E66107">
        <w:rPr>
          <w:rFonts w:ascii="Times New Roman" w:hAnsi="Times New Roman" w:cs="Times New Roman"/>
          <w:i/>
          <w:sz w:val="24"/>
          <w:szCs w:val="24"/>
        </w:rPr>
        <w:t>et al</w:t>
      </w:r>
      <w:r w:rsidRPr="00E66107">
        <w:rPr>
          <w:rFonts w:ascii="Times New Roman" w:hAnsi="Times New Roman" w:cs="Times New Roman"/>
          <w:sz w:val="24"/>
          <w:szCs w:val="24"/>
        </w:rPr>
        <w:t>., 2010).</w:t>
      </w:r>
      <w:r w:rsidR="00F24A0B">
        <w:rPr>
          <w:rFonts w:ascii="Times New Roman" w:hAnsi="Times New Roman" w:cs="Times New Roman"/>
          <w:sz w:val="24"/>
          <w:szCs w:val="24"/>
        </w:rPr>
        <w:t xml:space="preserve"> </w:t>
      </w:r>
      <w:r w:rsidR="009548DC">
        <w:rPr>
          <w:rFonts w:ascii="Times New Roman" w:hAnsi="Times New Roman" w:cs="Times New Roman"/>
          <w:sz w:val="24"/>
          <w:szCs w:val="24"/>
        </w:rPr>
        <w:t>“</w:t>
      </w:r>
      <w:r w:rsidR="00F24A0B" w:rsidRPr="000A4404">
        <w:rPr>
          <w:rFonts w:ascii="Times New Roman" w:hAnsi="Times New Roman" w:cs="Times New Roman"/>
          <w:sz w:val="24"/>
          <w:szCs w:val="24"/>
          <w:highlight w:val="yellow"/>
        </w:rPr>
        <w:t>Oxidative stress is a state that reflects imbalance between reactive oxygen species (ROS) production and their elimination by enzymatic and non-enzymatic antioxidants. Excessive production of ROS causes potential biological damage resulting in many forms of cancer, atherosclerosis, cataracts, neurodegenerative diseases and a plethora of other diseases, as well as premature aging. Medicinal herbs as a rich source of natural antioxidants are enjoying a high profile at present. Several phytochemicals, herbal extracts and food additives are blessed with multifaceted therapeutic benefits through a cascade of molecular events</w:t>
      </w:r>
      <w:r w:rsidR="009548DC">
        <w:rPr>
          <w:rFonts w:ascii="Times New Roman" w:hAnsi="Times New Roman" w:cs="Times New Roman"/>
          <w:sz w:val="24"/>
          <w:szCs w:val="24"/>
          <w:highlight w:val="yellow"/>
        </w:rPr>
        <w:t>”</w:t>
      </w:r>
      <w:r w:rsidR="00F24A0B" w:rsidRPr="000A4404">
        <w:rPr>
          <w:rFonts w:ascii="Times New Roman" w:hAnsi="Times New Roman" w:cs="Times New Roman"/>
          <w:sz w:val="24"/>
          <w:szCs w:val="24"/>
          <w:highlight w:val="yellow"/>
        </w:rPr>
        <w:t xml:space="preserve"> (Sumran and Aggarwal, 2019</w:t>
      </w:r>
      <w:r w:rsidR="001D14D1">
        <w:rPr>
          <w:rFonts w:ascii="Times New Roman" w:hAnsi="Times New Roman" w:cs="Times New Roman"/>
          <w:sz w:val="24"/>
          <w:szCs w:val="24"/>
          <w:highlight w:val="yellow"/>
        </w:rPr>
        <w:t xml:space="preserve">; </w:t>
      </w:r>
      <w:r w:rsidR="001D14D1" w:rsidRPr="000A4404">
        <w:rPr>
          <w:rFonts w:ascii="Times New Roman" w:hAnsi="Times New Roman" w:cs="Times New Roman"/>
          <w:sz w:val="24"/>
          <w:szCs w:val="24"/>
          <w:highlight w:val="yellow"/>
        </w:rPr>
        <w:t>Ouattara et al., 2024</w:t>
      </w:r>
      <w:r w:rsidR="00F24A0B" w:rsidRPr="000A4404">
        <w:rPr>
          <w:rFonts w:ascii="Times New Roman" w:hAnsi="Times New Roman" w:cs="Times New Roman"/>
          <w:sz w:val="24"/>
          <w:szCs w:val="24"/>
          <w:highlight w:val="yellow"/>
        </w:rPr>
        <w:t>).</w:t>
      </w:r>
    </w:p>
    <w:p w14:paraId="0B200F6A" w14:textId="67FC0C21" w:rsidR="000530C1" w:rsidRDefault="000530C1" w:rsidP="00E66107">
      <w:pPr>
        <w:tabs>
          <w:tab w:val="left" w:pos="90"/>
        </w:tabs>
        <w:spacing w:after="0" w:line="360" w:lineRule="auto"/>
        <w:jc w:val="both"/>
        <w:rPr>
          <w:rFonts w:ascii="Times New Roman" w:hAnsi="Times New Roman" w:cs="Times New Roman"/>
          <w:sz w:val="24"/>
          <w:szCs w:val="24"/>
        </w:rPr>
      </w:pPr>
    </w:p>
    <w:p w14:paraId="1E3080F0" w14:textId="77777777" w:rsidR="007C4941" w:rsidRPr="00E66107" w:rsidRDefault="007C4941" w:rsidP="00E66107">
      <w:pPr>
        <w:tabs>
          <w:tab w:val="left" w:pos="90"/>
        </w:tabs>
        <w:spacing w:after="0" w:line="360" w:lineRule="auto"/>
        <w:jc w:val="both"/>
        <w:rPr>
          <w:rFonts w:ascii="Times New Roman" w:hAnsi="Times New Roman" w:cs="Times New Roman"/>
          <w:sz w:val="24"/>
          <w:szCs w:val="24"/>
        </w:rPr>
      </w:pPr>
    </w:p>
    <w:p w14:paraId="45CF29FD" w14:textId="380CE96F" w:rsidR="007C4941" w:rsidRPr="00E66107" w:rsidRDefault="009548DC" w:rsidP="00E66107">
      <w:pPr>
        <w:tabs>
          <w:tab w:val="left" w:pos="9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7C4941" w:rsidRPr="00E66107">
        <w:rPr>
          <w:rFonts w:ascii="Times New Roman" w:hAnsi="Times New Roman" w:cs="Times New Roman"/>
          <w:sz w:val="24"/>
          <w:szCs w:val="24"/>
        </w:rPr>
        <w:t>Carbon tetrachloride (CCl</w:t>
      </w:r>
      <w:r w:rsidR="007C4941" w:rsidRPr="00E66107">
        <w:rPr>
          <w:rFonts w:ascii="Times New Roman" w:hAnsi="Times New Roman" w:cs="Times New Roman"/>
          <w:sz w:val="24"/>
          <w:szCs w:val="24"/>
          <w:vertAlign w:val="subscript"/>
        </w:rPr>
        <w:t>4</w:t>
      </w:r>
      <w:r w:rsidR="007C4941" w:rsidRPr="00E66107">
        <w:rPr>
          <w:rFonts w:ascii="Times New Roman" w:hAnsi="Times New Roman" w:cs="Times New Roman"/>
          <w:sz w:val="24"/>
          <w:szCs w:val="24"/>
        </w:rPr>
        <w:t>)-induced hepatic damage results in hepatotoxicity through the generation of free radicals (trichloromethyl peroxyl) and reactive oxygen species (ROS), ultimately causing liver harm. CCl</w:t>
      </w:r>
      <w:r w:rsidR="007C4941" w:rsidRPr="00E66107">
        <w:rPr>
          <w:rFonts w:ascii="Times New Roman" w:hAnsi="Times New Roman" w:cs="Times New Roman"/>
          <w:sz w:val="24"/>
          <w:szCs w:val="24"/>
          <w:vertAlign w:val="subscript"/>
        </w:rPr>
        <w:t>4</w:t>
      </w:r>
      <w:r w:rsidR="007C4941" w:rsidRPr="00E66107">
        <w:rPr>
          <w:rFonts w:ascii="Times New Roman" w:hAnsi="Times New Roman" w:cs="Times New Roman"/>
          <w:sz w:val="24"/>
          <w:szCs w:val="24"/>
        </w:rPr>
        <w:t xml:space="preserve"> is a colorless organic liquid with a sweet odor and minimal flammability at low temperatures</w:t>
      </w:r>
      <w:r>
        <w:rPr>
          <w:rFonts w:ascii="Times New Roman" w:hAnsi="Times New Roman" w:cs="Times New Roman"/>
          <w:sz w:val="24"/>
          <w:szCs w:val="24"/>
        </w:rPr>
        <w:t>”</w:t>
      </w:r>
      <w:r w:rsidR="007C4941" w:rsidRPr="00E66107">
        <w:rPr>
          <w:rFonts w:ascii="Times New Roman" w:hAnsi="Times New Roman" w:cs="Times New Roman"/>
          <w:sz w:val="24"/>
          <w:szCs w:val="24"/>
        </w:rPr>
        <w:t xml:space="preserve"> (Frank </w:t>
      </w:r>
      <w:r w:rsidR="007C4941" w:rsidRPr="00E66107">
        <w:rPr>
          <w:rFonts w:ascii="Times New Roman" w:hAnsi="Times New Roman" w:cs="Times New Roman"/>
          <w:i/>
          <w:sz w:val="24"/>
          <w:szCs w:val="24"/>
        </w:rPr>
        <w:t>et al</w:t>
      </w:r>
      <w:r w:rsidR="007C4941" w:rsidRPr="00E66107">
        <w:rPr>
          <w:rFonts w:ascii="Times New Roman" w:hAnsi="Times New Roman" w:cs="Times New Roman"/>
          <w:sz w:val="24"/>
          <w:szCs w:val="24"/>
        </w:rPr>
        <w:t xml:space="preserve">., 2020). </w:t>
      </w:r>
      <w:r>
        <w:rPr>
          <w:rFonts w:ascii="Times New Roman" w:hAnsi="Times New Roman" w:cs="Times New Roman"/>
          <w:sz w:val="24"/>
          <w:szCs w:val="24"/>
        </w:rPr>
        <w:t>“</w:t>
      </w:r>
      <w:r w:rsidR="007C4941" w:rsidRPr="00E66107">
        <w:rPr>
          <w:rFonts w:ascii="Times New Roman" w:hAnsi="Times New Roman" w:cs="Times New Roman"/>
          <w:sz w:val="24"/>
          <w:szCs w:val="24"/>
        </w:rPr>
        <w:t>Although CCl</w:t>
      </w:r>
      <w:r w:rsidR="007C4941" w:rsidRPr="00E66107">
        <w:rPr>
          <w:rFonts w:ascii="Times New Roman" w:hAnsi="Times New Roman" w:cs="Times New Roman"/>
          <w:sz w:val="24"/>
          <w:szCs w:val="24"/>
          <w:vertAlign w:val="subscript"/>
        </w:rPr>
        <w:t>4</w:t>
      </w:r>
      <w:r w:rsidR="007C4941" w:rsidRPr="00E66107">
        <w:rPr>
          <w:rFonts w:ascii="Times New Roman" w:hAnsi="Times New Roman" w:cs="Times New Roman"/>
          <w:sz w:val="24"/>
          <w:szCs w:val="24"/>
        </w:rPr>
        <w:t xml:space="preserve"> is not a drug</w:t>
      </w:r>
      <w:r w:rsidR="007C4941" w:rsidRPr="000A4404">
        <w:rPr>
          <w:rFonts w:ascii="Times New Roman" w:hAnsi="Times New Roman" w:cs="Times New Roman"/>
          <w:sz w:val="24"/>
          <w:szCs w:val="24"/>
          <w:highlight w:val="yellow"/>
        </w:rPr>
        <w:t>, when</w:t>
      </w:r>
      <w:r w:rsidR="007C4941" w:rsidRPr="00E66107">
        <w:rPr>
          <w:rFonts w:ascii="Times New Roman" w:hAnsi="Times New Roman" w:cs="Times New Roman"/>
          <w:sz w:val="24"/>
          <w:szCs w:val="24"/>
        </w:rPr>
        <w:t xml:space="preserve"> administered in high doses (≥1 mL/kg), it can induce reversible acute liver injury. It is commonly used as a model for xenobiotic-induced liver damage. CCl</w:t>
      </w:r>
      <w:r w:rsidR="007C4941" w:rsidRPr="00E66107">
        <w:rPr>
          <w:rFonts w:ascii="Times New Roman" w:hAnsi="Times New Roman" w:cs="Times New Roman"/>
          <w:sz w:val="24"/>
          <w:szCs w:val="24"/>
          <w:vertAlign w:val="subscript"/>
        </w:rPr>
        <w:t>4</w:t>
      </w:r>
      <w:r w:rsidR="007C4941" w:rsidRPr="00E66107">
        <w:rPr>
          <w:rFonts w:ascii="Times New Roman" w:hAnsi="Times New Roman" w:cs="Times New Roman"/>
          <w:sz w:val="24"/>
          <w:szCs w:val="24"/>
        </w:rPr>
        <w:t xml:space="preserve"> accumulates in the endoplasmic reticulum, where cytochrome P450 enzymes metabolize it into the trichloromethyl radical (CCl</w:t>
      </w:r>
      <w:r w:rsidR="007C4941" w:rsidRPr="00E66107">
        <w:rPr>
          <w:rFonts w:ascii="Times New Roman" w:hAnsi="Times New Roman" w:cs="Times New Roman"/>
          <w:sz w:val="24"/>
          <w:szCs w:val="24"/>
          <w:vertAlign w:val="subscript"/>
        </w:rPr>
        <w:t>3</w:t>
      </w:r>
      <w:r w:rsidR="007C4941" w:rsidRPr="00E66107">
        <w:rPr>
          <w:rFonts w:ascii="Times New Roman" w:hAnsi="Times New Roman" w:cs="Times New Roman"/>
          <w:sz w:val="24"/>
          <w:szCs w:val="24"/>
        </w:rPr>
        <w:t>•). These free radicals initiate lipid peroxidation by extracting hydrogen from polyunsaturated fatty acids</w:t>
      </w:r>
      <w:r>
        <w:rPr>
          <w:rFonts w:ascii="Times New Roman" w:hAnsi="Times New Roman" w:cs="Times New Roman"/>
          <w:sz w:val="24"/>
          <w:szCs w:val="24"/>
        </w:rPr>
        <w:t>”</w:t>
      </w:r>
      <w:r w:rsidR="007C4941" w:rsidRPr="00E66107">
        <w:rPr>
          <w:rFonts w:ascii="Times New Roman" w:hAnsi="Times New Roman" w:cs="Times New Roman"/>
          <w:sz w:val="24"/>
          <w:szCs w:val="24"/>
        </w:rPr>
        <w:t xml:space="preserve"> (Li </w:t>
      </w:r>
      <w:r w:rsidR="007C4941" w:rsidRPr="00E66107">
        <w:rPr>
          <w:rFonts w:ascii="Times New Roman" w:hAnsi="Times New Roman" w:cs="Times New Roman"/>
          <w:i/>
          <w:sz w:val="24"/>
          <w:szCs w:val="24"/>
        </w:rPr>
        <w:t>et al</w:t>
      </w:r>
      <w:r w:rsidR="007C4941" w:rsidRPr="00E66107">
        <w:rPr>
          <w:rFonts w:ascii="Times New Roman" w:hAnsi="Times New Roman" w:cs="Times New Roman"/>
          <w:sz w:val="24"/>
          <w:szCs w:val="24"/>
        </w:rPr>
        <w:t xml:space="preserve">., 2015; Wu </w:t>
      </w:r>
      <w:r w:rsidR="007C4941" w:rsidRPr="00E66107">
        <w:rPr>
          <w:rFonts w:ascii="Times New Roman" w:hAnsi="Times New Roman" w:cs="Times New Roman"/>
          <w:i/>
          <w:sz w:val="24"/>
          <w:szCs w:val="24"/>
        </w:rPr>
        <w:t>et al</w:t>
      </w:r>
      <w:r w:rsidR="007C4941" w:rsidRPr="00E66107">
        <w:rPr>
          <w:rFonts w:ascii="Times New Roman" w:hAnsi="Times New Roman" w:cs="Times New Roman"/>
          <w:sz w:val="24"/>
          <w:szCs w:val="24"/>
        </w:rPr>
        <w:t xml:space="preserve">., 2018). </w:t>
      </w:r>
      <w:r>
        <w:rPr>
          <w:rFonts w:ascii="Times New Roman" w:hAnsi="Times New Roman" w:cs="Times New Roman"/>
          <w:sz w:val="24"/>
          <w:szCs w:val="24"/>
        </w:rPr>
        <w:t>“</w:t>
      </w:r>
      <w:r w:rsidR="007C4941" w:rsidRPr="00E66107">
        <w:rPr>
          <w:rFonts w:ascii="Times New Roman" w:hAnsi="Times New Roman" w:cs="Times New Roman"/>
          <w:sz w:val="24"/>
          <w:szCs w:val="24"/>
        </w:rPr>
        <w:t xml:space="preserve">This process generates an oxidative stress environment, contributing to liver damage and the progression of various liver </w:t>
      </w:r>
      <w:r w:rsidR="007C4941" w:rsidRPr="00E66107">
        <w:rPr>
          <w:rFonts w:ascii="Times New Roman" w:hAnsi="Times New Roman" w:cs="Times New Roman"/>
          <w:sz w:val="24"/>
          <w:szCs w:val="24"/>
        </w:rPr>
        <w:lastRenderedPageBreak/>
        <w:t>diseases due to the release of inflammatory cytokines, such as TNF-α and IL-1β, which accelerate disease onset and development.</w:t>
      </w:r>
    </w:p>
    <w:p w14:paraId="378AAE98" w14:textId="3465D78F" w:rsidR="007C4941" w:rsidRPr="00E66107" w:rsidRDefault="007C4941" w:rsidP="00E66107">
      <w:pPr>
        <w:tabs>
          <w:tab w:val="left" w:pos="90"/>
        </w:tabs>
        <w:spacing w:after="0" w:line="360" w:lineRule="auto"/>
        <w:jc w:val="both"/>
        <w:rPr>
          <w:rFonts w:ascii="Times New Roman" w:hAnsi="Times New Roman" w:cs="Times New Roman"/>
          <w:sz w:val="24"/>
          <w:szCs w:val="24"/>
        </w:rPr>
      </w:pPr>
      <w:r w:rsidRPr="00E66107">
        <w:rPr>
          <w:rFonts w:ascii="Times New Roman" w:hAnsi="Times New Roman" w:cs="Times New Roman"/>
          <w:sz w:val="24"/>
          <w:szCs w:val="24"/>
        </w:rPr>
        <w:t xml:space="preserve">The relationship between oxidative stress and inflammation plays a significant role in injury progression. Inflammatory feedback, cell death (apoptosis), and immune responses activate the NF-κB </w:t>
      </w:r>
      <w:r w:rsidRPr="000A4404">
        <w:rPr>
          <w:rFonts w:ascii="Times New Roman" w:hAnsi="Times New Roman" w:cs="Times New Roman"/>
          <w:sz w:val="24"/>
          <w:szCs w:val="24"/>
          <w:highlight w:val="yellow"/>
        </w:rPr>
        <w:t>signa</w:t>
      </w:r>
      <w:r w:rsidR="00484A1D" w:rsidRPr="000A4404">
        <w:rPr>
          <w:rFonts w:ascii="Times New Roman" w:hAnsi="Times New Roman" w:cs="Times New Roman"/>
          <w:sz w:val="24"/>
          <w:szCs w:val="24"/>
          <w:highlight w:val="yellow"/>
        </w:rPr>
        <w:t>l</w:t>
      </w:r>
      <w:r w:rsidRPr="000A4404">
        <w:rPr>
          <w:rFonts w:ascii="Times New Roman" w:hAnsi="Times New Roman" w:cs="Times New Roman"/>
          <w:sz w:val="24"/>
          <w:szCs w:val="24"/>
          <w:highlight w:val="yellow"/>
        </w:rPr>
        <w:t>ling pa</w:t>
      </w:r>
      <w:r w:rsidRPr="00E66107">
        <w:rPr>
          <w:rFonts w:ascii="Times New Roman" w:hAnsi="Times New Roman" w:cs="Times New Roman"/>
          <w:sz w:val="24"/>
          <w:szCs w:val="24"/>
        </w:rPr>
        <w:t>thway</w:t>
      </w:r>
      <w:r w:rsidR="009548DC">
        <w:rPr>
          <w:rFonts w:ascii="Times New Roman" w:hAnsi="Times New Roman" w:cs="Times New Roman"/>
          <w:sz w:val="24"/>
          <w:szCs w:val="24"/>
        </w:rPr>
        <w:t>”</w:t>
      </w:r>
      <w:r w:rsidRPr="00E66107">
        <w:rPr>
          <w:rFonts w:ascii="Times New Roman" w:hAnsi="Times New Roman" w:cs="Times New Roman"/>
          <w:sz w:val="24"/>
          <w:szCs w:val="24"/>
        </w:rPr>
        <w:t xml:space="preserve"> (Li </w:t>
      </w:r>
      <w:r w:rsidRPr="00E66107">
        <w:rPr>
          <w:rFonts w:ascii="Times New Roman" w:hAnsi="Times New Roman" w:cs="Times New Roman"/>
          <w:i/>
          <w:sz w:val="24"/>
          <w:szCs w:val="24"/>
        </w:rPr>
        <w:t>et al</w:t>
      </w:r>
      <w:r w:rsidRPr="00E66107">
        <w:rPr>
          <w:rFonts w:ascii="Times New Roman" w:hAnsi="Times New Roman" w:cs="Times New Roman"/>
          <w:sz w:val="24"/>
          <w:szCs w:val="24"/>
        </w:rPr>
        <w:t>., 2017). In this context, the exploration of natural compounds with potential protective effects against CCl</w:t>
      </w:r>
      <w:r w:rsidRPr="00E66107">
        <w:rPr>
          <w:rFonts w:ascii="Times New Roman" w:hAnsi="Times New Roman" w:cs="Times New Roman"/>
          <w:sz w:val="24"/>
          <w:szCs w:val="24"/>
          <w:vertAlign w:val="subscript"/>
        </w:rPr>
        <w:t>4</w:t>
      </w:r>
      <w:r w:rsidRPr="00E66107">
        <w:rPr>
          <w:rFonts w:ascii="Times New Roman" w:hAnsi="Times New Roman" w:cs="Times New Roman"/>
          <w:sz w:val="24"/>
          <w:szCs w:val="24"/>
        </w:rPr>
        <w:t>-induced hepatotoxicity becomes crucial.</w:t>
      </w:r>
    </w:p>
    <w:p w14:paraId="5E58D555" w14:textId="77777777" w:rsidR="007C4941" w:rsidRPr="00E66107" w:rsidRDefault="007C4941" w:rsidP="00E66107">
      <w:pPr>
        <w:tabs>
          <w:tab w:val="left" w:pos="90"/>
        </w:tabs>
        <w:spacing w:after="0" w:line="360" w:lineRule="auto"/>
        <w:jc w:val="both"/>
        <w:rPr>
          <w:rFonts w:ascii="Times New Roman" w:hAnsi="Times New Roman" w:cs="Times New Roman"/>
          <w:sz w:val="24"/>
          <w:szCs w:val="24"/>
        </w:rPr>
      </w:pPr>
    </w:p>
    <w:p w14:paraId="10FD0F19" w14:textId="61F750DE" w:rsidR="007C4941" w:rsidRPr="00E66107" w:rsidRDefault="009548DC" w:rsidP="00E66107">
      <w:pPr>
        <w:tabs>
          <w:tab w:val="left" w:pos="9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7C4941" w:rsidRPr="00E66107">
        <w:rPr>
          <w:rFonts w:ascii="Times New Roman" w:hAnsi="Times New Roman" w:cs="Times New Roman"/>
          <w:sz w:val="24"/>
          <w:szCs w:val="24"/>
        </w:rPr>
        <w:t>Several phytochemicals, including Silymarin, have been identified for their hepatoprotective properties, aiding in the treatment of liver poisoning, cirrhosis and chronic hepatitis</w:t>
      </w:r>
      <w:r>
        <w:rPr>
          <w:rFonts w:ascii="Times New Roman" w:hAnsi="Times New Roman" w:cs="Times New Roman"/>
          <w:sz w:val="24"/>
          <w:szCs w:val="24"/>
        </w:rPr>
        <w:t>”</w:t>
      </w:r>
      <w:r w:rsidR="007C4941" w:rsidRPr="00E66107">
        <w:rPr>
          <w:rFonts w:ascii="Times New Roman" w:hAnsi="Times New Roman" w:cs="Times New Roman"/>
          <w:sz w:val="24"/>
          <w:szCs w:val="24"/>
        </w:rPr>
        <w:t xml:space="preserve"> (Abenavoli </w:t>
      </w:r>
      <w:r w:rsidR="007C4941" w:rsidRPr="00E66107">
        <w:rPr>
          <w:rFonts w:ascii="Times New Roman" w:hAnsi="Times New Roman" w:cs="Times New Roman"/>
          <w:i/>
          <w:sz w:val="24"/>
          <w:szCs w:val="24"/>
        </w:rPr>
        <w:t xml:space="preserve">et </w:t>
      </w:r>
      <w:r w:rsidR="007C4941" w:rsidRPr="00E66107">
        <w:rPr>
          <w:rFonts w:ascii="Times New Roman" w:hAnsi="Times New Roman" w:cs="Times New Roman"/>
          <w:sz w:val="24"/>
          <w:szCs w:val="24"/>
        </w:rPr>
        <w:t xml:space="preserve">al., 2018). </w:t>
      </w:r>
      <w:r>
        <w:rPr>
          <w:rFonts w:ascii="Times New Roman" w:hAnsi="Times New Roman" w:cs="Times New Roman"/>
          <w:sz w:val="24"/>
          <w:szCs w:val="24"/>
        </w:rPr>
        <w:t>“</w:t>
      </w:r>
      <w:r w:rsidR="007C4941" w:rsidRPr="00E66107">
        <w:rPr>
          <w:rFonts w:ascii="Times New Roman" w:hAnsi="Times New Roman" w:cs="Times New Roman"/>
          <w:sz w:val="24"/>
          <w:szCs w:val="24"/>
        </w:rPr>
        <w:t xml:space="preserve">Silymarin, a flavonoid extract from </w:t>
      </w:r>
      <w:r w:rsidR="007C4941" w:rsidRPr="00E66107">
        <w:rPr>
          <w:rFonts w:ascii="Times New Roman" w:hAnsi="Times New Roman" w:cs="Times New Roman"/>
          <w:i/>
          <w:sz w:val="24"/>
          <w:szCs w:val="24"/>
        </w:rPr>
        <w:t>Silybum marianum</w:t>
      </w:r>
      <w:r w:rsidR="007C4941" w:rsidRPr="00E66107">
        <w:rPr>
          <w:rFonts w:ascii="Times New Roman" w:hAnsi="Times New Roman" w:cs="Times New Roman"/>
          <w:sz w:val="24"/>
          <w:szCs w:val="24"/>
        </w:rPr>
        <w:t>, has been used to prevent a range of liver diseases</w:t>
      </w:r>
      <w:r>
        <w:rPr>
          <w:rFonts w:ascii="Times New Roman" w:hAnsi="Times New Roman" w:cs="Times New Roman"/>
          <w:sz w:val="24"/>
          <w:szCs w:val="24"/>
        </w:rPr>
        <w:t>”</w:t>
      </w:r>
      <w:r w:rsidR="007C4941" w:rsidRPr="00E66107">
        <w:rPr>
          <w:rFonts w:ascii="Times New Roman" w:hAnsi="Times New Roman" w:cs="Times New Roman"/>
          <w:sz w:val="24"/>
          <w:szCs w:val="24"/>
        </w:rPr>
        <w:t xml:space="preserve"> (Polyak </w:t>
      </w:r>
      <w:r w:rsidR="007C4941" w:rsidRPr="00E66107">
        <w:rPr>
          <w:rFonts w:ascii="Times New Roman" w:hAnsi="Times New Roman" w:cs="Times New Roman"/>
          <w:i/>
          <w:sz w:val="24"/>
          <w:szCs w:val="24"/>
        </w:rPr>
        <w:t>et al</w:t>
      </w:r>
      <w:r w:rsidR="007C4941" w:rsidRPr="00E66107">
        <w:rPr>
          <w:rFonts w:ascii="Times New Roman" w:hAnsi="Times New Roman" w:cs="Times New Roman"/>
          <w:sz w:val="24"/>
          <w:szCs w:val="24"/>
        </w:rPr>
        <w:t xml:space="preserve">., 2010). </w:t>
      </w:r>
      <w:r>
        <w:rPr>
          <w:rFonts w:ascii="Times New Roman" w:hAnsi="Times New Roman" w:cs="Times New Roman"/>
          <w:sz w:val="24"/>
          <w:szCs w:val="24"/>
        </w:rPr>
        <w:t>“</w:t>
      </w:r>
      <w:r w:rsidR="007C4941" w:rsidRPr="00E66107">
        <w:rPr>
          <w:rFonts w:ascii="Times New Roman" w:hAnsi="Times New Roman" w:cs="Times New Roman"/>
          <w:sz w:val="24"/>
          <w:szCs w:val="24"/>
        </w:rPr>
        <w:t>It has been found to act as an antioxidant by reducing free radical production and lipid peroxidation, as well as functioning as a toxin blocker by preventing toxins from binding to the hepatocyte cel</w:t>
      </w:r>
      <w:r w:rsidR="00F63DDA">
        <w:rPr>
          <w:rFonts w:ascii="Times New Roman" w:hAnsi="Times New Roman" w:cs="Times New Roman"/>
          <w:sz w:val="24"/>
          <w:szCs w:val="24"/>
        </w:rPr>
        <w:t>l membrane receptors</w:t>
      </w:r>
      <w:r>
        <w:rPr>
          <w:rFonts w:ascii="Times New Roman" w:hAnsi="Times New Roman" w:cs="Times New Roman"/>
          <w:sz w:val="24"/>
          <w:szCs w:val="24"/>
        </w:rPr>
        <w:t>”</w:t>
      </w:r>
      <w:r w:rsidR="00F63DDA">
        <w:rPr>
          <w:rFonts w:ascii="Times New Roman" w:hAnsi="Times New Roman" w:cs="Times New Roman"/>
          <w:sz w:val="24"/>
          <w:szCs w:val="24"/>
        </w:rPr>
        <w:t xml:space="preserve"> (Abenavoli et al</w:t>
      </w:r>
      <w:r w:rsidR="007C4941" w:rsidRPr="00E66107">
        <w:rPr>
          <w:rFonts w:ascii="Times New Roman" w:hAnsi="Times New Roman" w:cs="Times New Roman"/>
          <w:sz w:val="24"/>
          <w:szCs w:val="24"/>
        </w:rPr>
        <w:t>.</w:t>
      </w:r>
      <w:r w:rsidR="00F63DDA">
        <w:rPr>
          <w:rFonts w:ascii="Times New Roman" w:hAnsi="Times New Roman" w:cs="Times New Roman"/>
          <w:sz w:val="24"/>
          <w:szCs w:val="24"/>
        </w:rPr>
        <w:t>, 2018).</w:t>
      </w:r>
      <w:r w:rsidR="007C4941" w:rsidRPr="00E66107">
        <w:rPr>
          <w:rFonts w:ascii="Times New Roman" w:hAnsi="Times New Roman" w:cs="Times New Roman"/>
          <w:sz w:val="24"/>
          <w:szCs w:val="24"/>
        </w:rPr>
        <w:t xml:space="preserve"> </w:t>
      </w:r>
      <w:r>
        <w:rPr>
          <w:rFonts w:ascii="Times New Roman" w:hAnsi="Times New Roman" w:cs="Times New Roman"/>
          <w:sz w:val="24"/>
          <w:szCs w:val="24"/>
        </w:rPr>
        <w:t>“</w:t>
      </w:r>
      <w:r w:rsidR="007C4941" w:rsidRPr="00E66107">
        <w:rPr>
          <w:rFonts w:ascii="Times New Roman" w:hAnsi="Times New Roman" w:cs="Times New Roman"/>
          <w:sz w:val="24"/>
          <w:szCs w:val="24"/>
        </w:rPr>
        <w:t>Additionally, it reduces superoxide levels through its scavenger activity</w:t>
      </w:r>
      <w:r>
        <w:rPr>
          <w:rFonts w:ascii="Times New Roman" w:hAnsi="Times New Roman" w:cs="Times New Roman"/>
          <w:sz w:val="24"/>
          <w:szCs w:val="24"/>
        </w:rPr>
        <w:t>”</w:t>
      </w:r>
      <w:r w:rsidR="007C4941" w:rsidRPr="00E66107">
        <w:rPr>
          <w:rFonts w:ascii="Times New Roman" w:hAnsi="Times New Roman" w:cs="Times New Roman"/>
          <w:sz w:val="24"/>
          <w:szCs w:val="24"/>
        </w:rPr>
        <w:t xml:space="preserve"> (Papackova </w:t>
      </w:r>
      <w:r w:rsidR="007C4941" w:rsidRPr="00E66107">
        <w:rPr>
          <w:rFonts w:ascii="Times New Roman" w:hAnsi="Times New Roman" w:cs="Times New Roman"/>
          <w:i/>
          <w:sz w:val="24"/>
          <w:szCs w:val="24"/>
        </w:rPr>
        <w:t>et al</w:t>
      </w:r>
      <w:r w:rsidR="007C4941" w:rsidRPr="00E66107">
        <w:rPr>
          <w:rFonts w:ascii="Times New Roman" w:hAnsi="Times New Roman" w:cs="Times New Roman"/>
          <w:sz w:val="24"/>
          <w:szCs w:val="24"/>
        </w:rPr>
        <w:t xml:space="preserve">., 2018). </w:t>
      </w:r>
      <w:r>
        <w:rPr>
          <w:rFonts w:ascii="Times New Roman" w:hAnsi="Times New Roman" w:cs="Times New Roman"/>
          <w:sz w:val="24"/>
          <w:szCs w:val="24"/>
        </w:rPr>
        <w:t>“</w:t>
      </w:r>
      <w:r w:rsidR="007C4941" w:rsidRPr="00E66107">
        <w:rPr>
          <w:rFonts w:ascii="Times New Roman" w:hAnsi="Times New Roman" w:cs="Times New Roman"/>
          <w:sz w:val="24"/>
          <w:szCs w:val="24"/>
        </w:rPr>
        <w:t>Recent studies have indicated that Silymarin can mitigate acute toxic liver injury caused by CCl</w:t>
      </w:r>
      <w:r w:rsidR="007C4941" w:rsidRPr="00E66107">
        <w:rPr>
          <w:rFonts w:ascii="Times New Roman" w:hAnsi="Times New Roman" w:cs="Times New Roman"/>
          <w:sz w:val="24"/>
          <w:szCs w:val="24"/>
          <w:vertAlign w:val="subscript"/>
        </w:rPr>
        <w:t>4</w:t>
      </w:r>
      <w:r w:rsidR="007C4941" w:rsidRPr="00E66107">
        <w:rPr>
          <w:rFonts w:ascii="Times New Roman" w:hAnsi="Times New Roman" w:cs="Times New Roman"/>
          <w:sz w:val="24"/>
          <w:szCs w:val="24"/>
        </w:rPr>
        <w:t xml:space="preserve"> by promoting hepatocyte proliferation and reducing the production of toxic metabolites</w:t>
      </w:r>
      <w:r>
        <w:rPr>
          <w:rFonts w:ascii="Times New Roman" w:hAnsi="Times New Roman" w:cs="Times New Roman"/>
          <w:sz w:val="24"/>
          <w:szCs w:val="24"/>
        </w:rPr>
        <w:t>”</w:t>
      </w:r>
      <w:r w:rsidR="007C4941" w:rsidRPr="00E66107">
        <w:rPr>
          <w:rFonts w:ascii="Times New Roman" w:hAnsi="Times New Roman" w:cs="Times New Roman"/>
          <w:sz w:val="24"/>
          <w:szCs w:val="24"/>
        </w:rPr>
        <w:t xml:space="preserve"> (Elsayed </w:t>
      </w:r>
      <w:r w:rsidR="007C4941" w:rsidRPr="00E66107">
        <w:rPr>
          <w:rFonts w:ascii="Times New Roman" w:hAnsi="Times New Roman" w:cs="Times New Roman"/>
          <w:i/>
          <w:sz w:val="24"/>
          <w:szCs w:val="24"/>
        </w:rPr>
        <w:t>et al</w:t>
      </w:r>
      <w:r w:rsidR="007C4941" w:rsidRPr="00E66107">
        <w:rPr>
          <w:rFonts w:ascii="Times New Roman" w:hAnsi="Times New Roman" w:cs="Times New Roman"/>
          <w:sz w:val="24"/>
          <w:szCs w:val="24"/>
        </w:rPr>
        <w:t xml:space="preserve">., 2020; Yang </w:t>
      </w:r>
      <w:r w:rsidR="00112424">
        <w:rPr>
          <w:rFonts w:ascii="Times New Roman" w:hAnsi="Times New Roman" w:cs="Times New Roman"/>
          <w:i/>
          <w:sz w:val="24"/>
          <w:szCs w:val="24"/>
        </w:rPr>
        <w:t xml:space="preserve">et al., </w:t>
      </w:r>
      <w:r w:rsidR="00112424" w:rsidRPr="00112424">
        <w:rPr>
          <w:rFonts w:ascii="Times New Roman" w:hAnsi="Times New Roman" w:cs="Times New Roman"/>
          <w:sz w:val="24"/>
          <w:szCs w:val="24"/>
        </w:rPr>
        <w:t>2022</w:t>
      </w:r>
      <w:r w:rsidR="007C4941" w:rsidRPr="00E66107">
        <w:rPr>
          <w:rFonts w:ascii="Times New Roman" w:hAnsi="Times New Roman" w:cs="Times New Roman"/>
          <w:sz w:val="24"/>
          <w:szCs w:val="24"/>
        </w:rPr>
        <w:t xml:space="preserve">). However, Silymarin is expensive and not easily accessible. As a result, recent research has focused on the use of natural products derived from plants as an effective therapeutic strategy for liver diseases (Navarro </w:t>
      </w:r>
      <w:r w:rsidR="007C4941" w:rsidRPr="00E66107">
        <w:rPr>
          <w:rFonts w:ascii="Times New Roman" w:hAnsi="Times New Roman" w:cs="Times New Roman"/>
          <w:i/>
          <w:sz w:val="24"/>
          <w:szCs w:val="24"/>
        </w:rPr>
        <w:t>et al</w:t>
      </w:r>
      <w:r w:rsidR="007C4941" w:rsidRPr="00E66107">
        <w:rPr>
          <w:rFonts w:ascii="Times New Roman" w:hAnsi="Times New Roman" w:cs="Times New Roman"/>
          <w:sz w:val="24"/>
          <w:szCs w:val="24"/>
        </w:rPr>
        <w:t xml:space="preserve">., 2014; Salomone </w:t>
      </w:r>
      <w:r w:rsidR="007C4941" w:rsidRPr="00E66107">
        <w:rPr>
          <w:rFonts w:ascii="Times New Roman" w:hAnsi="Times New Roman" w:cs="Times New Roman"/>
          <w:i/>
          <w:sz w:val="24"/>
          <w:szCs w:val="24"/>
        </w:rPr>
        <w:t>et al</w:t>
      </w:r>
      <w:r w:rsidR="007C4941" w:rsidRPr="00E66107">
        <w:rPr>
          <w:rFonts w:ascii="Times New Roman" w:hAnsi="Times New Roman" w:cs="Times New Roman"/>
          <w:sz w:val="24"/>
          <w:szCs w:val="24"/>
        </w:rPr>
        <w:t>., 2016).</w:t>
      </w:r>
    </w:p>
    <w:p w14:paraId="5738F72A" w14:textId="77777777" w:rsidR="007C4941" w:rsidRPr="00E66107" w:rsidRDefault="007C4941" w:rsidP="00E66107">
      <w:pPr>
        <w:tabs>
          <w:tab w:val="left" w:pos="90"/>
        </w:tabs>
        <w:spacing w:after="0" w:line="360" w:lineRule="auto"/>
        <w:jc w:val="both"/>
        <w:rPr>
          <w:rFonts w:ascii="Times New Roman" w:hAnsi="Times New Roman" w:cs="Times New Roman"/>
          <w:sz w:val="24"/>
          <w:szCs w:val="24"/>
        </w:rPr>
      </w:pPr>
    </w:p>
    <w:p w14:paraId="3F6EF23B" w14:textId="5EF5ECAC" w:rsidR="007C4941" w:rsidRPr="00E66107" w:rsidRDefault="009548DC" w:rsidP="00E66107">
      <w:pPr>
        <w:tabs>
          <w:tab w:val="left" w:pos="9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7C4941" w:rsidRPr="00E66107">
        <w:rPr>
          <w:rFonts w:ascii="Times New Roman" w:hAnsi="Times New Roman" w:cs="Times New Roman"/>
          <w:sz w:val="24"/>
          <w:szCs w:val="24"/>
        </w:rPr>
        <w:t>Liver-protecting natural products typically exhibit a range of activities including antioxidant, anti-inflammatory, immunomodulatory, hepatoprotective and antiviral effects</w:t>
      </w:r>
      <w:r>
        <w:rPr>
          <w:rFonts w:ascii="Times New Roman" w:hAnsi="Times New Roman" w:cs="Times New Roman"/>
          <w:sz w:val="24"/>
          <w:szCs w:val="24"/>
        </w:rPr>
        <w:t>”</w:t>
      </w:r>
      <w:r w:rsidR="007C4941" w:rsidRPr="00E66107">
        <w:rPr>
          <w:rFonts w:ascii="Times New Roman" w:hAnsi="Times New Roman" w:cs="Times New Roman"/>
          <w:sz w:val="24"/>
          <w:szCs w:val="24"/>
        </w:rPr>
        <w:t xml:space="preserve"> (Kim </w:t>
      </w:r>
      <w:r w:rsidR="007C4941" w:rsidRPr="00E66107">
        <w:rPr>
          <w:rFonts w:ascii="Times New Roman" w:hAnsi="Times New Roman" w:cs="Times New Roman"/>
          <w:i/>
          <w:sz w:val="24"/>
          <w:szCs w:val="24"/>
        </w:rPr>
        <w:t>et al</w:t>
      </w:r>
      <w:r w:rsidR="007C4941" w:rsidRPr="00E66107">
        <w:rPr>
          <w:rFonts w:ascii="Times New Roman" w:hAnsi="Times New Roman" w:cs="Times New Roman"/>
          <w:sz w:val="24"/>
          <w:szCs w:val="24"/>
        </w:rPr>
        <w:t xml:space="preserve">., 2015; Ilyas </w:t>
      </w:r>
      <w:r w:rsidR="007C4941" w:rsidRPr="00E66107">
        <w:rPr>
          <w:rFonts w:ascii="Times New Roman" w:hAnsi="Times New Roman" w:cs="Times New Roman"/>
          <w:i/>
          <w:sz w:val="24"/>
          <w:szCs w:val="24"/>
        </w:rPr>
        <w:t>et al</w:t>
      </w:r>
      <w:r w:rsidR="007C4941" w:rsidRPr="00E66107">
        <w:rPr>
          <w:rFonts w:ascii="Times New Roman" w:hAnsi="Times New Roman" w:cs="Times New Roman"/>
          <w:sz w:val="24"/>
          <w:szCs w:val="24"/>
        </w:rPr>
        <w:t xml:space="preserve">., 2016; Abdullah </w:t>
      </w:r>
      <w:r w:rsidR="007C4941" w:rsidRPr="00E66107">
        <w:rPr>
          <w:rFonts w:ascii="Times New Roman" w:hAnsi="Times New Roman" w:cs="Times New Roman"/>
          <w:i/>
          <w:sz w:val="24"/>
          <w:szCs w:val="24"/>
        </w:rPr>
        <w:t>et al</w:t>
      </w:r>
      <w:r w:rsidR="007C4941" w:rsidRPr="00E66107">
        <w:rPr>
          <w:rFonts w:ascii="Times New Roman" w:hAnsi="Times New Roman" w:cs="Times New Roman"/>
          <w:sz w:val="24"/>
          <w:szCs w:val="24"/>
        </w:rPr>
        <w:t xml:space="preserve">., 2017; Sharifi-Rigi </w:t>
      </w:r>
      <w:r w:rsidR="007C4941" w:rsidRPr="00E66107">
        <w:rPr>
          <w:rFonts w:ascii="Times New Roman" w:hAnsi="Times New Roman" w:cs="Times New Roman"/>
          <w:i/>
          <w:sz w:val="24"/>
          <w:szCs w:val="24"/>
        </w:rPr>
        <w:t>et al</w:t>
      </w:r>
      <w:r w:rsidR="007C4941" w:rsidRPr="00E66107">
        <w:rPr>
          <w:rFonts w:ascii="Times New Roman" w:hAnsi="Times New Roman" w:cs="Times New Roman"/>
          <w:sz w:val="24"/>
          <w:szCs w:val="24"/>
        </w:rPr>
        <w:t>., 2019).</w:t>
      </w:r>
    </w:p>
    <w:p w14:paraId="1E4F9176" w14:textId="17EEE9E7" w:rsidR="007C4941" w:rsidRPr="00E66107" w:rsidRDefault="007C4941" w:rsidP="00E66107">
      <w:pPr>
        <w:tabs>
          <w:tab w:val="left" w:pos="90"/>
        </w:tabs>
        <w:spacing w:after="0" w:line="360" w:lineRule="auto"/>
        <w:jc w:val="both"/>
        <w:rPr>
          <w:rFonts w:ascii="Times New Roman" w:hAnsi="Times New Roman" w:cs="Times New Roman"/>
          <w:sz w:val="24"/>
          <w:szCs w:val="24"/>
        </w:rPr>
      </w:pPr>
      <w:r w:rsidRPr="00E66107">
        <w:rPr>
          <w:rFonts w:ascii="Times New Roman" w:hAnsi="Times New Roman" w:cs="Times New Roman"/>
          <w:sz w:val="24"/>
          <w:szCs w:val="24"/>
        </w:rPr>
        <w:t xml:space="preserve"> </w:t>
      </w:r>
      <w:r w:rsidRPr="00E66107">
        <w:rPr>
          <w:rFonts w:ascii="Times New Roman" w:hAnsi="Times New Roman" w:cs="Times New Roman"/>
          <w:i/>
          <w:sz w:val="24"/>
          <w:szCs w:val="24"/>
        </w:rPr>
        <w:t>Anogeissus leiocarpus</w:t>
      </w:r>
      <w:r w:rsidRPr="00E66107">
        <w:rPr>
          <w:rFonts w:ascii="Times New Roman" w:hAnsi="Times New Roman" w:cs="Times New Roman"/>
          <w:sz w:val="24"/>
          <w:szCs w:val="24"/>
        </w:rPr>
        <w:t xml:space="preserve"> belongs to the Combretaceae family, a deciduous and tall tree native to the tropical savannas of Africa. Common names for this tree in various regions include Ayin (Yoruba) and Atara (Igbo). </w:t>
      </w:r>
      <w:r w:rsidRPr="00E66107">
        <w:rPr>
          <w:rFonts w:ascii="Times New Roman" w:hAnsi="Times New Roman" w:cs="Times New Roman"/>
          <w:i/>
          <w:sz w:val="24"/>
          <w:szCs w:val="24"/>
        </w:rPr>
        <w:t xml:space="preserve">Anogeissus </w:t>
      </w:r>
      <w:r w:rsidRPr="000A4404">
        <w:rPr>
          <w:rFonts w:ascii="Times New Roman" w:hAnsi="Times New Roman" w:cs="Times New Roman"/>
          <w:i/>
          <w:sz w:val="24"/>
          <w:szCs w:val="24"/>
          <w:highlight w:val="yellow"/>
        </w:rPr>
        <w:t>leiocarpus</w:t>
      </w:r>
      <w:r w:rsidRPr="000A4404">
        <w:rPr>
          <w:rFonts w:ascii="Times New Roman" w:hAnsi="Times New Roman" w:cs="Times New Roman"/>
          <w:sz w:val="24"/>
          <w:szCs w:val="24"/>
          <w:highlight w:val="yellow"/>
        </w:rPr>
        <w:t xml:space="preserve">, </w:t>
      </w:r>
      <w:r w:rsidR="00484A1D" w:rsidRPr="000A4404">
        <w:rPr>
          <w:rFonts w:ascii="Times New Roman" w:hAnsi="Times New Roman" w:cs="Times New Roman"/>
          <w:sz w:val="24"/>
          <w:szCs w:val="24"/>
          <w:highlight w:val="yellow"/>
        </w:rPr>
        <w:t xml:space="preserve">is </w:t>
      </w:r>
      <w:r w:rsidRPr="000A4404">
        <w:rPr>
          <w:rFonts w:ascii="Times New Roman" w:hAnsi="Times New Roman" w:cs="Times New Roman"/>
          <w:sz w:val="24"/>
          <w:szCs w:val="24"/>
          <w:highlight w:val="yellow"/>
        </w:rPr>
        <w:t>an important</w:t>
      </w:r>
      <w:r w:rsidRPr="00E66107">
        <w:rPr>
          <w:rFonts w:ascii="Times New Roman" w:hAnsi="Times New Roman" w:cs="Times New Roman"/>
          <w:sz w:val="24"/>
          <w:szCs w:val="24"/>
        </w:rPr>
        <w:t xml:space="preserve"> medicinal tree used in treating in ailments such as; hepatitis, jaundice, hemorrhoids, headaches, toothaches, diarrhoea, jaundice, respiratory diseases, and malaria (Victor, 2013; Ikram Mohammed </w:t>
      </w:r>
      <w:r w:rsidRPr="00E66107">
        <w:rPr>
          <w:rFonts w:ascii="Times New Roman" w:hAnsi="Times New Roman" w:cs="Times New Roman"/>
          <w:i/>
          <w:sz w:val="24"/>
          <w:szCs w:val="24"/>
        </w:rPr>
        <w:t>et al</w:t>
      </w:r>
      <w:r w:rsidRPr="00E66107">
        <w:rPr>
          <w:rFonts w:ascii="Times New Roman" w:hAnsi="Times New Roman" w:cs="Times New Roman"/>
          <w:sz w:val="24"/>
          <w:szCs w:val="24"/>
        </w:rPr>
        <w:t xml:space="preserve">., 2015; Muktar </w:t>
      </w:r>
      <w:r w:rsidRPr="00E66107">
        <w:rPr>
          <w:rFonts w:ascii="Times New Roman" w:hAnsi="Times New Roman" w:cs="Times New Roman"/>
          <w:i/>
          <w:sz w:val="24"/>
          <w:szCs w:val="24"/>
        </w:rPr>
        <w:t>et al</w:t>
      </w:r>
      <w:r w:rsidRPr="00E66107">
        <w:rPr>
          <w:rFonts w:ascii="Times New Roman" w:hAnsi="Times New Roman" w:cs="Times New Roman"/>
          <w:sz w:val="24"/>
          <w:szCs w:val="24"/>
        </w:rPr>
        <w:t xml:space="preserve">., </w:t>
      </w:r>
      <w:r w:rsidRPr="00E66107">
        <w:rPr>
          <w:rFonts w:ascii="Times New Roman" w:hAnsi="Times New Roman" w:cs="Times New Roman"/>
          <w:sz w:val="24"/>
          <w:szCs w:val="24"/>
        </w:rPr>
        <w:lastRenderedPageBreak/>
        <w:t xml:space="preserve">2017). Therefore this work aimed to determine the effect of </w:t>
      </w:r>
      <w:r w:rsidRPr="00E66107">
        <w:rPr>
          <w:rFonts w:ascii="Times New Roman" w:hAnsi="Times New Roman" w:cs="Times New Roman"/>
          <w:i/>
          <w:sz w:val="24"/>
          <w:szCs w:val="24"/>
        </w:rPr>
        <w:t>Anogeissus leiocarpus</w:t>
      </w:r>
      <w:r w:rsidRPr="00E66107">
        <w:rPr>
          <w:rFonts w:ascii="Times New Roman" w:hAnsi="Times New Roman" w:cs="Times New Roman"/>
          <w:sz w:val="24"/>
          <w:szCs w:val="24"/>
        </w:rPr>
        <w:t xml:space="preserve"> leave extract on CCl</w:t>
      </w:r>
      <w:r w:rsidRPr="00E66107">
        <w:rPr>
          <w:rFonts w:ascii="Times New Roman" w:hAnsi="Times New Roman" w:cs="Times New Roman"/>
          <w:sz w:val="24"/>
          <w:szCs w:val="24"/>
          <w:vertAlign w:val="subscript"/>
        </w:rPr>
        <w:t>4</w:t>
      </w:r>
      <w:r w:rsidR="00A55342">
        <w:rPr>
          <w:rFonts w:ascii="Times New Roman" w:hAnsi="Times New Roman" w:cs="Times New Roman"/>
          <w:sz w:val="24"/>
          <w:szCs w:val="24"/>
        </w:rPr>
        <w:t>-induced liver injury.</w:t>
      </w:r>
    </w:p>
    <w:p w14:paraId="6D8C0F0A" w14:textId="77777777" w:rsidR="007C4941" w:rsidRPr="00E66107" w:rsidRDefault="007C4941" w:rsidP="00E66107">
      <w:pPr>
        <w:spacing w:after="0" w:line="360" w:lineRule="auto"/>
        <w:jc w:val="both"/>
        <w:rPr>
          <w:rFonts w:ascii="Times New Roman" w:hAnsi="Times New Roman" w:cs="Times New Roman"/>
          <w:b/>
          <w:sz w:val="24"/>
          <w:szCs w:val="24"/>
        </w:rPr>
      </w:pPr>
      <w:r w:rsidRPr="00E66107">
        <w:rPr>
          <w:rFonts w:ascii="Times New Roman" w:hAnsi="Times New Roman" w:cs="Times New Roman"/>
          <w:b/>
          <w:sz w:val="24"/>
          <w:szCs w:val="24"/>
        </w:rPr>
        <w:t>Materials and Method</w:t>
      </w:r>
    </w:p>
    <w:p w14:paraId="3129F529" w14:textId="77777777" w:rsidR="00C93C15" w:rsidRPr="00E66107" w:rsidRDefault="00C93C15" w:rsidP="00E66107">
      <w:pPr>
        <w:widowControl w:val="0"/>
        <w:autoSpaceDE w:val="0"/>
        <w:autoSpaceDN w:val="0"/>
        <w:adjustRightInd w:val="0"/>
        <w:spacing w:after="0" w:line="360" w:lineRule="auto"/>
        <w:jc w:val="both"/>
        <w:rPr>
          <w:rFonts w:ascii="Times New Roman" w:hAnsi="Times New Roman" w:cs="Times New Roman"/>
          <w:b/>
          <w:sz w:val="24"/>
          <w:szCs w:val="24"/>
        </w:rPr>
      </w:pPr>
      <w:r w:rsidRPr="00E66107">
        <w:rPr>
          <w:rFonts w:ascii="Times New Roman" w:hAnsi="Times New Roman" w:cs="Times New Roman"/>
          <w:b/>
          <w:sz w:val="24"/>
          <w:szCs w:val="24"/>
        </w:rPr>
        <w:t>Chemicals and Reagents</w:t>
      </w:r>
    </w:p>
    <w:p w14:paraId="31AEE98E" w14:textId="32485C11" w:rsidR="00C93C15" w:rsidRPr="00E66107" w:rsidRDefault="00C93C15" w:rsidP="00E66107">
      <w:pPr>
        <w:widowControl w:val="0"/>
        <w:autoSpaceDE w:val="0"/>
        <w:autoSpaceDN w:val="0"/>
        <w:adjustRightInd w:val="0"/>
        <w:spacing w:after="0" w:line="360" w:lineRule="auto"/>
        <w:jc w:val="both"/>
        <w:rPr>
          <w:rFonts w:ascii="Times New Roman" w:hAnsi="Times New Roman" w:cs="Times New Roman"/>
          <w:sz w:val="24"/>
          <w:szCs w:val="24"/>
        </w:rPr>
      </w:pPr>
      <w:r w:rsidRPr="00E66107">
        <w:rPr>
          <w:rFonts w:ascii="Times New Roman" w:hAnsi="Times New Roman" w:cs="Times New Roman"/>
          <w:sz w:val="24"/>
          <w:szCs w:val="24"/>
        </w:rPr>
        <w:t>Distilled water, Carbon tetrachloride (CCl</w:t>
      </w:r>
      <w:r w:rsidRPr="003E39D4">
        <w:rPr>
          <w:rFonts w:ascii="Times New Roman" w:hAnsi="Times New Roman" w:cs="Times New Roman"/>
          <w:sz w:val="24"/>
          <w:szCs w:val="24"/>
          <w:vertAlign w:val="subscript"/>
        </w:rPr>
        <w:t>4</w:t>
      </w:r>
      <w:r w:rsidRPr="00E66107">
        <w:rPr>
          <w:rFonts w:ascii="Times New Roman" w:hAnsi="Times New Roman" w:cs="Times New Roman"/>
          <w:sz w:val="24"/>
          <w:szCs w:val="24"/>
        </w:rPr>
        <w:t xml:space="preserve">), Tris buffer, homogenizing buffer, phosphate buffer formalin, </w:t>
      </w:r>
      <w:r w:rsidR="003E39D4" w:rsidRPr="00E66107">
        <w:rPr>
          <w:rFonts w:ascii="Times New Roman" w:hAnsi="Times New Roman" w:cs="Times New Roman"/>
          <w:sz w:val="24"/>
          <w:szCs w:val="24"/>
        </w:rPr>
        <w:t>phosphate</w:t>
      </w:r>
      <w:r w:rsidRPr="00E66107">
        <w:rPr>
          <w:rFonts w:ascii="Times New Roman" w:hAnsi="Times New Roman" w:cs="Times New Roman"/>
          <w:sz w:val="24"/>
          <w:szCs w:val="24"/>
        </w:rPr>
        <w:t xml:space="preserve"> buffered saline (pH 7.4), merchant buffer, sodium hydroxide, ethanol, ethidium bromide, hydrochloric acid, Laboratory kits for quantitative in vivo determination of alkaline phosphatase, alanine aminotransferase, </w:t>
      </w:r>
      <w:r w:rsidR="003E39D4">
        <w:rPr>
          <w:rFonts w:ascii="Times New Roman" w:hAnsi="Times New Roman" w:cs="Times New Roman"/>
          <w:sz w:val="24"/>
          <w:szCs w:val="24"/>
        </w:rPr>
        <w:t xml:space="preserve">and </w:t>
      </w:r>
      <w:r w:rsidRPr="00E66107">
        <w:rPr>
          <w:rFonts w:ascii="Times New Roman" w:hAnsi="Times New Roman" w:cs="Times New Roman"/>
          <w:sz w:val="24"/>
          <w:szCs w:val="24"/>
        </w:rPr>
        <w:t>aspartate aminotransferase. Silymarin was a branded drug (Silybon-70) from Micro Laboratory Ltd, India. Carbon tetrachloride was a product of Sigma Chemical Company, USA. All other reagents and chemicals were of analytical grades.</w:t>
      </w:r>
    </w:p>
    <w:p w14:paraId="1E42C740" w14:textId="77777777" w:rsidR="007C4941" w:rsidRPr="00E66107" w:rsidRDefault="007C4941" w:rsidP="00E66107">
      <w:pPr>
        <w:spacing w:after="0" w:line="360" w:lineRule="auto"/>
        <w:jc w:val="both"/>
        <w:rPr>
          <w:rFonts w:ascii="Times New Roman" w:hAnsi="Times New Roman" w:cs="Times New Roman"/>
          <w:sz w:val="24"/>
          <w:szCs w:val="24"/>
        </w:rPr>
      </w:pPr>
      <w:r w:rsidRPr="00E66107">
        <w:rPr>
          <w:rFonts w:ascii="Times New Roman" w:hAnsi="Times New Roman" w:cs="Times New Roman"/>
          <w:sz w:val="24"/>
          <w:szCs w:val="24"/>
        </w:rPr>
        <w:t>The materials used range from laboratory equipment/apparatus to various preparatory as well as analytical chemicals and reagents.</w:t>
      </w:r>
    </w:p>
    <w:p w14:paraId="02E2B3DA" w14:textId="77777777" w:rsidR="007C4941" w:rsidRPr="00E66107" w:rsidRDefault="007C4941" w:rsidP="00E66107">
      <w:pPr>
        <w:widowControl w:val="0"/>
        <w:autoSpaceDE w:val="0"/>
        <w:autoSpaceDN w:val="0"/>
        <w:adjustRightInd w:val="0"/>
        <w:spacing w:after="0" w:line="360" w:lineRule="auto"/>
        <w:jc w:val="both"/>
        <w:rPr>
          <w:rFonts w:ascii="Times New Roman" w:hAnsi="Times New Roman" w:cs="Times New Roman"/>
          <w:b/>
          <w:sz w:val="24"/>
          <w:szCs w:val="24"/>
        </w:rPr>
      </w:pPr>
      <w:r w:rsidRPr="00E66107">
        <w:rPr>
          <w:rFonts w:ascii="Times New Roman" w:hAnsi="Times New Roman" w:cs="Times New Roman"/>
          <w:b/>
          <w:sz w:val="24"/>
          <w:szCs w:val="24"/>
        </w:rPr>
        <w:t>Collection and Identification of plant materials</w:t>
      </w:r>
    </w:p>
    <w:p w14:paraId="4E1A5E41" w14:textId="08534B2E" w:rsidR="007C4941" w:rsidRPr="00E66107" w:rsidRDefault="007C4941" w:rsidP="00E66107">
      <w:pPr>
        <w:widowControl w:val="0"/>
        <w:autoSpaceDE w:val="0"/>
        <w:autoSpaceDN w:val="0"/>
        <w:adjustRightInd w:val="0"/>
        <w:spacing w:after="0" w:line="360" w:lineRule="auto"/>
        <w:jc w:val="both"/>
        <w:rPr>
          <w:rFonts w:ascii="Times New Roman" w:hAnsi="Times New Roman" w:cs="Times New Roman"/>
          <w:sz w:val="24"/>
          <w:szCs w:val="24"/>
        </w:rPr>
      </w:pPr>
      <w:r w:rsidRPr="00E66107">
        <w:rPr>
          <w:rFonts w:ascii="Times New Roman" w:hAnsi="Times New Roman" w:cs="Times New Roman"/>
          <w:sz w:val="24"/>
          <w:szCs w:val="24"/>
        </w:rPr>
        <w:t xml:space="preserve">Fresh plant of </w:t>
      </w:r>
      <w:r w:rsidRPr="00E66107">
        <w:rPr>
          <w:rFonts w:ascii="Times New Roman" w:hAnsi="Times New Roman" w:cs="Times New Roman"/>
          <w:i/>
          <w:sz w:val="24"/>
          <w:szCs w:val="24"/>
        </w:rPr>
        <w:t>Anogeissus leiocarpus</w:t>
      </w:r>
      <w:r w:rsidRPr="00E66107">
        <w:rPr>
          <w:rFonts w:ascii="Times New Roman" w:hAnsi="Times New Roman" w:cs="Times New Roman"/>
          <w:sz w:val="24"/>
          <w:szCs w:val="24"/>
        </w:rPr>
        <w:t xml:space="preserve"> was collected from the Agricultural farm of Ladoke University of Technology Ogbomoso. The plant was identified and authenticated by Prof. Ogunkunle J.A. of the Department of Pure and Applied Biology LAUTECH with voucher numbers LHO 897 and </w:t>
      </w:r>
      <w:r w:rsidR="00484A1D">
        <w:rPr>
          <w:rFonts w:ascii="Times New Roman" w:hAnsi="Times New Roman" w:cs="Times New Roman"/>
          <w:sz w:val="24"/>
          <w:szCs w:val="24"/>
        </w:rPr>
        <w:t xml:space="preserve">a </w:t>
      </w:r>
      <w:r w:rsidRPr="00E66107">
        <w:rPr>
          <w:rFonts w:ascii="Times New Roman" w:hAnsi="Times New Roman" w:cs="Times New Roman"/>
          <w:sz w:val="24"/>
          <w:szCs w:val="24"/>
        </w:rPr>
        <w:t>specimen of the plant was deposited at the Department Herbarium.</w:t>
      </w:r>
    </w:p>
    <w:p w14:paraId="649EB5F6" w14:textId="77777777" w:rsidR="00C93C15" w:rsidRPr="00E66107" w:rsidRDefault="00C93C15" w:rsidP="00E66107">
      <w:pPr>
        <w:widowControl w:val="0"/>
        <w:autoSpaceDE w:val="0"/>
        <w:autoSpaceDN w:val="0"/>
        <w:adjustRightInd w:val="0"/>
        <w:spacing w:after="0" w:line="360" w:lineRule="auto"/>
        <w:jc w:val="both"/>
        <w:rPr>
          <w:rFonts w:ascii="Times New Roman" w:hAnsi="Times New Roman" w:cs="Times New Roman"/>
          <w:b/>
          <w:sz w:val="24"/>
          <w:szCs w:val="24"/>
        </w:rPr>
      </w:pPr>
      <w:r w:rsidRPr="00E66107">
        <w:rPr>
          <w:rFonts w:ascii="Times New Roman" w:hAnsi="Times New Roman" w:cs="Times New Roman"/>
          <w:b/>
          <w:sz w:val="24"/>
          <w:szCs w:val="24"/>
        </w:rPr>
        <w:t xml:space="preserve">Preparation of aqueous leaf extract of </w:t>
      </w:r>
      <w:r w:rsidRPr="00E66107">
        <w:rPr>
          <w:rFonts w:ascii="Times New Roman" w:hAnsi="Times New Roman" w:cs="Times New Roman"/>
          <w:b/>
          <w:i/>
          <w:sz w:val="24"/>
          <w:szCs w:val="24"/>
        </w:rPr>
        <w:t>A. leiocarpus.</w:t>
      </w:r>
    </w:p>
    <w:p w14:paraId="37B780C0" w14:textId="1D00B4F2" w:rsidR="00C93C15" w:rsidRPr="00E66107" w:rsidRDefault="00C93C15" w:rsidP="00E66107">
      <w:pPr>
        <w:spacing w:after="0" w:line="360" w:lineRule="auto"/>
        <w:jc w:val="both"/>
        <w:rPr>
          <w:rFonts w:ascii="Times New Roman" w:hAnsi="Times New Roman" w:cs="Times New Roman"/>
          <w:sz w:val="24"/>
          <w:szCs w:val="24"/>
        </w:rPr>
      </w:pPr>
      <w:r w:rsidRPr="00E66107">
        <w:rPr>
          <w:rFonts w:ascii="Times New Roman" w:hAnsi="Times New Roman" w:cs="Times New Roman"/>
          <w:sz w:val="24"/>
          <w:szCs w:val="24"/>
        </w:rPr>
        <w:t xml:space="preserve">Leaves of </w:t>
      </w:r>
      <w:r w:rsidRPr="00E66107">
        <w:rPr>
          <w:rFonts w:ascii="Times New Roman" w:hAnsi="Times New Roman" w:cs="Times New Roman"/>
          <w:i/>
          <w:sz w:val="24"/>
          <w:szCs w:val="24"/>
        </w:rPr>
        <w:t xml:space="preserve">A. leiocarpus </w:t>
      </w:r>
      <w:r w:rsidRPr="00E66107">
        <w:rPr>
          <w:rFonts w:ascii="Times New Roman" w:hAnsi="Times New Roman" w:cs="Times New Roman"/>
          <w:sz w:val="24"/>
          <w:szCs w:val="24"/>
        </w:rPr>
        <w:t>were carefully separated from the stem and other debris, thoroughly washed under running water, air-dried to a constant weight and pulverized into a fine powder with the use of an electric blender.</w:t>
      </w:r>
      <w:r w:rsidR="003E39D4">
        <w:rPr>
          <w:rFonts w:ascii="Times New Roman" w:hAnsi="Times New Roman" w:cs="Times New Roman"/>
          <w:sz w:val="24"/>
          <w:szCs w:val="24"/>
        </w:rPr>
        <w:t xml:space="preserve"> </w:t>
      </w:r>
      <w:r w:rsidRPr="00E66107">
        <w:rPr>
          <w:rFonts w:ascii="Times New Roman" w:hAnsi="Times New Roman" w:cs="Times New Roman"/>
          <w:sz w:val="24"/>
          <w:szCs w:val="24"/>
        </w:rPr>
        <w:t>Three hundred grams (300 g) of the leaf powder was soaked in 2 L of distilled water for 72 hours with intermittent shaking. After 72 hours, it was filtered through Whatman No 1 filter paper and the filtrate was concentrated by freeze-drying. The mixture was stor</w:t>
      </w:r>
      <w:r w:rsidR="003E39D4">
        <w:rPr>
          <w:rFonts w:ascii="Times New Roman" w:hAnsi="Times New Roman" w:cs="Times New Roman"/>
          <w:sz w:val="24"/>
          <w:szCs w:val="24"/>
        </w:rPr>
        <w:t>ed in air-tight containers at 4</w:t>
      </w:r>
      <w:r w:rsidR="003E39D4" w:rsidRPr="003E39D4">
        <w:rPr>
          <w:rFonts w:ascii="Times New Roman" w:hAnsi="Times New Roman" w:cs="Times New Roman"/>
          <w:sz w:val="24"/>
          <w:szCs w:val="24"/>
          <w:vertAlign w:val="superscript"/>
        </w:rPr>
        <w:t>o</w:t>
      </w:r>
      <w:r w:rsidRPr="00E66107">
        <w:rPr>
          <w:rFonts w:ascii="Times New Roman" w:hAnsi="Times New Roman" w:cs="Times New Roman"/>
          <w:sz w:val="24"/>
          <w:szCs w:val="24"/>
        </w:rPr>
        <w:t xml:space="preserve">C (Christian </w:t>
      </w:r>
      <w:r w:rsidRPr="00E66107">
        <w:rPr>
          <w:rFonts w:ascii="Times New Roman" w:hAnsi="Times New Roman" w:cs="Times New Roman"/>
          <w:i/>
          <w:sz w:val="24"/>
          <w:szCs w:val="24"/>
        </w:rPr>
        <w:t>et al</w:t>
      </w:r>
      <w:r w:rsidRPr="00E66107">
        <w:rPr>
          <w:rFonts w:ascii="Times New Roman" w:hAnsi="Times New Roman" w:cs="Times New Roman"/>
          <w:sz w:val="24"/>
          <w:szCs w:val="24"/>
        </w:rPr>
        <w:t xml:space="preserve">., 2021). </w:t>
      </w:r>
    </w:p>
    <w:p w14:paraId="15D30C2F" w14:textId="77777777" w:rsidR="007C4941" w:rsidRPr="00E66107" w:rsidRDefault="007C4941" w:rsidP="00E66107">
      <w:pPr>
        <w:spacing w:after="0" w:line="360" w:lineRule="auto"/>
        <w:jc w:val="both"/>
        <w:rPr>
          <w:rFonts w:ascii="Times New Roman" w:hAnsi="Times New Roman" w:cs="Times New Roman"/>
          <w:b/>
          <w:sz w:val="24"/>
          <w:szCs w:val="24"/>
        </w:rPr>
      </w:pPr>
      <w:r w:rsidRPr="00E66107">
        <w:rPr>
          <w:rFonts w:ascii="Times New Roman" w:hAnsi="Times New Roman" w:cs="Times New Roman"/>
          <w:b/>
          <w:sz w:val="24"/>
          <w:szCs w:val="24"/>
        </w:rPr>
        <w:t xml:space="preserve">Experimental animals </w:t>
      </w:r>
    </w:p>
    <w:p w14:paraId="5C873705" w14:textId="3938F4CB" w:rsidR="007C4941" w:rsidRPr="00E66107" w:rsidRDefault="00E66107" w:rsidP="00E661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total of twenty-five</w:t>
      </w:r>
      <w:r w:rsidR="007C4941" w:rsidRPr="00E66107">
        <w:rPr>
          <w:rFonts w:ascii="Times New Roman" w:hAnsi="Times New Roman" w:cs="Times New Roman"/>
          <w:sz w:val="24"/>
          <w:szCs w:val="24"/>
        </w:rPr>
        <w:t xml:space="preserve"> male Wistar rats with an average weight of 160 g-</w:t>
      </w:r>
      <w:r>
        <w:rPr>
          <w:rFonts w:ascii="Times New Roman" w:hAnsi="Times New Roman" w:cs="Times New Roman"/>
          <w:sz w:val="24"/>
          <w:szCs w:val="24"/>
        </w:rPr>
        <w:t xml:space="preserve"> 180 g were used in this study.</w:t>
      </w:r>
      <w:r w:rsidRPr="00E66107">
        <w:rPr>
          <w:rFonts w:ascii="Times New Roman" w:hAnsi="Times New Roman" w:cs="Times New Roman"/>
          <w:sz w:val="24"/>
          <w:szCs w:val="24"/>
        </w:rPr>
        <w:t xml:space="preserve"> The model consisted of five (5) groups of f</w:t>
      </w:r>
      <w:r w:rsidR="003E39D4">
        <w:rPr>
          <w:rFonts w:ascii="Times New Roman" w:hAnsi="Times New Roman" w:cs="Times New Roman"/>
          <w:sz w:val="24"/>
          <w:szCs w:val="24"/>
        </w:rPr>
        <w:t>ive (5) rats each.</w:t>
      </w:r>
      <w:r w:rsidR="00A55342" w:rsidRPr="00A55342">
        <w:rPr>
          <w:rFonts w:ascii="Times New Roman" w:hAnsi="Times New Roman" w:cs="Times New Roman"/>
          <w:sz w:val="24"/>
          <w:szCs w:val="24"/>
        </w:rPr>
        <w:t xml:space="preserve"> </w:t>
      </w:r>
      <w:r w:rsidR="00A55342" w:rsidRPr="00E66107">
        <w:rPr>
          <w:rFonts w:ascii="Times New Roman" w:hAnsi="Times New Roman" w:cs="Times New Roman"/>
          <w:sz w:val="24"/>
          <w:szCs w:val="24"/>
        </w:rPr>
        <w:t xml:space="preserve">Animals in group A received 1 ml distilled water and served </w:t>
      </w:r>
      <w:r w:rsidR="00A55342" w:rsidRPr="000A4404">
        <w:rPr>
          <w:rFonts w:ascii="Times New Roman" w:hAnsi="Times New Roman" w:cs="Times New Roman"/>
          <w:sz w:val="24"/>
          <w:szCs w:val="24"/>
          <w:highlight w:val="yellow"/>
        </w:rPr>
        <w:t xml:space="preserve">as </w:t>
      </w:r>
      <w:r w:rsidR="00484A1D" w:rsidRPr="000A4404">
        <w:rPr>
          <w:rFonts w:ascii="Times New Roman" w:hAnsi="Times New Roman" w:cs="Times New Roman"/>
          <w:sz w:val="24"/>
          <w:szCs w:val="24"/>
          <w:highlight w:val="yellow"/>
        </w:rPr>
        <w:t xml:space="preserve">a </w:t>
      </w:r>
      <w:r w:rsidR="00A55342" w:rsidRPr="000A4404">
        <w:rPr>
          <w:rFonts w:ascii="Times New Roman" w:hAnsi="Times New Roman" w:cs="Times New Roman"/>
          <w:sz w:val="24"/>
          <w:szCs w:val="24"/>
          <w:highlight w:val="yellow"/>
        </w:rPr>
        <w:t xml:space="preserve">normal </w:t>
      </w:r>
      <w:r w:rsidR="00A55342" w:rsidRPr="00E66107">
        <w:rPr>
          <w:rFonts w:ascii="Times New Roman" w:hAnsi="Times New Roman" w:cs="Times New Roman"/>
          <w:sz w:val="24"/>
          <w:szCs w:val="24"/>
        </w:rPr>
        <w:t xml:space="preserve">control group; group B also received 1 ml distilled water; group C received Silymarin (70 mg/kg) and </w:t>
      </w:r>
      <w:r w:rsidR="00A55342" w:rsidRPr="000A4404">
        <w:rPr>
          <w:rFonts w:ascii="Times New Roman" w:hAnsi="Times New Roman" w:cs="Times New Roman"/>
          <w:sz w:val="24"/>
          <w:szCs w:val="24"/>
          <w:highlight w:val="yellow"/>
        </w:rPr>
        <w:t xml:space="preserve">served as </w:t>
      </w:r>
      <w:r w:rsidR="00484A1D" w:rsidRPr="000A4404">
        <w:rPr>
          <w:rFonts w:ascii="Times New Roman" w:hAnsi="Times New Roman" w:cs="Times New Roman"/>
          <w:sz w:val="24"/>
          <w:szCs w:val="24"/>
          <w:highlight w:val="yellow"/>
        </w:rPr>
        <w:t xml:space="preserve">a </w:t>
      </w:r>
      <w:r w:rsidR="00A55342" w:rsidRPr="000A4404">
        <w:rPr>
          <w:rFonts w:ascii="Times New Roman" w:hAnsi="Times New Roman" w:cs="Times New Roman"/>
          <w:sz w:val="24"/>
          <w:szCs w:val="24"/>
          <w:highlight w:val="yellow"/>
        </w:rPr>
        <w:t xml:space="preserve">drug control </w:t>
      </w:r>
      <w:r w:rsidR="00A55342" w:rsidRPr="00E66107">
        <w:rPr>
          <w:rFonts w:ascii="Times New Roman" w:hAnsi="Times New Roman" w:cs="Times New Roman"/>
          <w:sz w:val="24"/>
          <w:szCs w:val="24"/>
        </w:rPr>
        <w:t xml:space="preserve">group; groups D and E were treated with aqueous leaf extract of the plant </w:t>
      </w:r>
      <w:r w:rsidR="00A55342" w:rsidRPr="00E66107">
        <w:rPr>
          <w:rFonts w:ascii="Times New Roman" w:hAnsi="Times New Roman" w:cs="Times New Roman"/>
          <w:i/>
          <w:sz w:val="24"/>
          <w:szCs w:val="24"/>
        </w:rPr>
        <w:t>Anogeissus leiocarpus</w:t>
      </w:r>
      <w:r w:rsidR="00A55342" w:rsidRPr="00E66107">
        <w:rPr>
          <w:rFonts w:ascii="Times New Roman" w:hAnsi="Times New Roman" w:cs="Times New Roman"/>
          <w:sz w:val="24"/>
          <w:szCs w:val="24"/>
        </w:rPr>
        <w:t xml:space="preserve"> 115 and 230 mg/kg body weight respectively. Animals in groups B-E were exposed to CCl</w:t>
      </w:r>
      <w:r w:rsidR="00A55342" w:rsidRPr="00E66107">
        <w:rPr>
          <w:rFonts w:ascii="Times New Roman" w:hAnsi="Times New Roman" w:cs="Times New Roman"/>
          <w:sz w:val="24"/>
          <w:szCs w:val="24"/>
          <w:vertAlign w:val="subscript"/>
        </w:rPr>
        <w:t>4</w:t>
      </w:r>
      <w:r w:rsidR="00A55342" w:rsidRPr="00E66107">
        <w:rPr>
          <w:rFonts w:ascii="Times New Roman" w:hAnsi="Times New Roman" w:cs="Times New Roman"/>
          <w:sz w:val="24"/>
          <w:szCs w:val="24"/>
        </w:rPr>
        <w:t xml:space="preserve"> (3 ml/kg body weight in </w:t>
      </w:r>
      <w:r w:rsidR="00A55342" w:rsidRPr="00E66107">
        <w:rPr>
          <w:rFonts w:ascii="Times New Roman" w:hAnsi="Times New Roman" w:cs="Times New Roman"/>
          <w:sz w:val="24"/>
          <w:szCs w:val="24"/>
        </w:rPr>
        <w:lastRenderedPageBreak/>
        <w:t>olive oil 1:1</w:t>
      </w:r>
      <w:r w:rsidR="00A55342" w:rsidRPr="000A4404">
        <w:rPr>
          <w:rFonts w:ascii="Times New Roman" w:hAnsi="Times New Roman" w:cs="Times New Roman"/>
          <w:sz w:val="24"/>
          <w:szCs w:val="24"/>
          <w:highlight w:val="yellow"/>
        </w:rPr>
        <w:t xml:space="preserve">) via intraperitoneally on days 7 and 14 only. </w:t>
      </w:r>
      <w:r w:rsidR="00484A1D" w:rsidRPr="000A4404">
        <w:rPr>
          <w:rFonts w:ascii="Times New Roman" w:hAnsi="Times New Roman" w:cs="Times New Roman"/>
          <w:sz w:val="24"/>
          <w:szCs w:val="24"/>
          <w:highlight w:val="yellow"/>
        </w:rPr>
        <w:t xml:space="preserve">The weight </w:t>
      </w:r>
      <w:r w:rsidR="00A55342" w:rsidRPr="000A4404">
        <w:rPr>
          <w:rFonts w:ascii="Times New Roman" w:hAnsi="Times New Roman" w:cs="Times New Roman"/>
          <w:sz w:val="24"/>
          <w:szCs w:val="24"/>
          <w:highlight w:val="yellow"/>
        </w:rPr>
        <w:t>of the animals</w:t>
      </w:r>
      <w:r w:rsidR="00A55342" w:rsidRPr="00E66107">
        <w:rPr>
          <w:rFonts w:ascii="Times New Roman" w:hAnsi="Times New Roman" w:cs="Times New Roman"/>
          <w:sz w:val="24"/>
          <w:szCs w:val="24"/>
        </w:rPr>
        <w:t xml:space="preserve"> </w:t>
      </w:r>
      <w:r w:rsidR="00484A1D" w:rsidRPr="000A4404">
        <w:rPr>
          <w:rFonts w:ascii="Times New Roman" w:hAnsi="Times New Roman" w:cs="Times New Roman"/>
          <w:sz w:val="24"/>
          <w:szCs w:val="24"/>
          <w:highlight w:val="yellow"/>
        </w:rPr>
        <w:t xml:space="preserve">was </w:t>
      </w:r>
      <w:r w:rsidR="00A55342" w:rsidRPr="000A4404">
        <w:rPr>
          <w:rFonts w:ascii="Times New Roman" w:hAnsi="Times New Roman" w:cs="Times New Roman"/>
          <w:sz w:val="24"/>
          <w:szCs w:val="24"/>
          <w:highlight w:val="yellow"/>
        </w:rPr>
        <w:t>recorded</w:t>
      </w:r>
      <w:r w:rsidR="00A55342" w:rsidRPr="00E66107">
        <w:rPr>
          <w:rFonts w:ascii="Times New Roman" w:hAnsi="Times New Roman" w:cs="Times New Roman"/>
          <w:sz w:val="24"/>
          <w:szCs w:val="24"/>
        </w:rPr>
        <w:t xml:space="preserve"> on day 0 (24 hours before the first administration) </w:t>
      </w:r>
      <w:r w:rsidR="00A55342" w:rsidRPr="000A4404">
        <w:rPr>
          <w:rFonts w:ascii="Times New Roman" w:hAnsi="Times New Roman" w:cs="Times New Roman"/>
          <w:sz w:val="24"/>
          <w:szCs w:val="24"/>
          <w:highlight w:val="yellow"/>
        </w:rPr>
        <w:t>and on day 15 (24 hours</w:t>
      </w:r>
      <w:r w:rsidR="00A55342" w:rsidRPr="00E66107">
        <w:rPr>
          <w:rFonts w:ascii="Times New Roman" w:hAnsi="Times New Roman" w:cs="Times New Roman"/>
          <w:sz w:val="24"/>
          <w:szCs w:val="24"/>
        </w:rPr>
        <w:t xml:space="preserve"> after the last administration) (</w:t>
      </w:r>
      <w:r w:rsidR="004508FA" w:rsidRPr="004508FA">
        <w:rPr>
          <w:rFonts w:ascii="Times New Roman" w:hAnsi="Times New Roman" w:cs="Times New Roman"/>
          <w:sz w:val="24"/>
          <w:szCs w:val="24"/>
        </w:rPr>
        <w:t>Supp</w:t>
      </w:r>
      <w:r w:rsidR="004508FA" w:rsidRPr="004508FA">
        <w:t xml:space="preserve"> </w:t>
      </w:r>
      <w:r w:rsidR="004508FA" w:rsidRPr="004508FA">
        <w:rPr>
          <w:rFonts w:ascii="Times New Roman" w:hAnsi="Times New Roman" w:cs="Times New Roman"/>
          <w:sz w:val="24"/>
          <w:szCs w:val="24"/>
        </w:rPr>
        <w:t>Plate</w:t>
      </w:r>
      <w:r w:rsidR="00A55342" w:rsidRPr="00E66107">
        <w:rPr>
          <w:rFonts w:ascii="Times New Roman" w:hAnsi="Times New Roman" w:cs="Times New Roman"/>
          <w:sz w:val="24"/>
          <w:szCs w:val="24"/>
        </w:rPr>
        <w:t xml:space="preserve"> </w:t>
      </w:r>
      <w:r w:rsidR="003E39D4">
        <w:rPr>
          <w:rFonts w:ascii="Times New Roman" w:hAnsi="Times New Roman" w:cs="Times New Roman"/>
          <w:sz w:val="24"/>
          <w:szCs w:val="24"/>
        </w:rPr>
        <w:t>1)</w:t>
      </w:r>
      <w:r w:rsidRPr="00E66107">
        <w:rPr>
          <w:rFonts w:ascii="Times New Roman" w:hAnsi="Times New Roman" w:cs="Times New Roman"/>
          <w:sz w:val="24"/>
          <w:szCs w:val="24"/>
        </w:rPr>
        <w:t>.</w:t>
      </w:r>
      <w:r>
        <w:rPr>
          <w:rFonts w:ascii="Times New Roman" w:hAnsi="Times New Roman" w:cs="Times New Roman"/>
          <w:sz w:val="24"/>
          <w:szCs w:val="24"/>
        </w:rPr>
        <w:t xml:space="preserve"> </w:t>
      </w:r>
      <w:r w:rsidR="007C4941" w:rsidRPr="00E66107">
        <w:rPr>
          <w:rFonts w:ascii="Times New Roman" w:hAnsi="Times New Roman" w:cs="Times New Roman"/>
          <w:sz w:val="24"/>
          <w:szCs w:val="24"/>
        </w:rPr>
        <w:t>The rats were housed in plastic cages under the standar</w:t>
      </w:r>
      <w:r w:rsidR="003E39D4">
        <w:rPr>
          <w:rFonts w:ascii="Times New Roman" w:hAnsi="Times New Roman" w:cs="Times New Roman"/>
          <w:sz w:val="24"/>
          <w:szCs w:val="24"/>
        </w:rPr>
        <w:t>d laboratory conditions (26 ± 2</w:t>
      </w:r>
      <w:r w:rsidR="003E39D4" w:rsidRPr="003E39D4">
        <w:rPr>
          <w:rFonts w:ascii="Times New Roman" w:hAnsi="Times New Roman" w:cs="Times New Roman"/>
          <w:sz w:val="24"/>
          <w:szCs w:val="24"/>
          <w:vertAlign w:val="superscript"/>
        </w:rPr>
        <w:t>o</w:t>
      </w:r>
      <w:r w:rsidR="007C4941" w:rsidRPr="00E66107">
        <w:rPr>
          <w:rFonts w:ascii="Times New Roman" w:hAnsi="Times New Roman" w:cs="Times New Roman"/>
          <w:sz w:val="24"/>
          <w:szCs w:val="24"/>
        </w:rPr>
        <w:t>C, 30-70 % humidity</w:t>
      </w:r>
      <w:r w:rsidR="007C4941" w:rsidRPr="00E66107">
        <w:rPr>
          <w:rFonts w:ascii="Times New Roman" w:hAnsi="Times New Roman" w:cs="Times New Roman"/>
          <w:b/>
          <w:sz w:val="24"/>
          <w:szCs w:val="24"/>
        </w:rPr>
        <w:t xml:space="preserve">, </w:t>
      </w:r>
      <w:r w:rsidR="007C4941" w:rsidRPr="00E66107">
        <w:rPr>
          <w:rFonts w:ascii="Times New Roman" w:hAnsi="Times New Roman" w:cs="Times New Roman"/>
          <w:sz w:val="24"/>
          <w:szCs w:val="24"/>
        </w:rPr>
        <w:t xml:space="preserve">12 hours light and 12 hours dark cycle) and were acclimatized for two </w:t>
      </w:r>
      <w:r w:rsidR="007C4941" w:rsidRPr="000A4404">
        <w:rPr>
          <w:rFonts w:ascii="Times New Roman" w:hAnsi="Times New Roman" w:cs="Times New Roman"/>
          <w:sz w:val="24"/>
          <w:szCs w:val="24"/>
          <w:highlight w:val="yellow"/>
        </w:rPr>
        <w:t>week</w:t>
      </w:r>
      <w:r w:rsidR="00484A1D" w:rsidRPr="000A4404">
        <w:rPr>
          <w:rFonts w:ascii="Times New Roman" w:hAnsi="Times New Roman" w:cs="Times New Roman"/>
          <w:sz w:val="24"/>
          <w:szCs w:val="24"/>
          <w:highlight w:val="yellow"/>
        </w:rPr>
        <w:t>s</w:t>
      </w:r>
      <w:r w:rsidR="007C4941" w:rsidRPr="000A4404">
        <w:rPr>
          <w:rFonts w:ascii="Times New Roman" w:hAnsi="Times New Roman" w:cs="Times New Roman"/>
          <w:sz w:val="24"/>
          <w:szCs w:val="24"/>
          <w:highlight w:val="yellow"/>
        </w:rPr>
        <w:t xml:space="preserve"> to</w:t>
      </w:r>
      <w:r w:rsidR="007C4941" w:rsidRPr="00E66107">
        <w:rPr>
          <w:rFonts w:ascii="Times New Roman" w:hAnsi="Times New Roman" w:cs="Times New Roman"/>
          <w:sz w:val="24"/>
          <w:szCs w:val="24"/>
        </w:rPr>
        <w:t xml:space="preserve"> the lab environment. They were fed a standard pellet diet and drinking water </w:t>
      </w:r>
      <w:r w:rsidR="007C4941" w:rsidRPr="00E66107">
        <w:rPr>
          <w:rFonts w:ascii="Times New Roman" w:hAnsi="Times New Roman" w:cs="Times New Roman"/>
          <w:i/>
          <w:sz w:val="24"/>
          <w:szCs w:val="24"/>
        </w:rPr>
        <w:t xml:space="preserve">ad libitum </w:t>
      </w:r>
      <w:r w:rsidR="007C4941" w:rsidRPr="00E66107">
        <w:rPr>
          <w:rFonts w:ascii="Times New Roman" w:hAnsi="Times New Roman" w:cs="Times New Roman"/>
          <w:sz w:val="24"/>
          <w:szCs w:val="24"/>
        </w:rPr>
        <w:t xml:space="preserve">throughout the experiment study.  </w:t>
      </w:r>
    </w:p>
    <w:p w14:paraId="4A56B3C0" w14:textId="77777777" w:rsidR="007C4941" w:rsidRPr="00E66107" w:rsidRDefault="007C4941" w:rsidP="00E66107">
      <w:pPr>
        <w:spacing w:after="0" w:line="360" w:lineRule="auto"/>
        <w:jc w:val="both"/>
        <w:rPr>
          <w:rFonts w:ascii="Times New Roman" w:hAnsi="Times New Roman" w:cs="Times New Roman"/>
          <w:b/>
          <w:sz w:val="24"/>
          <w:szCs w:val="24"/>
        </w:rPr>
      </w:pPr>
      <w:r w:rsidRPr="00E66107">
        <w:rPr>
          <w:rFonts w:ascii="Times New Roman" w:hAnsi="Times New Roman" w:cs="Times New Roman"/>
          <w:sz w:val="24"/>
          <w:szCs w:val="24"/>
        </w:rPr>
        <w:t xml:space="preserve"> </w:t>
      </w:r>
      <w:r w:rsidR="00C93C15" w:rsidRPr="00E66107">
        <w:rPr>
          <w:rFonts w:ascii="Times New Roman" w:hAnsi="Times New Roman" w:cs="Times New Roman"/>
          <w:b/>
          <w:sz w:val="24"/>
          <w:szCs w:val="24"/>
        </w:rPr>
        <w:t xml:space="preserve">Table </w:t>
      </w:r>
      <w:r w:rsidRPr="00E66107">
        <w:rPr>
          <w:rFonts w:ascii="Times New Roman" w:hAnsi="Times New Roman" w:cs="Times New Roman"/>
          <w:b/>
          <w:sz w:val="24"/>
          <w:szCs w:val="24"/>
        </w:rPr>
        <w:t>1: Animals grouping for CCl</w:t>
      </w:r>
      <w:r w:rsidRPr="00E66107">
        <w:rPr>
          <w:rFonts w:ascii="Times New Roman" w:hAnsi="Times New Roman" w:cs="Times New Roman"/>
          <w:b/>
          <w:sz w:val="24"/>
          <w:szCs w:val="24"/>
          <w:vertAlign w:val="subscript"/>
        </w:rPr>
        <w:t xml:space="preserve">4 </w:t>
      </w:r>
      <w:r w:rsidRPr="00E66107">
        <w:rPr>
          <w:rFonts w:ascii="Times New Roman" w:hAnsi="Times New Roman" w:cs="Times New Roman"/>
          <w:b/>
          <w:sz w:val="24"/>
          <w:szCs w:val="24"/>
        </w:rPr>
        <w:t>Model</w:t>
      </w:r>
    </w:p>
    <w:tbl>
      <w:tblPr>
        <w:tblStyle w:val="TableGrid"/>
        <w:tblW w:w="9738" w:type="dxa"/>
        <w:tblLook w:val="04A0" w:firstRow="1" w:lastRow="0" w:firstColumn="1" w:lastColumn="0" w:noHBand="0" w:noVBand="1"/>
      </w:tblPr>
      <w:tblGrid>
        <w:gridCol w:w="2076"/>
        <w:gridCol w:w="3796"/>
        <w:gridCol w:w="3866"/>
      </w:tblGrid>
      <w:tr w:rsidR="007C4941" w:rsidRPr="00E66107" w14:paraId="0E9065FE" w14:textId="77777777" w:rsidTr="00764230">
        <w:trPr>
          <w:trHeight w:val="287"/>
        </w:trPr>
        <w:tc>
          <w:tcPr>
            <w:tcW w:w="2076" w:type="dxa"/>
          </w:tcPr>
          <w:p w14:paraId="7B3AAD08" w14:textId="77777777" w:rsidR="007C4941" w:rsidRPr="00E66107" w:rsidRDefault="007C4941" w:rsidP="00E66107">
            <w:pPr>
              <w:jc w:val="both"/>
              <w:rPr>
                <w:rFonts w:ascii="Times New Roman" w:hAnsi="Times New Roman" w:cs="Times New Roman"/>
                <w:sz w:val="24"/>
                <w:szCs w:val="24"/>
              </w:rPr>
            </w:pPr>
            <w:r w:rsidRPr="00E66107">
              <w:rPr>
                <w:rFonts w:ascii="Times New Roman" w:hAnsi="Times New Roman" w:cs="Times New Roman"/>
                <w:sz w:val="24"/>
                <w:szCs w:val="24"/>
              </w:rPr>
              <w:t>Group</w:t>
            </w:r>
          </w:p>
        </w:tc>
        <w:tc>
          <w:tcPr>
            <w:tcW w:w="3796" w:type="dxa"/>
          </w:tcPr>
          <w:p w14:paraId="150CF569" w14:textId="77777777" w:rsidR="007C4941" w:rsidRPr="00E66107" w:rsidRDefault="007C4941" w:rsidP="00E66107">
            <w:pPr>
              <w:jc w:val="both"/>
              <w:rPr>
                <w:rFonts w:ascii="Times New Roman" w:hAnsi="Times New Roman" w:cs="Times New Roman"/>
                <w:sz w:val="24"/>
                <w:szCs w:val="24"/>
              </w:rPr>
            </w:pPr>
            <w:r w:rsidRPr="00E66107">
              <w:rPr>
                <w:rFonts w:ascii="Times New Roman" w:hAnsi="Times New Roman" w:cs="Times New Roman"/>
                <w:sz w:val="24"/>
                <w:szCs w:val="24"/>
              </w:rPr>
              <w:t>Treatment</w:t>
            </w:r>
          </w:p>
        </w:tc>
        <w:tc>
          <w:tcPr>
            <w:tcW w:w="3866" w:type="dxa"/>
          </w:tcPr>
          <w:p w14:paraId="2D2F6708" w14:textId="77777777" w:rsidR="007C4941" w:rsidRPr="00E66107" w:rsidRDefault="007C4941" w:rsidP="00E66107">
            <w:pPr>
              <w:jc w:val="both"/>
              <w:rPr>
                <w:rFonts w:ascii="Times New Roman" w:hAnsi="Times New Roman" w:cs="Times New Roman"/>
                <w:sz w:val="24"/>
                <w:szCs w:val="24"/>
              </w:rPr>
            </w:pPr>
            <w:r w:rsidRPr="00E66107">
              <w:rPr>
                <w:rFonts w:ascii="Times New Roman" w:hAnsi="Times New Roman" w:cs="Times New Roman"/>
                <w:sz w:val="24"/>
                <w:szCs w:val="24"/>
              </w:rPr>
              <w:t>Carbon Tetrachloride</w:t>
            </w:r>
          </w:p>
        </w:tc>
      </w:tr>
      <w:tr w:rsidR="007C4941" w:rsidRPr="00E66107" w14:paraId="4D312400" w14:textId="77777777" w:rsidTr="00764230">
        <w:trPr>
          <w:trHeight w:val="575"/>
        </w:trPr>
        <w:tc>
          <w:tcPr>
            <w:tcW w:w="2076" w:type="dxa"/>
          </w:tcPr>
          <w:p w14:paraId="54A56AB5" w14:textId="77777777" w:rsidR="007C4941" w:rsidRPr="00E66107" w:rsidRDefault="007C4941" w:rsidP="00E66107">
            <w:pPr>
              <w:jc w:val="both"/>
              <w:rPr>
                <w:rFonts w:ascii="Times New Roman" w:eastAsia="Times New Roman" w:hAnsi="Times New Roman" w:cs="Times New Roman"/>
                <w:sz w:val="24"/>
                <w:szCs w:val="24"/>
              </w:rPr>
            </w:pPr>
            <w:r w:rsidRPr="00E66107">
              <w:rPr>
                <w:rFonts w:ascii="Times New Roman" w:eastAsia="Times New Roman" w:hAnsi="Times New Roman" w:cs="Times New Roman"/>
                <w:color w:val="000000" w:themeColor="dark1"/>
                <w:kern w:val="24"/>
                <w:sz w:val="24"/>
                <w:szCs w:val="24"/>
              </w:rPr>
              <w:t>A</w:t>
            </w:r>
          </w:p>
          <w:p w14:paraId="68FB8CC0" w14:textId="77777777" w:rsidR="007C4941" w:rsidRPr="00E66107" w:rsidRDefault="007C4941" w:rsidP="00E66107">
            <w:pPr>
              <w:jc w:val="both"/>
              <w:rPr>
                <w:rFonts w:ascii="Times New Roman" w:eastAsia="Times New Roman" w:hAnsi="Times New Roman" w:cs="Times New Roman"/>
                <w:sz w:val="24"/>
                <w:szCs w:val="24"/>
              </w:rPr>
            </w:pPr>
            <w:r w:rsidRPr="00E66107">
              <w:rPr>
                <w:rFonts w:ascii="Times New Roman" w:eastAsia="Times New Roman" w:hAnsi="Times New Roman" w:cs="Times New Roman"/>
                <w:color w:val="000000" w:themeColor="dark1"/>
                <w:kern w:val="24"/>
                <w:sz w:val="24"/>
                <w:szCs w:val="24"/>
              </w:rPr>
              <w:t>(Normal Control)</w:t>
            </w:r>
          </w:p>
        </w:tc>
        <w:tc>
          <w:tcPr>
            <w:tcW w:w="3796" w:type="dxa"/>
          </w:tcPr>
          <w:p w14:paraId="15538A47" w14:textId="77777777" w:rsidR="007C4941" w:rsidRPr="00E66107" w:rsidRDefault="007C4941" w:rsidP="00E66107">
            <w:pPr>
              <w:jc w:val="both"/>
              <w:rPr>
                <w:rFonts w:ascii="Times New Roman" w:eastAsia="Times New Roman" w:hAnsi="Times New Roman" w:cs="Times New Roman"/>
                <w:sz w:val="24"/>
                <w:szCs w:val="24"/>
              </w:rPr>
            </w:pPr>
            <w:r w:rsidRPr="00E66107">
              <w:rPr>
                <w:rFonts w:ascii="Times New Roman" w:eastAsia="Times New Roman" w:hAnsi="Times New Roman" w:cs="Times New Roman"/>
                <w:color w:val="000000" w:themeColor="dark1"/>
                <w:kern w:val="24"/>
                <w:sz w:val="24"/>
                <w:szCs w:val="24"/>
              </w:rPr>
              <w:t>Distilled water for fourteen days</w:t>
            </w:r>
          </w:p>
        </w:tc>
        <w:tc>
          <w:tcPr>
            <w:tcW w:w="3866" w:type="dxa"/>
          </w:tcPr>
          <w:p w14:paraId="40EC882E" w14:textId="77777777" w:rsidR="007C4941" w:rsidRPr="00E66107" w:rsidRDefault="007C4941" w:rsidP="00E66107">
            <w:pPr>
              <w:jc w:val="both"/>
              <w:rPr>
                <w:rFonts w:ascii="Times New Roman" w:eastAsia="Times New Roman" w:hAnsi="Times New Roman" w:cs="Times New Roman"/>
                <w:sz w:val="24"/>
                <w:szCs w:val="24"/>
              </w:rPr>
            </w:pPr>
            <w:r w:rsidRPr="00E66107">
              <w:rPr>
                <w:rFonts w:ascii="Times New Roman" w:eastAsia="Times New Roman" w:hAnsi="Times New Roman" w:cs="Times New Roman"/>
                <w:color w:val="000000" w:themeColor="dark1"/>
                <w:kern w:val="24"/>
                <w:sz w:val="24"/>
                <w:szCs w:val="24"/>
              </w:rPr>
              <w:t>Not administered</w:t>
            </w:r>
          </w:p>
        </w:tc>
      </w:tr>
      <w:tr w:rsidR="007C4941" w:rsidRPr="00E66107" w14:paraId="3DB3B89D" w14:textId="77777777" w:rsidTr="00764230">
        <w:trPr>
          <w:trHeight w:val="863"/>
        </w:trPr>
        <w:tc>
          <w:tcPr>
            <w:tcW w:w="2076" w:type="dxa"/>
          </w:tcPr>
          <w:p w14:paraId="713F054A" w14:textId="77777777" w:rsidR="007C4941" w:rsidRPr="00E66107" w:rsidRDefault="007C4941" w:rsidP="00E66107">
            <w:pPr>
              <w:jc w:val="both"/>
              <w:rPr>
                <w:rFonts w:ascii="Times New Roman" w:eastAsia="Times New Roman" w:hAnsi="Times New Roman" w:cs="Times New Roman"/>
                <w:sz w:val="24"/>
                <w:szCs w:val="24"/>
              </w:rPr>
            </w:pPr>
            <w:r w:rsidRPr="00E66107">
              <w:rPr>
                <w:rFonts w:ascii="Times New Roman" w:eastAsia="Times New Roman" w:hAnsi="Times New Roman" w:cs="Times New Roman"/>
                <w:color w:val="000000" w:themeColor="dark1"/>
                <w:kern w:val="24"/>
                <w:sz w:val="24"/>
                <w:szCs w:val="24"/>
              </w:rPr>
              <w:t>B</w:t>
            </w:r>
          </w:p>
          <w:p w14:paraId="19BADA4D" w14:textId="77777777" w:rsidR="007C4941" w:rsidRPr="00E66107" w:rsidRDefault="007C4941" w:rsidP="00E66107">
            <w:pPr>
              <w:jc w:val="both"/>
              <w:rPr>
                <w:rFonts w:ascii="Times New Roman" w:eastAsia="Times New Roman" w:hAnsi="Times New Roman" w:cs="Times New Roman"/>
                <w:sz w:val="24"/>
                <w:szCs w:val="24"/>
              </w:rPr>
            </w:pPr>
            <w:r w:rsidRPr="00E66107">
              <w:rPr>
                <w:rFonts w:ascii="Times New Roman" w:eastAsia="Times New Roman" w:hAnsi="Times New Roman" w:cs="Times New Roman"/>
                <w:color w:val="000000" w:themeColor="dark1"/>
                <w:kern w:val="24"/>
                <w:sz w:val="24"/>
                <w:szCs w:val="24"/>
              </w:rPr>
              <w:t>(Negative Control)</w:t>
            </w:r>
          </w:p>
        </w:tc>
        <w:tc>
          <w:tcPr>
            <w:tcW w:w="3796" w:type="dxa"/>
          </w:tcPr>
          <w:p w14:paraId="30557D89" w14:textId="77777777" w:rsidR="007C4941" w:rsidRPr="00E66107" w:rsidRDefault="007C4941" w:rsidP="00E66107">
            <w:pPr>
              <w:jc w:val="both"/>
              <w:rPr>
                <w:rFonts w:ascii="Times New Roman" w:eastAsia="Times New Roman" w:hAnsi="Times New Roman" w:cs="Times New Roman"/>
                <w:sz w:val="24"/>
                <w:szCs w:val="24"/>
              </w:rPr>
            </w:pPr>
            <w:r w:rsidRPr="00E66107">
              <w:rPr>
                <w:rFonts w:ascii="Times New Roman" w:eastAsia="Times New Roman" w:hAnsi="Times New Roman" w:cs="Times New Roman"/>
                <w:color w:val="000000" w:themeColor="dark1"/>
                <w:kern w:val="24"/>
                <w:sz w:val="24"/>
                <w:szCs w:val="24"/>
              </w:rPr>
              <w:t>No treatment</w:t>
            </w:r>
          </w:p>
        </w:tc>
        <w:tc>
          <w:tcPr>
            <w:tcW w:w="3866" w:type="dxa"/>
          </w:tcPr>
          <w:p w14:paraId="5ABDC822" w14:textId="77777777" w:rsidR="007C4941" w:rsidRPr="00E66107" w:rsidRDefault="007C4941" w:rsidP="00E66107">
            <w:pPr>
              <w:jc w:val="both"/>
              <w:rPr>
                <w:rFonts w:ascii="Times New Roman" w:eastAsia="Times New Roman" w:hAnsi="Times New Roman" w:cs="Times New Roman"/>
                <w:sz w:val="24"/>
                <w:szCs w:val="24"/>
              </w:rPr>
            </w:pPr>
            <w:r w:rsidRPr="00E66107">
              <w:rPr>
                <w:rFonts w:ascii="Times New Roman" w:eastAsia="Times New Roman" w:hAnsi="Times New Roman" w:cs="Times New Roman"/>
                <w:color w:val="000000" w:themeColor="dark1"/>
                <w:kern w:val="24"/>
                <w:sz w:val="24"/>
                <w:szCs w:val="24"/>
              </w:rPr>
              <w:t>CCl</w:t>
            </w:r>
            <w:r w:rsidRPr="00E66107">
              <w:rPr>
                <w:rFonts w:ascii="Times New Roman" w:eastAsia="Times New Roman" w:hAnsi="Times New Roman" w:cs="Times New Roman"/>
                <w:color w:val="000000" w:themeColor="dark1"/>
                <w:kern w:val="24"/>
                <w:position w:val="-9"/>
                <w:sz w:val="24"/>
                <w:szCs w:val="24"/>
                <w:vertAlign w:val="subscript"/>
              </w:rPr>
              <w:t xml:space="preserve">4 </w:t>
            </w:r>
            <w:r w:rsidRPr="00E66107">
              <w:rPr>
                <w:rFonts w:ascii="Times New Roman" w:eastAsia="Times New Roman" w:hAnsi="Times New Roman" w:cs="Times New Roman"/>
                <w:color w:val="000000" w:themeColor="dark1"/>
                <w:kern w:val="24"/>
                <w:sz w:val="24"/>
                <w:szCs w:val="24"/>
              </w:rPr>
              <w:t>(3 ml/kg body weight in 1:1 olive oil on day 7 and 14) administered (i.p)</w:t>
            </w:r>
          </w:p>
        </w:tc>
      </w:tr>
      <w:tr w:rsidR="007C4941" w:rsidRPr="00E66107" w14:paraId="7259CC74" w14:textId="77777777" w:rsidTr="00764230">
        <w:trPr>
          <w:trHeight w:val="890"/>
        </w:trPr>
        <w:tc>
          <w:tcPr>
            <w:tcW w:w="2076" w:type="dxa"/>
          </w:tcPr>
          <w:p w14:paraId="32BE26F8" w14:textId="77777777" w:rsidR="007C4941" w:rsidRPr="00E66107" w:rsidRDefault="007C4941" w:rsidP="00E66107">
            <w:pPr>
              <w:jc w:val="both"/>
              <w:rPr>
                <w:rFonts w:ascii="Times New Roman" w:eastAsia="Times New Roman" w:hAnsi="Times New Roman" w:cs="Times New Roman"/>
                <w:sz w:val="24"/>
                <w:szCs w:val="24"/>
              </w:rPr>
            </w:pPr>
            <w:r w:rsidRPr="00E66107">
              <w:rPr>
                <w:rFonts w:ascii="Times New Roman" w:eastAsia="Times New Roman" w:hAnsi="Times New Roman" w:cs="Times New Roman"/>
                <w:color w:val="000000" w:themeColor="dark1"/>
                <w:kern w:val="24"/>
                <w:sz w:val="24"/>
                <w:szCs w:val="24"/>
              </w:rPr>
              <w:t>C</w:t>
            </w:r>
          </w:p>
          <w:p w14:paraId="43E9B9F5" w14:textId="77777777" w:rsidR="007C4941" w:rsidRPr="00E66107" w:rsidRDefault="007C4941" w:rsidP="00E66107">
            <w:pPr>
              <w:jc w:val="both"/>
              <w:rPr>
                <w:rFonts w:ascii="Times New Roman" w:eastAsia="Times New Roman" w:hAnsi="Times New Roman" w:cs="Times New Roman"/>
                <w:sz w:val="24"/>
                <w:szCs w:val="24"/>
              </w:rPr>
            </w:pPr>
            <w:r w:rsidRPr="00E66107">
              <w:rPr>
                <w:rFonts w:ascii="Times New Roman" w:eastAsia="Times New Roman" w:hAnsi="Times New Roman" w:cs="Times New Roman"/>
                <w:color w:val="000000" w:themeColor="dark1"/>
                <w:kern w:val="24"/>
                <w:sz w:val="24"/>
                <w:szCs w:val="24"/>
              </w:rPr>
              <w:t>(Positive Control)</w:t>
            </w:r>
          </w:p>
        </w:tc>
        <w:tc>
          <w:tcPr>
            <w:tcW w:w="3796" w:type="dxa"/>
          </w:tcPr>
          <w:p w14:paraId="788FB8E1" w14:textId="77777777" w:rsidR="007C4941" w:rsidRPr="00E66107" w:rsidRDefault="007C4941" w:rsidP="00E66107">
            <w:pPr>
              <w:jc w:val="both"/>
              <w:rPr>
                <w:rFonts w:ascii="Times New Roman" w:eastAsia="Times New Roman" w:hAnsi="Times New Roman" w:cs="Times New Roman"/>
                <w:sz w:val="24"/>
                <w:szCs w:val="24"/>
              </w:rPr>
            </w:pPr>
            <w:r w:rsidRPr="00E66107">
              <w:rPr>
                <w:rFonts w:ascii="Times New Roman" w:eastAsia="Times New Roman" w:hAnsi="Times New Roman" w:cs="Times New Roman"/>
                <w:color w:val="000000" w:themeColor="dark1"/>
                <w:kern w:val="24"/>
                <w:sz w:val="24"/>
                <w:szCs w:val="24"/>
              </w:rPr>
              <w:t>Silymarin (70 mg/kg body weight) administered for fourteen days</w:t>
            </w:r>
          </w:p>
        </w:tc>
        <w:tc>
          <w:tcPr>
            <w:tcW w:w="3866" w:type="dxa"/>
          </w:tcPr>
          <w:p w14:paraId="3CB47784" w14:textId="77777777" w:rsidR="007C4941" w:rsidRPr="00E66107" w:rsidRDefault="007C4941" w:rsidP="00E66107">
            <w:pPr>
              <w:jc w:val="both"/>
              <w:rPr>
                <w:rFonts w:ascii="Times New Roman" w:eastAsia="Times New Roman" w:hAnsi="Times New Roman" w:cs="Times New Roman"/>
                <w:sz w:val="24"/>
                <w:szCs w:val="24"/>
              </w:rPr>
            </w:pPr>
            <w:r w:rsidRPr="00E66107">
              <w:rPr>
                <w:rFonts w:ascii="Times New Roman" w:eastAsia="Times New Roman" w:hAnsi="Times New Roman" w:cs="Times New Roman"/>
                <w:color w:val="000000" w:themeColor="dark1"/>
                <w:kern w:val="24"/>
                <w:sz w:val="24"/>
                <w:szCs w:val="24"/>
              </w:rPr>
              <w:t>CCl</w:t>
            </w:r>
            <w:r w:rsidRPr="00E66107">
              <w:rPr>
                <w:rFonts w:ascii="Times New Roman" w:eastAsia="Times New Roman" w:hAnsi="Times New Roman" w:cs="Times New Roman"/>
                <w:color w:val="000000" w:themeColor="dark1"/>
                <w:kern w:val="24"/>
                <w:position w:val="-9"/>
                <w:sz w:val="24"/>
                <w:szCs w:val="24"/>
                <w:vertAlign w:val="subscript"/>
              </w:rPr>
              <w:t xml:space="preserve">4 </w:t>
            </w:r>
            <w:r w:rsidRPr="00E66107">
              <w:rPr>
                <w:rFonts w:ascii="Times New Roman" w:eastAsia="Times New Roman" w:hAnsi="Times New Roman" w:cs="Times New Roman"/>
                <w:color w:val="000000" w:themeColor="dark1"/>
                <w:kern w:val="24"/>
                <w:sz w:val="24"/>
                <w:szCs w:val="24"/>
              </w:rPr>
              <w:t>(3 ml/kg body weight in 1:1 olive oil on day 7 and 14) administered (i.p)</w:t>
            </w:r>
          </w:p>
        </w:tc>
      </w:tr>
      <w:tr w:rsidR="007C4941" w:rsidRPr="00E66107" w14:paraId="0572B6DD" w14:textId="77777777" w:rsidTr="00764230">
        <w:trPr>
          <w:trHeight w:val="863"/>
        </w:trPr>
        <w:tc>
          <w:tcPr>
            <w:tcW w:w="2076" w:type="dxa"/>
          </w:tcPr>
          <w:p w14:paraId="7A05859C" w14:textId="77777777" w:rsidR="007C4941" w:rsidRPr="00E66107" w:rsidRDefault="007C4941" w:rsidP="00E66107">
            <w:pPr>
              <w:jc w:val="both"/>
              <w:rPr>
                <w:rFonts w:ascii="Times New Roman" w:eastAsia="Times New Roman" w:hAnsi="Times New Roman" w:cs="Times New Roman"/>
                <w:sz w:val="24"/>
                <w:szCs w:val="24"/>
              </w:rPr>
            </w:pPr>
            <w:r w:rsidRPr="00E66107">
              <w:rPr>
                <w:rFonts w:ascii="Times New Roman" w:eastAsia="Times New Roman" w:hAnsi="Times New Roman" w:cs="Times New Roman"/>
                <w:color w:val="000000" w:themeColor="dark1"/>
                <w:kern w:val="24"/>
                <w:sz w:val="24"/>
                <w:szCs w:val="24"/>
              </w:rPr>
              <w:t>D</w:t>
            </w:r>
          </w:p>
        </w:tc>
        <w:tc>
          <w:tcPr>
            <w:tcW w:w="3796" w:type="dxa"/>
          </w:tcPr>
          <w:p w14:paraId="40E39B19" w14:textId="77777777" w:rsidR="007C4941" w:rsidRPr="00E66107" w:rsidRDefault="007C4941" w:rsidP="00E66107">
            <w:pPr>
              <w:jc w:val="both"/>
              <w:rPr>
                <w:rFonts w:ascii="Times New Roman" w:eastAsia="Times New Roman" w:hAnsi="Times New Roman" w:cs="Times New Roman"/>
                <w:sz w:val="24"/>
                <w:szCs w:val="24"/>
              </w:rPr>
            </w:pPr>
            <w:r w:rsidRPr="00E66107">
              <w:rPr>
                <w:rFonts w:ascii="Times New Roman" w:eastAsia="Times New Roman" w:hAnsi="Times New Roman" w:cs="Times New Roman"/>
                <w:color w:val="000000" w:themeColor="dark1"/>
                <w:kern w:val="24"/>
                <w:sz w:val="24"/>
                <w:szCs w:val="24"/>
              </w:rPr>
              <w:t xml:space="preserve">Aqueous leaf extract of </w:t>
            </w:r>
            <w:r w:rsidRPr="00E66107">
              <w:rPr>
                <w:rFonts w:ascii="Times New Roman" w:eastAsiaTheme="minorEastAsia" w:hAnsi="Times New Roman" w:cs="Times New Roman"/>
                <w:i/>
                <w:iCs/>
                <w:color w:val="000000"/>
                <w:kern w:val="24"/>
                <w:sz w:val="24"/>
                <w:szCs w:val="24"/>
              </w:rPr>
              <w:t>Anogeissus leiocarpus</w:t>
            </w:r>
            <w:r w:rsidR="003E39D4">
              <w:rPr>
                <w:rFonts w:ascii="Times New Roman" w:eastAsia="Times New Roman" w:hAnsi="Times New Roman" w:cs="Times New Roman"/>
                <w:color w:val="000000" w:themeColor="dark1"/>
                <w:kern w:val="24"/>
                <w:sz w:val="24"/>
                <w:szCs w:val="24"/>
              </w:rPr>
              <w:t xml:space="preserve"> (ALEAL) (115 mg/</w:t>
            </w:r>
            <w:r w:rsidRPr="00E66107">
              <w:rPr>
                <w:rFonts w:ascii="Times New Roman" w:eastAsia="Times New Roman" w:hAnsi="Times New Roman" w:cs="Times New Roman"/>
                <w:color w:val="000000" w:themeColor="dark1"/>
                <w:kern w:val="24"/>
                <w:sz w:val="24"/>
                <w:szCs w:val="24"/>
              </w:rPr>
              <w:t xml:space="preserve">kg) administered for fourteen days </w:t>
            </w:r>
          </w:p>
        </w:tc>
        <w:tc>
          <w:tcPr>
            <w:tcW w:w="3866" w:type="dxa"/>
          </w:tcPr>
          <w:p w14:paraId="76C1D76F" w14:textId="77777777" w:rsidR="007C4941" w:rsidRPr="00E66107" w:rsidRDefault="007C4941" w:rsidP="00E66107">
            <w:pPr>
              <w:jc w:val="both"/>
              <w:rPr>
                <w:rFonts w:ascii="Times New Roman" w:eastAsia="Times New Roman" w:hAnsi="Times New Roman" w:cs="Times New Roman"/>
                <w:sz w:val="24"/>
                <w:szCs w:val="24"/>
              </w:rPr>
            </w:pPr>
            <w:r w:rsidRPr="00E66107">
              <w:rPr>
                <w:rFonts w:ascii="Times New Roman" w:eastAsia="Times New Roman" w:hAnsi="Times New Roman" w:cs="Times New Roman"/>
                <w:color w:val="000000" w:themeColor="dark1"/>
                <w:kern w:val="24"/>
                <w:sz w:val="24"/>
                <w:szCs w:val="24"/>
              </w:rPr>
              <w:t>CCl</w:t>
            </w:r>
            <w:r w:rsidRPr="00E66107">
              <w:rPr>
                <w:rFonts w:ascii="Times New Roman" w:eastAsia="Times New Roman" w:hAnsi="Times New Roman" w:cs="Times New Roman"/>
                <w:color w:val="000000" w:themeColor="dark1"/>
                <w:kern w:val="24"/>
                <w:position w:val="-9"/>
                <w:sz w:val="24"/>
                <w:szCs w:val="24"/>
                <w:vertAlign w:val="subscript"/>
              </w:rPr>
              <w:t xml:space="preserve">4 </w:t>
            </w:r>
            <w:r w:rsidRPr="00E66107">
              <w:rPr>
                <w:rFonts w:ascii="Times New Roman" w:eastAsia="Times New Roman" w:hAnsi="Times New Roman" w:cs="Times New Roman"/>
                <w:color w:val="000000" w:themeColor="dark1"/>
                <w:kern w:val="24"/>
                <w:sz w:val="24"/>
                <w:szCs w:val="24"/>
              </w:rPr>
              <w:t>(3 ml/kg body weight in 1:1 olive oil on day 7 and 14) administered (i.p)</w:t>
            </w:r>
          </w:p>
        </w:tc>
      </w:tr>
      <w:tr w:rsidR="007C4941" w:rsidRPr="00E66107" w14:paraId="3FBDF27F" w14:textId="77777777" w:rsidTr="00764230">
        <w:trPr>
          <w:trHeight w:val="827"/>
        </w:trPr>
        <w:tc>
          <w:tcPr>
            <w:tcW w:w="2076" w:type="dxa"/>
          </w:tcPr>
          <w:p w14:paraId="1CDDE161" w14:textId="77777777" w:rsidR="007C4941" w:rsidRPr="00E66107" w:rsidRDefault="007C4941" w:rsidP="00E66107">
            <w:pPr>
              <w:jc w:val="both"/>
              <w:rPr>
                <w:rFonts w:ascii="Times New Roman" w:eastAsia="Times New Roman" w:hAnsi="Times New Roman" w:cs="Times New Roman"/>
                <w:color w:val="000000" w:themeColor="dark1"/>
                <w:kern w:val="24"/>
                <w:sz w:val="24"/>
                <w:szCs w:val="24"/>
              </w:rPr>
            </w:pPr>
            <w:r w:rsidRPr="00E66107">
              <w:rPr>
                <w:rFonts w:ascii="Times New Roman" w:eastAsia="Times New Roman" w:hAnsi="Times New Roman" w:cs="Times New Roman"/>
                <w:color w:val="000000" w:themeColor="dark1"/>
                <w:kern w:val="24"/>
                <w:sz w:val="24"/>
                <w:szCs w:val="24"/>
              </w:rPr>
              <w:t>E</w:t>
            </w:r>
          </w:p>
          <w:p w14:paraId="071BF659" w14:textId="77777777" w:rsidR="007C4941" w:rsidRPr="00E66107" w:rsidRDefault="007C4941" w:rsidP="00E66107">
            <w:pPr>
              <w:jc w:val="both"/>
              <w:rPr>
                <w:rFonts w:ascii="Times New Roman" w:eastAsia="Times New Roman" w:hAnsi="Times New Roman" w:cs="Times New Roman"/>
                <w:color w:val="000000" w:themeColor="dark1"/>
                <w:kern w:val="24"/>
                <w:sz w:val="24"/>
                <w:szCs w:val="24"/>
              </w:rPr>
            </w:pPr>
          </w:p>
          <w:p w14:paraId="56C658F9" w14:textId="77777777" w:rsidR="007C4941" w:rsidRPr="00E66107" w:rsidRDefault="007C4941" w:rsidP="00E66107">
            <w:pPr>
              <w:jc w:val="both"/>
              <w:rPr>
                <w:rFonts w:ascii="Times New Roman" w:eastAsia="Times New Roman" w:hAnsi="Times New Roman" w:cs="Times New Roman"/>
                <w:sz w:val="24"/>
                <w:szCs w:val="24"/>
              </w:rPr>
            </w:pPr>
          </w:p>
        </w:tc>
        <w:tc>
          <w:tcPr>
            <w:tcW w:w="3796" w:type="dxa"/>
          </w:tcPr>
          <w:p w14:paraId="12501B7B" w14:textId="77777777" w:rsidR="007C4941" w:rsidRPr="00E66107" w:rsidRDefault="007C4941" w:rsidP="00E66107">
            <w:pPr>
              <w:jc w:val="both"/>
              <w:rPr>
                <w:rFonts w:ascii="Times New Roman" w:eastAsia="Times New Roman" w:hAnsi="Times New Roman" w:cs="Times New Roman"/>
                <w:sz w:val="24"/>
                <w:szCs w:val="24"/>
              </w:rPr>
            </w:pPr>
            <w:r w:rsidRPr="00E66107">
              <w:rPr>
                <w:rFonts w:ascii="Times New Roman" w:eastAsia="Times New Roman" w:hAnsi="Times New Roman" w:cs="Times New Roman"/>
                <w:color w:val="000000" w:themeColor="dark1"/>
                <w:kern w:val="24"/>
                <w:sz w:val="24"/>
                <w:szCs w:val="24"/>
              </w:rPr>
              <w:t xml:space="preserve">Aqueous leaf extract of </w:t>
            </w:r>
            <w:r w:rsidRPr="00E66107">
              <w:rPr>
                <w:rFonts w:ascii="Times New Roman" w:eastAsiaTheme="minorEastAsia" w:hAnsi="Times New Roman" w:cs="Times New Roman"/>
                <w:i/>
                <w:iCs/>
                <w:color w:val="000000"/>
                <w:kern w:val="24"/>
                <w:sz w:val="24"/>
                <w:szCs w:val="24"/>
              </w:rPr>
              <w:t>Anogeissus leiocarpus</w:t>
            </w:r>
            <w:r w:rsidR="003E39D4">
              <w:rPr>
                <w:rFonts w:ascii="Times New Roman" w:eastAsia="Times New Roman" w:hAnsi="Times New Roman" w:cs="Times New Roman"/>
                <w:color w:val="000000" w:themeColor="dark1"/>
                <w:kern w:val="24"/>
                <w:sz w:val="24"/>
                <w:szCs w:val="24"/>
              </w:rPr>
              <w:t xml:space="preserve"> (ALEAL) (230 mg/</w:t>
            </w:r>
            <w:r w:rsidRPr="00E66107">
              <w:rPr>
                <w:rFonts w:ascii="Times New Roman" w:eastAsia="Times New Roman" w:hAnsi="Times New Roman" w:cs="Times New Roman"/>
                <w:color w:val="000000" w:themeColor="dark1"/>
                <w:kern w:val="24"/>
                <w:sz w:val="24"/>
                <w:szCs w:val="24"/>
              </w:rPr>
              <w:t xml:space="preserve">kg) administered for fourteen days </w:t>
            </w:r>
          </w:p>
        </w:tc>
        <w:tc>
          <w:tcPr>
            <w:tcW w:w="3866" w:type="dxa"/>
          </w:tcPr>
          <w:p w14:paraId="263AFB0D" w14:textId="77777777" w:rsidR="007C4941" w:rsidRPr="00E66107" w:rsidRDefault="007C4941" w:rsidP="00E66107">
            <w:pPr>
              <w:jc w:val="both"/>
              <w:rPr>
                <w:rFonts w:ascii="Times New Roman" w:eastAsia="Times New Roman" w:hAnsi="Times New Roman" w:cs="Times New Roman"/>
                <w:sz w:val="24"/>
                <w:szCs w:val="24"/>
              </w:rPr>
            </w:pPr>
            <w:r w:rsidRPr="00E66107">
              <w:rPr>
                <w:rFonts w:ascii="Times New Roman" w:eastAsia="Times New Roman" w:hAnsi="Times New Roman" w:cs="Times New Roman"/>
                <w:color w:val="000000" w:themeColor="dark1"/>
                <w:kern w:val="24"/>
                <w:sz w:val="24"/>
                <w:szCs w:val="24"/>
              </w:rPr>
              <w:t>CCl</w:t>
            </w:r>
            <w:r w:rsidRPr="00E66107">
              <w:rPr>
                <w:rFonts w:ascii="Times New Roman" w:eastAsia="Times New Roman" w:hAnsi="Times New Roman" w:cs="Times New Roman"/>
                <w:color w:val="000000" w:themeColor="dark1"/>
                <w:kern w:val="24"/>
                <w:position w:val="-9"/>
                <w:sz w:val="24"/>
                <w:szCs w:val="24"/>
                <w:vertAlign w:val="subscript"/>
              </w:rPr>
              <w:t xml:space="preserve">4 </w:t>
            </w:r>
            <w:r w:rsidRPr="00E66107">
              <w:rPr>
                <w:rFonts w:ascii="Times New Roman" w:eastAsia="Times New Roman" w:hAnsi="Times New Roman" w:cs="Times New Roman"/>
                <w:color w:val="000000" w:themeColor="dark1"/>
                <w:kern w:val="24"/>
                <w:sz w:val="24"/>
                <w:szCs w:val="24"/>
              </w:rPr>
              <w:t>(3 ml/kg body weight in 1:1 olive oil on day 7 and 14) administered (i.p)</w:t>
            </w:r>
          </w:p>
        </w:tc>
      </w:tr>
    </w:tbl>
    <w:p w14:paraId="750CC4A1" w14:textId="77777777" w:rsidR="007C4941" w:rsidRPr="00E66107" w:rsidRDefault="007C4941" w:rsidP="00E66107">
      <w:pPr>
        <w:pStyle w:val="ListParagraph"/>
        <w:numPr>
          <w:ilvl w:val="0"/>
          <w:numId w:val="2"/>
        </w:numPr>
        <w:spacing w:after="0" w:line="360" w:lineRule="auto"/>
        <w:jc w:val="both"/>
        <w:rPr>
          <w:rFonts w:ascii="Times New Roman" w:hAnsi="Times New Roman" w:cs="Times New Roman"/>
          <w:sz w:val="24"/>
          <w:szCs w:val="24"/>
        </w:rPr>
      </w:pPr>
      <w:r w:rsidRPr="00E66107">
        <w:rPr>
          <w:rFonts w:ascii="Times New Roman" w:hAnsi="Times New Roman" w:cs="Times New Roman"/>
          <w:sz w:val="24"/>
          <w:szCs w:val="24"/>
        </w:rPr>
        <w:t>Given that the LD</w:t>
      </w:r>
      <w:r w:rsidRPr="00E66107">
        <w:rPr>
          <w:rFonts w:ascii="Times New Roman" w:hAnsi="Times New Roman" w:cs="Times New Roman"/>
          <w:sz w:val="24"/>
          <w:szCs w:val="24"/>
          <w:vertAlign w:val="subscript"/>
        </w:rPr>
        <w:t>50</w:t>
      </w:r>
      <w:r w:rsidRPr="00E66107">
        <w:rPr>
          <w:rFonts w:ascii="Times New Roman" w:hAnsi="Times New Roman" w:cs="Times New Roman"/>
          <w:sz w:val="24"/>
          <w:szCs w:val="24"/>
        </w:rPr>
        <w:t xml:space="preserve"> of aqueous leaf extract of </w:t>
      </w:r>
      <w:r w:rsidRPr="00E66107">
        <w:rPr>
          <w:rFonts w:ascii="Times New Roman" w:hAnsi="Times New Roman" w:cs="Times New Roman"/>
          <w:i/>
          <w:sz w:val="24"/>
          <w:szCs w:val="24"/>
        </w:rPr>
        <w:t>Anogeissus leiocarpus</w:t>
      </w:r>
      <w:r w:rsidRPr="00E66107">
        <w:rPr>
          <w:rFonts w:ascii="Times New Roman" w:hAnsi="Times New Roman" w:cs="Times New Roman"/>
          <w:sz w:val="24"/>
          <w:szCs w:val="24"/>
        </w:rPr>
        <w:t xml:space="preserve"> is 2300 mg/kg of body weight</w:t>
      </w:r>
      <w:r w:rsidRPr="00E66107">
        <w:rPr>
          <w:rFonts w:ascii="Times New Roman" w:hAnsi="Times New Roman" w:cs="Times New Roman"/>
          <w:sz w:val="24"/>
          <w:szCs w:val="24"/>
        </w:rPr>
        <w:tab/>
        <w:t xml:space="preserve">(Somé </w:t>
      </w:r>
      <w:r w:rsidRPr="00E66107">
        <w:rPr>
          <w:rFonts w:ascii="Times New Roman" w:hAnsi="Times New Roman" w:cs="Times New Roman"/>
          <w:i/>
          <w:iCs/>
          <w:sz w:val="24"/>
          <w:szCs w:val="24"/>
        </w:rPr>
        <w:t>et al</w:t>
      </w:r>
      <w:r w:rsidRPr="00E66107">
        <w:rPr>
          <w:rFonts w:ascii="Times New Roman" w:hAnsi="Times New Roman" w:cs="Times New Roman"/>
          <w:sz w:val="24"/>
          <w:szCs w:val="24"/>
        </w:rPr>
        <w:t>., 1996).</w:t>
      </w:r>
    </w:p>
    <w:p w14:paraId="05E0542C" w14:textId="77777777" w:rsidR="00C93C15" w:rsidRPr="00E66107" w:rsidRDefault="00C93C15" w:rsidP="00E66107">
      <w:pPr>
        <w:spacing w:after="0" w:line="360" w:lineRule="auto"/>
        <w:jc w:val="both"/>
        <w:rPr>
          <w:rFonts w:ascii="Times New Roman" w:hAnsi="Times New Roman" w:cs="Times New Roman"/>
          <w:b/>
          <w:sz w:val="24"/>
          <w:szCs w:val="24"/>
        </w:rPr>
      </w:pPr>
      <w:r w:rsidRPr="00E66107">
        <w:rPr>
          <w:rFonts w:ascii="Times New Roman" w:hAnsi="Times New Roman" w:cs="Times New Roman"/>
          <w:b/>
          <w:sz w:val="24"/>
          <w:szCs w:val="24"/>
        </w:rPr>
        <w:t>Biochemical Analyses</w:t>
      </w:r>
    </w:p>
    <w:p w14:paraId="0A09BCE2" w14:textId="77777777" w:rsidR="00C93C15" w:rsidRPr="00E66107" w:rsidRDefault="00C93C15" w:rsidP="00A55342">
      <w:pPr>
        <w:spacing w:after="0" w:line="360" w:lineRule="auto"/>
        <w:jc w:val="both"/>
        <w:rPr>
          <w:rFonts w:ascii="Times New Roman" w:hAnsi="Times New Roman" w:cs="Times New Roman"/>
          <w:sz w:val="24"/>
          <w:szCs w:val="24"/>
        </w:rPr>
      </w:pPr>
      <w:r w:rsidRPr="00E66107">
        <w:rPr>
          <w:rFonts w:ascii="Times New Roman" w:hAnsi="Times New Roman" w:cs="Times New Roman"/>
          <w:sz w:val="24"/>
          <w:szCs w:val="24"/>
        </w:rPr>
        <w:t>The following biochemical parameters were evaluated in th</w:t>
      </w:r>
      <w:r w:rsidR="00745971" w:rsidRPr="00E66107">
        <w:rPr>
          <w:rFonts w:ascii="Times New Roman" w:hAnsi="Times New Roman" w:cs="Times New Roman"/>
          <w:sz w:val="24"/>
          <w:szCs w:val="24"/>
        </w:rPr>
        <w:t>e serum using standard methods:</w:t>
      </w:r>
    </w:p>
    <w:p w14:paraId="329FD39D" w14:textId="77777777" w:rsidR="00745971" w:rsidRPr="00E66107" w:rsidRDefault="00745971" w:rsidP="00E66107">
      <w:pPr>
        <w:pStyle w:val="NormalWeb"/>
        <w:spacing w:before="0" w:beforeAutospacing="0" w:after="0" w:afterAutospacing="0" w:line="360" w:lineRule="auto"/>
        <w:jc w:val="both"/>
        <w:rPr>
          <w:b/>
        </w:rPr>
      </w:pPr>
      <w:r w:rsidRPr="00E66107">
        <w:rPr>
          <w:b/>
        </w:rPr>
        <w:t xml:space="preserve">Alanine (ALT) and Aspartate Aminotransferases (AST) </w:t>
      </w:r>
    </w:p>
    <w:p w14:paraId="3885F9A3" w14:textId="5913EB02" w:rsidR="00745971" w:rsidRPr="00E66107" w:rsidRDefault="00745971" w:rsidP="00E66107">
      <w:pPr>
        <w:pStyle w:val="NormalWeb"/>
        <w:spacing w:before="0" w:beforeAutospacing="0" w:after="0" w:afterAutospacing="0" w:line="360" w:lineRule="auto"/>
        <w:jc w:val="both"/>
      </w:pPr>
      <w:r w:rsidRPr="00E66107">
        <w:t xml:space="preserve">Alanine aminotransferase (ALT) and Aspartate aminotransferase (AST) </w:t>
      </w:r>
      <w:r w:rsidR="00484A1D" w:rsidRPr="000A4404">
        <w:rPr>
          <w:highlight w:val="yellow"/>
        </w:rPr>
        <w:t xml:space="preserve">were </w:t>
      </w:r>
      <w:r w:rsidRPr="000A4404">
        <w:rPr>
          <w:highlight w:val="yellow"/>
        </w:rPr>
        <w:t xml:space="preserve">evaluated </w:t>
      </w:r>
      <w:r w:rsidRPr="00E66107">
        <w:t>following the method described on the sigmal manufacturer as kit. 0.5 mL of each of the substrate (DL-Aspartate (R1a) with α-ketoglutarate for ALT and DL- Alanine (R1b) with α</w:t>
      </w:r>
      <w:r w:rsidR="003E39D4">
        <w:t>-</w:t>
      </w:r>
      <w:r w:rsidRPr="00E66107">
        <w:t>ketoglutarate for AST) were mixed an</w:t>
      </w:r>
      <w:r w:rsidR="003E39D4">
        <w:t>d incubated for 5 minutes at 37</w:t>
      </w:r>
      <w:r w:rsidR="003E39D4" w:rsidRPr="003E39D4">
        <w:rPr>
          <w:vertAlign w:val="superscript"/>
        </w:rPr>
        <w:t>o</w:t>
      </w:r>
      <w:r w:rsidRPr="00E66107">
        <w:t xml:space="preserve">C. 100 µL of serum were added and the reaction mixtures were returned into the water bath for 30 minutes for both ALT and AST. 125 µL of R2 (2, 4-Dinitrophenenylhydrazine (developer)) were added to the reaction mixture and left for 20 minutes at room temperature. </w:t>
      </w:r>
      <w:r w:rsidRPr="000A4404">
        <w:rPr>
          <w:highlight w:val="yellow"/>
        </w:rPr>
        <w:t>Finally</w:t>
      </w:r>
      <w:r w:rsidR="00484A1D" w:rsidRPr="000A4404">
        <w:rPr>
          <w:highlight w:val="yellow"/>
        </w:rPr>
        <w:t>,</w:t>
      </w:r>
      <w:r w:rsidRPr="000A4404">
        <w:rPr>
          <w:highlight w:val="yellow"/>
        </w:rPr>
        <w:t xml:space="preserve"> the col</w:t>
      </w:r>
      <w:r w:rsidRPr="00E66107">
        <w:t xml:space="preserve">ours were developed </w:t>
      </w:r>
      <w:r w:rsidRPr="000A4404">
        <w:rPr>
          <w:highlight w:val="yellow"/>
        </w:rPr>
        <w:t xml:space="preserve">by </w:t>
      </w:r>
      <w:r w:rsidR="00484A1D" w:rsidRPr="000A4404">
        <w:rPr>
          <w:highlight w:val="yellow"/>
        </w:rPr>
        <w:t>the</w:t>
      </w:r>
      <w:r w:rsidR="00484A1D">
        <w:t xml:space="preserve"> </w:t>
      </w:r>
      <w:r w:rsidRPr="00E66107">
        <w:t xml:space="preserve">addition of 1.25 mL of NaOH (0.4N) and the products formed were read at 505 nm. Data were </w:t>
      </w:r>
      <w:r w:rsidRPr="00E66107">
        <w:lastRenderedPageBreak/>
        <w:t xml:space="preserve">expressed as IU/L read from the corresponding calibration curves. The curve was obtained using the same procedure described above, but using </w:t>
      </w:r>
      <w:r w:rsidR="00484A1D">
        <w:t xml:space="preserve">the </w:t>
      </w:r>
      <w:r w:rsidRPr="00E66107">
        <w:t>supplied calibrator (pyruvic) instead of sample (serum) at a concentration of 0.0, 0.1, 0.2, 0.3, 0.4 and 0.5mL.</w:t>
      </w:r>
    </w:p>
    <w:p w14:paraId="06C6C69F" w14:textId="77777777" w:rsidR="00745971" w:rsidRPr="00E66107" w:rsidRDefault="00745971" w:rsidP="00E66107">
      <w:pPr>
        <w:pStyle w:val="NormalWeb"/>
        <w:spacing w:before="0" w:beforeAutospacing="0" w:after="0" w:afterAutospacing="0" w:line="360" w:lineRule="auto"/>
        <w:jc w:val="both"/>
        <w:rPr>
          <w:b/>
        </w:rPr>
      </w:pPr>
      <w:r w:rsidRPr="00E66107">
        <w:rPr>
          <w:b/>
        </w:rPr>
        <w:t>Determination of Alkaline Phosphatase (ALP)</w:t>
      </w:r>
    </w:p>
    <w:p w14:paraId="12BE8487" w14:textId="77777777" w:rsidR="00745971" w:rsidRPr="00E66107" w:rsidRDefault="00745971" w:rsidP="00E66107">
      <w:pPr>
        <w:pStyle w:val="NormalWeb"/>
        <w:spacing w:before="0" w:beforeAutospacing="0" w:after="0" w:afterAutospacing="0" w:line="360" w:lineRule="auto"/>
        <w:jc w:val="both"/>
      </w:pPr>
      <w:r w:rsidRPr="00E66107">
        <w:t xml:space="preserve">Determination biochemical </w:t>
      </w:r>
      <w:r w:rsidR="003E39D4" w:rsidRPr="00E66107">
        <w:t>parameters such as alkaline phosphatase (ALP) were</w:t>
      </w:r>
      <w:r w:rsidRPr="00E66107">
        <w:t xml:space="preserve"> determined using commercial test kits with strict adherence to procedures prescribed by the producer, Randox Laboratories, UK. They were all determined in serum according to the protocols adopted by Sun, et al. (sun et al., 1988) and Kanu, et al. (kanu et al., 2017).</w:t>
      </w:r>
    </w:p>
    <w:p w14:paraId="31EEDC73" w14:textId="77777777" w:rsidR="00745971" w:rsidRPr="00E66107" w:rsidRDefault="00745971" w:rsidP="00E66107">
      <w:pPr>
        <w:spacing w:after="0" w:line="360" w:lineRule="auto"/>
        <w:jc w:val="both"/>
        <w:rPr>
          <w:rFonts w:ascii="Times New Roman" w:hAnsi="Times New Roman" w:cs="Times New Roman"/>
          <w:sz w:val="24"/>
          <w:szCs w:val="24"/>
        </w:rPr>
      </w:pPr>
      <w:r w:rsidRPr="00E66107">
        <w:rPr>
          <w:rFonts w:ascii="Times New Roman" w:hAnsi="Times New Roman" w:cs="Times New Roman"/>
          <w:sz w:val="24"/>
          <w:szCs w:val="24"/>
        </w:rPr>
        <w:t>Inflammatory Cytokines Analyses</w:t>
      </w:r>
    </w:p>
    <w:p w14:paraId="338C0477" w14:textId="77777777" w:rsidR="003E39D4" w:rsidRPr="003E39D4" w:rsidRDefault="003E39D4" w:rsidP="003E39D4">
      <w:pPr>
        <w:pStyle w:val="NormalWeb"/>
        <w:spacing w:before="0" w:beforeAutospacing="0" w:after="0" w:afterAutospacing="0" w:line="360" w:lineRule="auto"/>
        <w:jc w:val="both"/>
        <w:rPr>
          <w:b/>
        </w:rPr>
      </w:pPr>
      <w:r w:rsidRPr="003E39D4">
        <w:rPr>
          <w:b/>
        </w:rPr>
        <w:t>Determination of Rat IL-6</w:t>
      </w:r>
    </w:p>
    <w:p w14:paraId="1D941729" w14:textId="6F59EF61" w:rsidR="003E39D4" w:rsidRPr="003E39D4" w:rsidRDefault="003E39D4" w:rsidP="003E39D4">
      <w:pPr>
        <w:pStyle w:val="NormalWeb"/>
        <w:spacing w:before="0" w:beforeAutospacing="0" w:after="0" w:afterAutospacing="0" w:line="360" w:lineRule="auto"/>
        <w:jc w:val="both"/>
      </w:pPr>
      <w:r w:rsidRPr="003E39D4">
        <w:t xml:space="preserve">This ELISA kit uses the Sandwich-ELISA principle. The micro ELISA plate provided in this kit has been pre-coated with an antibody specific to Rat IL-6. Standards or samples are added to the micro ELISA plate wells and combined with the specific antibody. Then a biotinylated detection antibody specific for Rat IL-6 and Avidin-Horseradish Peroxidase (HRP) was conjugated and </w:t>
      </w:r>
      <w:r w:rsidRPr="000A4404">
        <w:rPr>
          <w:highlight w:val="yellow"/>
        </w:rPr>
        <w:t>added</w:t>
      </w:r>
      <w:r w:rsidRPr="003E39D4">
        <w:t xml:space="preserve"> successively to each microplate well and incubated. Free components are washed away. The substrate solution was added to each well. Only those wells that </w:t>
      </w:r>
      <w:r w:rsidRPr="000A4404">
        <w:rPr>
          <w:highlight w:val="yellow"/>
        </w:rPr>
        <w:t>contain</w:t>
      </w:r>
      <w:r w:rsidR="00484A1D" w:rsidRPr="000A4404">
        <w:rPr>
          <w:highlight w:val="yellow"/>
        </w:rPr>
        <w:t>ed</w:t>
      </w:r>
      <w:r w:rsidRPr="000A4404">
        <w:rPr>
          <w:highlight w:val="yellow"/>
        </w:rPr>
        <w:t xml:space="preserve"> Rat </w:t>
      </w:r>
      <w:r w:rsidRPr="003E39D4">
        <w:t xml:space="preserve">IL-6, biotinylated detection antibody and Avidin-HRP </w:t>
      </w:r>
      <w:r w:rsidRPr="000A4404">
        <w:rPr>
          <w:highlight w:val="yellow"/>
        </w:rPr>
        <w:t xml:space="preserve">conjugate appeared </w:t>
      </w:r>
      <w:r w:rsidRPr="003E39D4">
        <w:t xml:space="preserve">blue in color. The enzyme-substrate reaction was terminated by the addition </w:t>
      </w:r>
      <w:r w:rsidRPr="000A4404">
        <w:rPr>
          <w:highlight w:val="yellow"/>
        </w:rPr>
        <w:t xml:space="preserve">of </w:t>
      </w:r>
      <w:r w:rsidR="00484A1D" w:rsidRPr="000A4404">
        <w:rPr>
          <w:highlight w:val="yellow"/>
        </w:rPr>
        <w:t xml:space="preserve">a </w:t>
      </w:r>
      <w:r w:rsidRPr="000A4404">
        <w:rPr>
          <w:highlight w:val="yellow"/>
        </w:rPr>
        <w:t xml:space="preserve">stop solution </w:t>
      </w:r>
      <w:r w:rsidRPr="003E39D4">
        <w:t>and the color turns yellow. The optical density (OD) was measured spectrophotometrically at a wavelength of 450 nm ± 2 nm. The OD value was proportional to the concentration of Rat IL-6. The concentration of Rat IL-6 was calculated in the samples by comparing the OD of the samples to the standard curve.</w:t>
      </w:r>
    </w:p>
    <w:p w14:paraId="55492FC6" w14:textId="77777777" w:rsidR="003E39D4" w:rsidRPr="003E39D4" w:rsidRDefault="003E39D4" w:rsidP="003E39D4">
      <w:pPr>
        <w:pStyle w:val="NormalWeb"/>
        <w:spacing w:before="0" w:beforeAutospacing="0" w:after="0" w:afterAutospacing="0" w:line="360" w:lineRule="auto"/>
        <w:jc w:val="both"/>
      </w:pPr>
    </w:p>
    <w:p w14:paraId="73BA9B63" w14:textId="77777777" w:rsidR="003E39D4" w:rsidRPr="003E39D4" w:rsidRDefault="003E39D4" w:rsidP="003E39D4">
      <w:pPr>
        <w:pStyle w:val="NormalWeb"/>
        <w:spacing w:before="0" w:beforeAutospacing="0" w:after="0" w:afterAutospacing="0" w:line="360" w:lineRule="auto"/>
        <w:jc w:val="both"/>
        <w:rPr>
          <w:b/>
        </w:rPr>
      </w:pPr>
      <w:r w:rsidRPr="003E39D4">
        <w:rPr>
          <w:b/>
        </w:rPr>
        <w:t>Determination of Rat Tumor Necrosis Factor alpha (TNF-α)</w:t>
      </w:r>
    </w:p>
    <w:p w14:paraId="58E82AB6" w14:textId="6841582B" w:rsidR="003E39D4" w:rsidRPr="003E39D4" w:rsidRDefault="003E39D4" w:rsidP="003E39D4">
      <w:pPr>
        <w:pStyle w:val="NormalWeb"/>
        <w:spacing w:before="0" w:beforeAutospacing="0" w:after="0" w:afterAutospacing="0" w:line="360" w:lineRule="auto"/>
        <w:jc w:val="both"/>
      </w:pPr>
      <w:r w:rsidRPr="003E39D4">
        <w:t xml:space="preserve">This ELISA kit uses the Sandwich-ELISA principle. The micro ELISA plate provided in this kit has been pre-coated with an antibody specific to Rat TNF-α. Standards or samples are added to the micro ELISA plate wells and combined with the specific antibody. Then a biotinylated detection antibody specific for Rat TNF-α and Avidin-Horseradish Peroxidase (HRP) conjugate are added successively to each microplate well and incubated. Free components are washed away. The substrate solution is added to each well. Only those wells that contain Rat TNF-α, biotinylated detection antibody and Avidin-HRP conjugate will appear </w:t>
      </w:r>
      <w:r w:rsidRPr="000A4404">
        <w:rPr>
          <w:highlight w:val="yellow"/>
        </w:rPr>
        <w:t>blue in colo</w:t>
      </w:r>
      <w:r w:rsidR="00484A1D" w:rsidRPr="000A4404">
        <w:rPr>
          <w:highlight w:val="yellow"/>
        </w:rPr>
        <w:t>u</w:t>
      </w:r>
      <w:r w:rsidRPr="000A4404">
        <w:rPr>
          <w:highlight w:val="yellow"/>
        </w:rPr>
        <w:t>r. The</w:t>
      </w:r>
      <w:r w:rsidRPr="003E39D4">
        <w:t xml:space="preserve"> enzyme-substrate reaction was terminated by the addition of </w:t>
      </w:r>
      <w:r w:rsidR="00484A1D">
        <w:t xml:space="preserve">a </w:t>
      </w:r>
      <w:r w:rsidRPr="003E39D4">
        <w:t xml:space="preserve">stop solution and the color turned </w:t>
      </w:r>
      <w:r w:rsidRPr="003E39D4">
        <w:lastRenderedPageBreak/>
        <w:t>yellow. The optical density (OD) was measured spectrophotometrically at a wavelength of 450 nm ± 2 nm. The OD value was proportional to the concentration of Rat TNF-α. The concentration of Rat TNF-α was calculated in the samples by comparing the OD of the samples to the standard curve.</w:t>
      </w:r>
    </w:p>
    <w:p w14:paraId="5DBB6ACC" w14:textId="77777777" w:rsidR="003E39D4" w:rsidRDefault="003E39D4" w:rsidP="00E66107">
      <w:pPr>
        <w:spacing w:after="0" w:line="360" w:lineRule="auto"/>
        <w:jc w:val="both"/>
        <w:rPr>
          <w:rFonts w:ascii="Times New Roman" w:hAnsi="Times New Roman" w:cs="Times New Roman"/>
          <w:b/>
          <w:sz w:val="24"/>
          <w:szCs w:val="24"/>
        </w:rPr>
      </w:pPr>
    </w:p>
    <w:p w14:paraId="79FCF669" w14:textId="77777777" w:rsidR="00745971" w:rsidRPr="00E66107" w:rsidRDefault="00745971" w:rsidP="00E66107">
      <w:pPr>
        <w:spacing w:after="0" w:line="360" w:lineRule="auto"/>
        <w:jc w:val="both"/>
        <w:rPr>
          <w:rFonts w:ascii="Times New Roman" w:hAnsi="Times New Roman" w:cs="Times New Roman"/>
          <w:b/>
          <w:sz w:val="24"/>
          <w:szCs w:val="24"/>
        </w:rPr>
      </w:pPr>
      <w:r w:rsidRPr="00E66107">
        <w:rPr>
          <w:rFonts w:ascii="Times New Roman" w:hAnsi="Times New Roman" w:cs="Times New Roman"/>
          <w:b/>
          <w:sz w:val="24"/>
          <w:szCs w:val="24"/>
        </w:rPr>
        <w:t xml:space="preserve">Histopathological Analysis of Liver Sample </w:t>
      </w:r>
    </w:p>
    <w:p w14:paraId="78862655" w14:textId="2DE0543F" w:rsidR="00745971" w:rsidRPr="00E66107" w:rsidRDefault="00745971" w:rsidP="00E66107">
      <w:pPr>
        <w:spacing w:after="0" w:line="360" w:lineRule="auto"/>
        <w:jc w:val="both"/>
        <w:rPr>
          <w:rFonts w:ascii="Times New Roman" w:hAnsi="Times New Roman" w:cs="Times New Roman"/>
          <w:sz w:val="24"/>
          <w:szCs w:val="24"/>
        </w:rPr>
      </w:pPr>
      <w:r w:rsidRPr="00E66107">
        <w:rPr>
          <w:rFonts w:ascii="Times New Roman" w:hAnsi="Times New Roman" w:cs="Times New Roman"/>
          <w:sz w:val="24"/>
          <w:szCs w:val="24"/>
        </w:rPr>
        <w:t xml:space="preserve">For the histopathological studies, the male Wistar rats of all ten groups were sacrificed by cervical dislocation. Liver tissues of the rats were removed and washed properly in 0.9 % saline solution. Tissues were fixed in 10 % buffered formosaline for 48 hours to know the level of damage done by the administered drug using hematoxylin and eosin staining </w:t>
      </w:r>
      <w:r w:rsidR="00F63DDA" w:rsidRPr="00E66107">
        <w:rPr>
          <w:rFonts w:ascii="Times New Roman" w:hAnsi="Times New Roman" w:cs="Times New Roman"/>
          <w:sz w:val="24"/>
          <w:szCs w:val="24"/>
        </w:rPr>
        <w:t>rutting</w:t>
      </w:r>
      <w:r w:rsidRPr="00E66107">
        <w:rPr>
          <w:rFonts w:ascii="Times New Roman" w:hAnsi="Times New Roman" w:cs="Times New Roman"/>
          <w:sz w:val="24"/>
          <w:szCs w:val="24"/>
        </w:rPr>
        <w:t xml:space="preserve"> techniques, (Bancroft and Gamble 2002).</w:t>
      </w:r>
    </w:p>
    <w:p w14:paraId="4D798563" w14:textId="77777777" w:rsidR="00745971" w:rsidRPr="00E66107" w:rsidRDefault="00745971" w:rsidP="00E66107">
      <w:pPr>
        <w:spacing w:after="0" w:line="360" w:lineRule="auto"/>
        <w:jc w:val="both"/>
        <w:rPr>
          <w:rFonts w:ascii="Times New Roman" w:hAnsi="Times New Roman" w:cs="Times New Roman"/>
          <w:b/>
          <w:sz w:val="24"/>
          <w:szCs w:val="24"/>
        </w:rPr>
      </w:pPr>
      <w:r w:rsidRPr="00E66107">
        <w:rPr>
          <w:rFonts w:ascii="Times New Roman" w:hAnsi="Times New Roman" w:cs="Times New Roman"/>
          <w:b/>
          <w:sz w:val="24"/>
          <w:szCs w:val="24"/>
        </w:rPr>
        <w:t xml:space="preserve">Tissue Processing </w:t>
      </w:r>
    </w:p>
    <w:p w14:paraId="49FF0034" w14:textId="120CBA93" w:rsidR="00745971" w:rsidRPr="00E66107" w:rsidRDefault="00745971" w:rsidP="00E66107">
      <w:pPr>
        <w:spacing w:after="0" w:line="360" w:lineRule="auto"/>
        <w:jc w:val="both"/>
        <w:rPr>
          <w:rFonts w:ascii="Times New Roman" w:hAnsi="Times New Roman" w:cs="Times New Roman"/>
          <w:sz w:val="24"/>
          <w:szCs w:val="24"/>
        </w:rPr>
      </w:pPr>
      <w:r w:rsidRPr="00E66107">
        <w:rPr>
          <w:rFonts w:ascii="Times New Roman" w:hAnsi="Times New Roman" w:cs="Times New Roman"/>
          <w:b/>
          <w:sz w:val="24"/>
          <w:szCs w:val="24"/>
        </w:rPr>
        <w:t xml:space="preserve">Grossing: </w:t>
      </w:r>
      <w:r w:rsidRPr="00E66107">
        <w:rPr>
          <w:rFonts w:ascii="Times New Roman" w:hAnsi="Times New Roman" w:cs="Times New Roman"/>
          <w:sz w:val="24"/>
          <w:szCs w:val="24"/>
        </w:rPr>
        <w:t xml:space="preserve">The tissues were observed and cut into small </w:t>
      </w:r>
      <w:r w:rsidRPr="000A4404">
        <w:rPr>
          <w:rFonts w:ascii="Times New Roman" w:hAnsi="Times New Roman" w:cs="Times New Roman"/>
          <w:sz w:val="24"/>
          <w:szCs w:val="24"/>
          <w:highlight w:val="yellow"/>
        </w:rPr>
        <w:t>pieces not more</w:t>
      </w:r>
      <w:r w:rsidRPr="00E66107">
        <w:rPr>
          <w:rFonts w:ascii="Times New Roman" w:hAnsi="Times New Roman" w:cs="Times New Roman"/>
          <w:sz w:val="24"/>
          <w:szCs w:val="24"/>
        </w:rPr>
        <w:t xml:space="preserve"> than 4mm thick into pre-labeled cassettes. These were further immersed in 10 % formal saline for 24 hours to fix.</w:t>
      </w:r>
    </w:p>
    <w:p w14:paraId="56B7B18B" w14:textId="0D5E4A09" w:rsidR="00745971" w:rsidRPr="00E66107" w:rsidRDefault="00745971" w:rsidP="00E66107">
      <w:pPr>
        <w:spacing w:after="0" w:line="360" w:lineRule="auto"/>
        <w:jc w:val="both"/>
        <w:rPr>
          <w:rFonts w:ascii="Times New Roman" w:hAnsi="Times New Roman" w:cs="Times New Roman"/>
          <w:sz w:val="24"/>
          <w:szCs w:val="24"/>
        </w:rPr>
      </w:pPr>
      <w:r w:rsidRPr="00E66107">
        <w:rPr>
          <w:rFonts w:ascii="Times New Roman" w:hAnsi="Times New Roman" w:cs="Times New Roman"/>
          <w:b/>
          <w:sz w:val="24"/>
          <w:szCs w:val="24"/>
        </w:rPr>
        <w:t>Tissue Processing</w:t>
      </w:r>
      <w:r w:rsidRPr="00E66107">
        <w:rPr>
          <w:rFonts w:ascii="Times New Roman" w:hAnsi="Times New Roman" w:cs="Times New Roman"/>
          <w:sz w:val="24"/>
          <w:szCs w:val="24"/>
        </w:rPr>
        <w:t xml:space="preserve">: This is done automatically using </w:t>
      </w:r>
      <w:r w:rsidR="00484A1D">
        <w:rPr>
          <w:rFonts w:ascii="Times New Roman" w:hAnsi="Times New Roman" w:cs="Times New Roman"/>
          <w:sz w:val="24"/>
          <w:szCs w:val="24"/>
        </w:rPr>
        <w:t xml:space="preserve">an </w:t>
      </w:r>
      <w:r w:rsidRPr="00E66107">
        <w:rPr>
          <w:rFonts w:ascii="Times New Roman" w:hAnsi="Times New Roman" w:cs="Times New Roman"/>
          <w:sz w:val="24"/>
          <w:szCs w:val="24"/>
        </w:rPr>
        <w:t xml:space="preserve">automatic tissue processor (Leica TP 1020). The tissue </w:t>
      </w:r>
      <w:r w:rsidR="00484A1D" w:rsidRPr="00E66107">
        <w:rPr>
          <w:rFonts w:ascii="Times New Roman" w:hAnsi="Times New Roman" w:cs="Times New Roman"/>
          <w:sz w:val="24"/>
          <w:szCs w:val="24"/>
        </w:rPr>
        <w:t>w</w:t>
      </w:r>
      <w:r w:rsidR="00484A1D">
        <w:rPr>
          <w:rFonts w:ascii="Times New Roman" w:hAnsi="Times New Roman" w:cs="Times New Roman"/>
          <w:sz w:val="24"/>
          <w:szCs w:val="24"/>
        </w:rPr>
        <w:t>as</w:t>
      </w:r>
      <w:r w:rsidR="00484A1D" w:rsidRPr="00E66107">
        <w:rPr>
          <w:rFonts w:ascii="Times New Roman" w:hAnsi="Times New Roman" w:cs="Times New Roman"/>
          <w:sz w:val="24"/>
          <w:szCs w:val="24"/>
        </w:rPr>
        <w:t xml:space="preserve"> </w:t>
      </w:r>
      <w:r w:rsidRPr="00E66107">
        <w:rPr>
          <w:rFonts w:ascii="Times New Roman" w:hAnsi="Times New Roman" w:cs="Times New Roman"/>
          <w:sz w:val="24"/>
          <w:szCs w:val="24"/>
        </w:rPr>
        <w:t>allowed to pass through various reagents including; stations 1 &amp; 2 containing 10% formal saline, station 3 to station 7; alcohol (70 %, 80 %, 90 %, 95 %, absolute 1 &amp; absolute 11) for the purpose of dehydration. The tissues passed through station 8 and station 9 containing two changes of xylene for the purpose of clearing and finally transferred into three wax baths for infiltration/impregnation. The machine was programmed to run for 12 hours, the tissues stayed in each station for 1 hour.</w:t>
      </w:r>
    </w:p>
    <w:p w14:paraId="6022F57D" w14:textId="754AEA52" w:rsidR="00745971" w:rsidRPr="00E66107" w:rsidRDefault="00745971" w:rsidP="00E66107">
      <w:pPr>
        <w:spacing w:after="0" w:line="360" w:lineRule="auto"/>
        <w:jc w:val="both"/>
        <w:rPr>
          <w:rFonts w:ascii="Times New Roman" w:hAnsi="Times New Roman" w:cs="Times New Roman"/>
          <w:sz w:val="24"/>
          <w:szCs w:val="24"/>
        </w:rPr>
      </w:pPr>
      <w:r w:rsidRPr="00E66107">
        <w:rPr>
          <w:rFonts w:ascii="Times New Roman" w:hAnsi="Times New Roman" w:cs="Times New Roman"/>
          <w:b/>
          <w:sz w:val="24"/>
          <w:szCs w:val="24"/>
        </w:rPr>
        <w:t xml:space="preserve">Embedding: </w:t>
      </w:r>
      <w:r w:rsidRPr="00E66107">
        <w:rPr>
          <w:rFonts w:ascii="Times New Roman" w:hAnsi="Times New Roman" w:cs="Times New Roman"/>
          <w:sz w:val="24"/>
          <w:szCs w:val="24"/>
        </w:rPr>
        <w:t>Each</w:t>
      </w:r>
      <w:r w:rsidRPr="00E66107">
        <w:rPr>
          <w:rFonts w:ascii="Times New Roman" w:hAnsi="Times New Roman" w:cs="Times New Roman"/>
          <w:b/>
          <w:sz w:val="24"/>
          <w:szCs w:val="24"/>
        </w:rPr>
        <w:t xml:space="preserve"> </w:t>
      </w:r>
      <w:r w:rsidRPr="00E66107">
        <w:rPr>
          <w:rFonts w:ascii="Times New Roman" w:hAnsi="Times New Roman" w:cs="Times New Roman"/>
          <w:sz w:val="24"/>
          <w:szCs w:val="24"/>
        </w:rPr>
        <w:t xml:space="preserve">processed tissue was given a solid support medium (paraffin wax) and this was done using a semi-automatic tissue embedding center. The molten paraffin wax was dispensed into a metal mold and the tissue was buried and oriented in it, </w:t>
      </w:r>
      <w:r w:rsidRPr="000A4404">
        <w:rPr>
          <w:rFonts w:ascii="Times New Roman" w:hAnsi="Times New Roman" w:cs="Times New Roman"/>
          <w:sz w:val="24"/>
          <w:szCs w:val="24"/>
          <w:highlight w:val="yellow"/>
        </w:rPr>
        <w:t xml:space="preserve">a </w:t>
      </w:r>
      <w:r w:rsidR="00484A1D" w:rsidRPr="000A4404">
        <w:rPr>
          <w:rFonts w:ascii="Times New Roman" w:hAnsi="Times New Roman" w:cs="Times New Roman"/>
          <w:sz w:val="24"/>
          <w:szCs w:val="24"/>
          <w:highlight w:val="yellow"/>
        </w:rPr>
        <w:t>pre-</w:t>
      </w:r>
      <w:r w:rsidRPr="000A4404">
        <w:rPr>
          <w:rFonts w:ascii="Times New Roman" w:hAnsi="Times New Roman" w:cs="Times New Roman"/>
          <w:sz w:val="24"/>
          <w:szCs w:val="24"/>
          <w:highlight w:val="yellow"/>
        </w:rPr>
        <w:t>labeled</w:t>
      </w:r>
      <w:r w:rsidRPr="00E66107">
        <w:rPr>
          <w:rFonts w:ascii="Times New Roman" w:hAnsi="Times New Roman" w:cs="Times New Roman"/>
          <w:sz w:val="24"/>
          <w:szCs w:val="24"/>
        </w:rPr>
        <w:t xml:space="preserve"> cassette was placed on this and was transferred to a cold plate to solidify. The tissue block formed was separated from the mold.</w:t>
      </w:r>
    </w:p>
    <w:p w14:paraId="3830AE01" w14:textId="77777777" w:rsidR="00745971" w:rsidRPr="00E66107" w:rsidRDefault="00745971" w:rsidP="00E66107">
      <w:pPr>
        <w:spacing w:after="0" w:line="360" w:lineRule="auto"/>
        <w:jc w:val="both"/>
        <w:rPr>
          <w:rFonts w:ascii="Times New Roman" w:hAnsi="Times New Roman" w:cs="Times New Roman"/>
          <w:sz w:val="24"/>
          <w:szCs w:val="24"/>
        </w:rPr>
      </w:pPr>
      <w:r w:rsidRPr="00E66107">
        <w:rPr>
          <w:rFonts w:ascii="Times New Roman" w:hAnsi="Times New Roman" w:cs="Times New Roman"/>
          <w:b/>
          <w:sz w:val="24"/>
          <w:szCs w:val="24"/>
        </w:rPr>
        <w:t xml:space="preserve">Microtomy: </w:t>
      </w:r>
      <w:r w:rsidRPr="00E66107">
        <w:rPr>
          <w:rFonts w:ascii="Times New Roman" w:hAnsi="Times New Roman" w:cs="Times New Roman"/>
          <w:sz w:val="24"/>
          <w:szCs w:val="24"/>
        </w:rPr>
        <w:t>The blocks were trimmed to expose the tissue surface using a rotary microtome at 6micrometer. The surfaces were allowed to cool on ice before sectioning. The tissues were sectioned at 4 micrometer (ribbon section)</w:t>
      </w:r>
    </w:p>
    <w:p w14:paraId="3E901DED" w14:textId="77777777" w:rsidR="00745971" w:rsidRPr="00E66107" w:rsidRDefault="00745971" w:rsidP="00E66107">
      <w:pPr>
        <w:spacing w:after="0" w:line="360" w:lineRule="auto"/>
        <w:jc w:val="both"/>
        <w:rPr>
          <w:rFonts w:ascii="Times New Roman" w:hAnsi="Times New Roman" w:cs="Times New Roman"/>
          <w:sz w:val="24"/>
          <w:szCs w:val="24"/>
        </w:rPr>
      </w:pPr>
      <w:r w:rsidRPr="00E66107">
        <w:rPr>
          <w:rFonts w:ascii="Times New Roman" w:hAnsi="Times New Roman" w:cs="Times New Roman"/>
          <w:b/>
          <w:sz w:val="24"/>
          <w:szCs w:val="24"/>
        </w:rPr>
        <w:t xml:space="preserve">Floating: </w:t>
      </w:r>
      <w:r w:rsidRPr="00E66107">
        <w:rPr>
          <w:rFonts w:ascii="Times New Roman" w:hAnsi="Times New Roman" w:cs="Times New Roman"/>
          <w:sz w:val="24"/>
          <w:szCs w:val="24"/>
        </w:rPr>
        <w:t xml:space="preserve">The sections were floated on the water bath (Raymond lamb) set at 55 </w:t>
      </w:r>
      <w:r w:rsidRPr="00E66107">
        <w:rPr>
          <w:rFonts w:ascii="Times New Roman" w:hAnsi="Times New Roman" w:cs="Times New Roman"/>
          <w:sz w:val="24"/>
          <w:szCs w:val="24"/>
          <w:vertAlign w:val="superscript"/>
        </w:rPr>
        <w:t>0</w:t>
      </w:r>
      <w:r w:rsidRPr="00E66107">
        <w:rPr>
          <w:rFonts w:ascii="Times New Roman" w:hAnsi="Times New Roman" w:cs="Times New Roman"/>
          <w:sz w:val="24"/>
          <w:szCs w:val="24"/>
        </w:rPr>
        <w:t>C and these were picked using clean slides. The slides were labeled appropriately.</w:t>
      </w:r>
    </w:p>
    <w:p w14:paraId="39D8E477" w14:textId="77777777" w:rsidR="00745971" w:rsidRPr="00E66107" w:rsidRDefault="00745971" w:rsidP="00E66107">
      <w:pPr>
        <w:spacing w:after="0" w:line="360" w:lineRule="auto"/>
        <w:jc w:val="both"/>
        <w:rPr>
          <w:rFonts w:ascii="Times New Roman" w:hAnsi="Times New Roman" w:cs="Times New Roman"/>
          <w:sz w:val="24"/>
          <w:szCs w:val="24"/>
        </w:rPr>
      </w:pPr>
      <w:r w:rsidRPr="00E66107">
        <w:rPr>
          <w:rFonts w:ascii="Times New Roman" w:hAnsi="Times New Roman" w:cs="Times New Roman"/>
          <w:b/>
          <w:sz w:val="24"/>
          <w:szCs w:val="24"/>
        </w:rPr>
        <w:lastRenderedPageBreak/>
        <w:t xml:space="preserve">Drying: </w:t>
      </w:r>
      <w:r w:rsidRPr="00E66107">
        <w:rPr>
          <w:rFonts w:ascii="Times New Roman" w:hAnsi="Times New Roman" w:cs="Times New Roman"/>
          <w:sz w:val="24"/>
          <w:szCs w:val="24"/>
        </w:rPr>
        <w:t xml:space="preserve">The slides were dried on a hotplate (Raymond lamb) set at 60 </w:t>
      </w:r>
      <w:r w:rsidRPr="00E66107">
        <w:rPr>
          <w:rFonts w:ascii="Times New Roman" w:hAnsi="Times New Roman" w:cs="Times New Roman"/>
          <w:sz w:val="24"/>
          <w:szCs w:val="24"/>
          <w:vertAlign w:val="superscript"/>
        </w:rPr>
        <w:t>0</w:t>
      </w:r>
      <w:r w:rsidRPr="00E66107">
        <w:rPr>
          <w:rFonts w:ascii="Times New Roman" w:hAnsi="Times New Roman" w:cs="Times New Roman"/>
          <w:sz w:val="24"/>
          <w:szCs w:val="24"/>
        </w:rPr>
        <w:t>C for 1 hour.</w:t>
      </w:r>
    </w:p>
    <w:p w14:paraId="50C17B20" w14:textId="77777777" w:rsidR="00745971" w:rsidRPr="00E66107" w:rsidRDefault="00745971" w:rsidP="00E66107">
      <w:pPr>
        <w:spacing w:after="0" w:line="360" w:lineRule="auto"/>
        <w:jc w:val="both"/>
        <w:rPr>
          <w:rFonts w:ascii="Times New Roman" w:hAnsi="Times New Roman" w:cs="Times New Roman"/>
          <w:sz w:val="24"/>
          <w:szCs w:val="24"/>
        </w:rPr>
      </w:pPr>
      <w:r w:rsidRPr="00E66107">
        <w:rPr>
          <w:rFonts w:ascii="Times New Roman" w:hAnsi="Times New Roman" w:cs="Times New Roman"/>
          <w:b/>
          <w:sz w:val="24"/>
          <w:szCs w:val="24"/>
        </w:rPr>
        <w:t xml:space="preserve">Staining: </w:t>
      </w:r>
      <w:r w:rsidRPr="00E66107">
        <w:rPr>
          <w:rFonts w:ascii="Times New Roman" w:hAnsi="Times New Roman" w:cs="Times New Roman"/>
          <w:sz w:val="24"/>
          <w:szCs w:val="24"/>
        </w:rPr>
        <w:t>The staining technique used was Haematoxylin and Eosin technique</w:t>
      </w:r>
    </w:p>
    <w:p w14:paraId="299D68EC" w14:textId="77777777" w:rsidR="00745971" w:rsidRPr="00E66107" w:rsidRDefault="00745971" w:rsidP="00E66107">
      <w:pPr>
        <w:spacing w:after="0" w:line="360" w:lineRule="auto"/>
        <w:jc w:val="both"/>
        <w:rPr>
          <w:rFonts w:ascii="Times New Roman" w:hAnsi="Times New Roman" w:cs="Times New Roman"/>
          <w:b/>
          <w:sz w:val="24"/>
          <w:szCs w:val="24"/>
        </w:rPr>
      </w:pPr>
      <w:r w:rsidRPr="00E66107">
        <w:rPr>
          <w:rFonts w:ascii="Times New Roman" w:hAnsi="Times New Roman" w:cs="Times New Roman"/>
          <w:b/>
          <w:sz w:val="24"/>
          <w:szCs w:val="24"/>
        </w:rPr>
        <w:t>Procedure for Haematoxylin and Eosin (H and E) Technique</w:t>
      </w:r>
    </w:p>
    <w:p w14:paraId="16CEE799" w14:textId="77777777" w:rsidR="00745971" w:rsidRPr="00E66107" w:rsidRDefault="00745971" w:rsidP="00E66107">
      <w:pPr>
        <w:spacing w:after="0" w:line="360" w:lineRule="auto"/>
        <w:jc w:val="both"/>
        <w:rPr>
          <w:rFonts w:ascii="Times New Roman" w:hAnsi="Times New Roman" w:cs="Times New Roman"/>
          <w:sz w:val="24"/>
          <w:szCs w:val="24"/>
        </w:rPr>
      </w:pPr>
      <w:r w:rsidRPr="00E66107">
        <w:rPr>
          <w:rFonts w:ascii="Times New Roman" w:hAnsi="Times New Roman" w:cs="Times New Roman"/>
          <w:sz w:val="24"/>
          <w:szCs w:val="24"/>
        </w:rPr>
        <w:t xml:space="preserve">The slides were dewaxed in xylene for 15 minutes. They were then taken through absolute alcohol, 95 % and 70 % alcohol, after which they were rinsed to section in water. </w:t>
      </w:r>
    </w:p>
    <w:p w14:paraId="1A97A576" w14:textId="6E685ADE" w:rsidR="00745971" w:rsidRPr="00E66107" w:rsidRDefault="00745971" w:rsidP="00E66107">
      <w:pPr>
        <w:spacing w:after="0" w:line="360" w:lineRule="auto"/>
        <w:jc w:val="both"/>
        <w:rPr>
          <w:rFonts w:ascii="Times New Roman" w:hAnsi="Times New Roman" w:cs="Times New Roman"/>
          <w:sz w:val="24"/>
          <w:szCs w:val="24"/>
        </w:rPr>
      </w:pPr>
      <w:r w:rsidRPr="00E66107">
        <w:rPr>
          <w:rFonts w:ascii="Times New Roman" w:hAnsi="Times New Roman" w:cs="Times New Roman"/>
          <w:sz w:val="24"/>
          <w:szCs w:val="24"/>
        </w:rPr>
        <w:t xml:space="preserve">They were then stained in Harris haematoxylin for 5 minutes. The slides were rinsed in water and differentiated in 1% acid alcohol briefly. This step was followed by rinsing in water and bluing under running tap water for 10 minutes. The slides were counterstained with 1% aqueous eosin for 2 minutes and rinsed in water after which they were dehydrated in ascending grades of alcohol and cleared in xylene. The slides were mounted in DPX. The nuclei and the cytoplasm appeared blue and pink in colour respectively Immunostain formalin-fixed, paraffin-embedded tissue </w:t>
      </w:r>
      <w:r w:rsidRPr="000A4404">
        <w:rPr>
          <w:rFonts w:ascii="Times New Roman" w:hAnsi="Times New Roman" w:cs="Times New Roman"/>
          <w:sz w:val="24"/>
          <w:szCs w:val="24"/>
          <w:highlight w:val="yellow"/>
        </w:rPr>
        <w:t>sections</w:t>
      </w:r>
      <w:r w:rsidR="00484A1D" w:rsidRPr="000A4404">
        <w:rPr>
          <w:rFonts w:ascii="Times New Roman" w:hAnsi="Times New Roman" w:cs="Times New Roman"/>
          <w:sz w:val="24"/>
          <w:szCs w:val="24"/>
          <w:highlight w:val="yellow"/>
        </w:rPr>
        <w:t>.</w:t>
      </w:r>
    </w:p>
    <w:p w14:paraId="46B36148" w14:textId="77777777" w:rsidR="00745971" w:rsidRPr="00E66107" w:rsidRDefault="00745971" w:rsidP="00E66107">
      <w:pPr>
        <w:spacing w:after="0" w:line="360" w:lineRule="auto"/>
        <w:jc w:val="both"/>
        <w:rPr>
          <w:rFonts w:ascii="Times New Roman" w:hAnsi="Times New Roman" w:cs="Times New Roman"/>
          <w:b/>
          <w:sz w:val="24"/>
          <w:szCs w:val="24"/>
        </w:rPr>
      </w:pPr>
      <w:r w:rsidRPr="00E66107">
        <w:rPr>
          <w:rFonts w:ascii="Times New Roman" w:hAnsi="Times New Roman" w:cs="Times New Roman"/>
          <w:b/>
          <w:sz w:val="24"/>
          <w:szCs w:val="24"/>
        </w:rPr>
        <w:t>Immunohistochemical procedure</w:t>
      </w:r>
    </w:p>
    <w:p w14:paraId="6AA7D095" w14:textId="0F24D8C1" w:rsidR="00745971" w:rsidRPr="00E66107" w:rsidRDefault="00745971" w:rsidP="00E66107">
      <w:pPr>
        <w:spacing w:after="0" w:line="360" w:lineRule="auto"/>
        <w:jc w:val="both"/>
        <w:rPr>
          <w:rFonts w:ascii="Times New Roman" w:hAnsi="Times New Roman" w:cs="Times New Roman"/>
          <w:sz w:val="24"/>
          <w:szCs w:val="24"/>
        </w:rPr>
      </w:pPr>
      <w:r w:rsidRPr="00E66107">
        <w:rPr>
          <w:rFonts w:ascii="Times New Roman" w:hAnsi="Times New Roman" w:cs="Times New Roman"/>
          <w:sz w:val="24"/>
          <w:szCs w:val="24"/>
        </w:rPr>
        <w:t>The slides were deparaffinized in xylene for 2 times, 5 min each. The slides were transfer</w:t>
      </w:r>
      <w:r w:rsidR="00F63DDA">
        <w:rPr>
          <w:rFonts w:ascii="Times New Roman" w:hAnsi="Times New Roman" w:cs="Times New Roman"/>
          <w:sz w:val="24"/>
          <w:szCs w:val="24"/>
        </w:rPr>
        <w:t>r</w:t>
      </w:r>
      <w:r w:rsidRPr="00E66107">
        <w:rPr>
          <w:rFonts w:ascii="Times New Roman" w:hAnsi="Times New Roman" w:cs="Times New Roman"/>
          <w:sz w:val="24"/>
          <w:szCs w:val="24"/>
        </w:rPr>
        <w:t>ed to 100% alcohol, for 2 times, 3 min each, and then transfer</w:t>
      </w:r>
      <w:r w:rsidR="00F63DDA">
        <w:rPr>
          <w:rFonts w:ascii="Times New Roman" w:hAnsi="Times New Roman" w:cs="Times New Roman"/>
          <w:sz w:val="24"/>
          <w:szCs w:val="24"/>
        </w:rPr>
        <w:t>r</w:t>
      </w:r>
      <w:r w:rsidRPr="00E66107">
        <w:rPr>
          <w:rFonts w:ascii="Times New Roman" w:hAnsi="Times New Roman" w:cs="Times New Roman"/>
          <w:sz w:val="24"/>
          <w:szCs w:val="24"/>
        </w:rPr>
        <w:t xml:space="preserve">ed through 95% twice, 70% once alcohols respectively for 3 min each. They </w:t>
      </w:r>
      <w:r w:rsidRPr="000A4404">
        <w:rPr>
          <w:rFonts w:ascii="Times New Roman" w:hAnsi="Times New Roman" w:cs="Times New Roman"/>
          <w:sz w:val="24"/>
          <w:szCs w:val="24"/>
          <w:highlight w:val="yellow"/>
        </w:rPr>
        <w:t>were rinse</w:t>
      </w:r>
      <w:r w:rsidR="00484A1D" w:rsidRPr="000A4404">
        <w:rPr>
          <w:rFonts w:ascii="Times New Roman" w:hAnsi="Times New Roman" w:cs="Times New Roman"/>
          <w:sz w:val="24"/>
          <w:szCs w:val="24"/>
          <w:highlight w:val="yellow"/>
        </w:rPr>
        <w:t>d</w:t>
      </w:r>
      <w:r w:rsidRPr="000A4404">
        <w:rPr>
          <w:rFonts w:ascii="Times New Roman" w:hAnsi="Times New Roman" w:cs="Times New Roman"/>
          <w:sz w:val="24"/>
          <w:szCs w:val="24"/>
          <w:highlight w:val="yellow"/>
        </w:rPr>
        <w:t xml:space="preserve"> </w:t>
      </w:r>
      <w:r w:rsidRPr="00E66107">
        <w:rPr>
          <w:rFonts w:ascii="Times New Roman" w:hAnsi="Times New Roman" w:cs="Times New Roman"/>
          <w:sz w:val="24"/>
          <w:szCs w:val="24"/>
        </w:rPr>
        <w:t>with Wash Buffer for 2 times, 5 min each. Antigen retrieval was performed to unmask the antigenic epitope. The most commonly used antigen retrieval buffer is a citrate p 6.0 and EDTA pH 9.0. For Preheating, 250-300 ml of 10</w:t>
      </w:r>
      <w:r w:rsidR="00F63DDA">
        <w:rPr>
          <w:rFonts w:ascii="Times New Roman" w:hAnsi="Times New Roman" w:cs="Times New Roman"/>
          <w:sz w:val="24"/>
          <w:szCs w:val="24"/>
        </w:rPr>
        <w:t xml:space="preserve"> mM citrate pH 6.0 /EDTA pH 9.0</w:t>
      </w:r>
      <w:r w:rsidRPr="00E66107">
        <w:rPr>
          <w:rFonts w:ascii="Times New Roman" w:hAnsi="Times New Roman" w:cs="Times New Roman"/>
          <w:sz w:val="24"/>
          <w:szCs w:val="24"/>
        </w:rPr>
        <w:t xml:space="preserve"> buffer was poured into the staining container (24 slide </w:t>
      </w:r>
      <w:r w:rsidR="00F63DDA" w:rsidRPr="00E66107">
        <w:rPr>
          <w:rFonts w:ascii="Times New Roman" w:hAnsi="Times New Roman" w:cs="Times New Roman"/>
          <w:sz w:val="24"/>
          <w:szCs w:val="24"/>
        </w:rPr>
        <w:t>coupling</w:t>
      </w:r>
      <w:r w:rsidRPr="00E66107">
        <w:rPr>
          <w:rFonts w:ascii="Times New Roman" w:hAnsi="Times New Roman" w:cs="Times New Roman"/>
          <w:sz w:val="24"/>
          <w:szCs w:val="24"/>
        </w:rPr>
        <w:t xml:space="preserve"> jar) and incubated it at 95-100°C for 5 min. The slides were arranged in a staining hanger and dipped in the preheated buffer; incubated for 10-20 min in the water bath. The staining container was removed to room </w:t>
      </w:r>
      <w:r w:rsidRPr="000A4404">
        <w:rPr>
          <w:rFonts w:ascii="Times New Roman" w:hAnsi="Times New Roman" w:cs="Times New Roman"/>
          <w:sz w:val="24"/>
          <w:szCs w:val="24"/>
          <w:highlight w:val="yellow"/>
        </w:rPr>
        <w:t xml:space="preserve">temperature and the slides </w:t>
      </w:r>
      <w:r w:rsidR="00484A1D" w:rsidRPr="000A4404">
        <w:rPr>
          <w:rFonts w:ascii="Times New Roman" w:hAnsi="Times New Roman" w:cs="Times New Roman"/>
          <w:sz w:val="24"/>
          <w:szCs w:val="24"/>
          <w:highlight w:val="yellow"/>
        </w:rPr>
        <w:t xml:space="preserve">were </w:t>
      </w:r>
      <w:r w:rsidRPr="000A4404">
        <w:rPr>
          <w:rFonts w:ascii="Times New Roman" w:hAnsi="Times New Roman" w:cs="Times New Roman"/>
          <w:sz w:val="24"/>
          <w:szCs w:val="24"/>
          <w:highlight w:val="yellow"/>
        </w:rPr>
        <w:t xml:space="preserve">to </w:t>
      </w:r>
      <w:r w:rsidRPr="00E66107">
        <w:rPr>
          <w:rFonts w:ascii="Times New Roman" w:hAnsi="Times New Roman" w:cs="Times New Roman"/>
          <w:sz w:val="24"/>
          <w:szCs w:val="24"/>
        </w:rPr>
        <w:t>cool in the retrieval buffer for 20 min. The slides were rinsed with Wash buffer for 2 times, 5 min each. Blocking buffer (e.g. 10% fetal bovine serum in PBS or 3 % H</w:t>
      </w:r>
      <w:r w:rsidRPr="00E66107">
        <w:rPr>
          <w:rFonts w:ascii="Times New Roman" w:hAnsi="Times New Roman" w:cs="Times New Roman"/>
          <w:sz w:val="24"/>
          <w:szCs w:val="24"/>
          <w:vertAlign w:val="subscript"/>
        </w:rPr>
        <w:t>2</w:t>
      </w:r>
      <w:r w:rsidRPr="00E66107">
        <w:rPr>
          <w:rFonts w:ascii="Times New Roman" w:hAnsi="Times New Roman" w:cs="Times New Roman"/>
          <w:sz w:val="24"/>
          <w:szCs w:val="24"/>
        </w:rPr>
        <w:t>O</w:t>
      </w:r>
      <w:r w:rsidRPr="00E66107">
        <w:rPr>
          <w:rFonts w:ascii="Times New Roman" w:hAnsi="Times New Roman" w:cs="Times New Roman"/>
          <w:sz w:val="24"/>
          <w:szCs w:val="24"/>
          <w:vertAlign w:val="subscript"/>
        </w:rPr>
        <w:t>2</w:t>
      </w:r>
      <w:r w:rsidRPr="00E66107">
        <w:rPr>
          <w:rFonts w:ascii="Times New Roman" w:hAnsi="Times New Roman" w:cs="Times New Roman"/>
          <w:sz w:val="24"/>
          <w:szCs w:val="24"/>
        </w:rPr>
        <w:t xml:space="preserve">) was </w:t>
      </w:r>
      <w:r w:rsidRPr="000A4404">
        <w:rPr>
          <w:rFonts w:ascii="Times New Roman" w:hAnsi="Times New Roman" w:cs="Times New Roman"/>
          <w:sz w:val="24"/>
          <w:szCs w:val="24"/>
          <w:highlight w:val="yellow"/>
        </w:rPr>
        <w:t xml:space="preserve">added to the </w:t>
      </w:r>
      <w:r w:rsidRPr="00E66107">
        <w:rPr>
          <w:rFonts w:ascii="Times New Roman" w:hAnsi="Times New Roman" w:cs="Times New Roman"/>
          <w:sz w:val="24"/>
          <w:szCs w:val="24"/>
        </w:rPr>
        <w:t xml:space="preserve">sections of the slides and incubated in a humidified chamber at room temperature for 15 minutes. The blocking buffer was drained off from the slides and washed in wash buffer. 130 μL was applied appropriately diluted primary antibody to the sections on the slides and incubated in a humidified chamber at room temperature for 1 hour. The slides were washed with Wash buffer for 2 times, 5 min each. 130 μL was applied appropriately Antibody amplifier + Polymer- HRP Micro-Polymeric-HRP secondary antibody to the sections on the slides and incubated in a humidified chamber at room temperature for </w:t>
      </w:r>
      <w:r w:rsidR="00484A1D" w:rsidRPr="000A4404">
        <w:rPr>
          <w:rFonts w:ascii="Times New Roman" w:hAnsi="Times New Roman" w:cs="Times New Roman"/>
          <w:sz w:val="24"/>
          <w:szCs w:val="24"/>
          <w:highlight w:val="yellow"/>
        </w:rPr>
        <w:t xml:space="preserve">15 minutes </w:t>
      </w:r>
      <w:r w:rsidRPr="000A4404">
        <w:rPr>
          <w:rFonts w:ascii="Times New Roman" w:hAnsi="Times New Roman" w:cs="Times New Roman"/>
          <w:sz w:val="24"/>
          <w:szCs w:val="24"/>
          <w:highlight w:val="yellow"/>
        </w:rPr>
        <w:t xml:space="preserve">each. </w:t>
      </w:r>
      <w:r w:rsidRPr="00E66107">
        <w:rPr>
          <w:rFonts w:ascii="Times New Roman" w:hAnsi="Times New Roman" w:cs="Times New Roman"/>
          <w:sz w:val="24"/>
          <w:szCs w:val="24"/>
        </w:rPr>
        <w:t xml:space="preserve">The slides were further washed with wash buffer for 2 times, 5 </w:t>
      </w:r>
      <w:r w:rsidRPr="00E66107">
        <w:rPr>
          <w:rFonts w:ascii="Times New Roman" w:hAnsi="Times New Roman" w:cs="Times New Roman"/>
          <w:sz w:val="24"/>
          <w:szCs w:val="24"/>
        </w:rPr>
        <w:lastRenderedPageBreak/>
        <w:t>min each. 130 μL DAB substrate solution (freshly made just before use: 0.05 % DAB - 0.015 % H</w:t>
      </w:r>
      <w:r w:rsidRPr="00E66107">
        <w:rPr>
          <w:rFonts w:ascii="Times New Roman" w:hAnsi="Times New Roman" w:cs="Times New Roman"/>
          <w:sz w:val="24"/>
          <w:szCs w:val="24"/>
          <w:vertAlign w:val="subscript"/>
        </w:rPr>
        <w:t>2</w:t>
      </w:r>
      <w:r w:rsidRPr="00E66107">
        <w:rPr>
          <w:rFonts w:ascii="Times New Roman" w:hAnsi="Times New Roman" w:cs="Times New Roman"/>
          <w:sz w:val="24"/>
          <w:szCs w:val="24"/>
        </w:rPr>
        <w:t>O</w:t>
      </w:r>
      <w:r w:rsidRPr="00E66107">
        <w:rPr>
          <w:rFonts w:ascii="Times New Roman" w:hAnsi="Times New Roman" w:cs="Times New Roman"/>
          <w:sz w:val="24"/>
          <w:szCs w:val="24"/>
          <w:vertAlign w:val="subscript"/>
        </w:rPr>
        <w:t>2</w:t>
      </w:r>
      <w:r w:rsidRPr="00E66107">
        <w:rPr>
          <w:rFonts w:ascii="Times New Roman" w:hAnsi="Times New Roman" w:cs="Times New Roman"/>
          <w:sz w:val="24"/>
          <w:szCs w:val="24"/>
        </w:rPr>
        <w:t xml:space="preserve"> in PBS) was applied to the sections on the slides to reveal the color of antibody staining. The color was allowed to develop for &lt; 5 min until the desired color intensity </w:t>
      </w:r>
      <w:r w:rsidR="00484A1D" w:rsidRPr="000A4404">
        <w:rPr>
          <w:rFonts w:ascii="Times New Roman" w:hAnsi="Times New Roman" w:cs="Times New Roman"/>
          <w:sz w:val="24"/>
          <w:szCs w:val="24"/>
          <w:highlight w:val="yellow"/>
        </w:rPr>
        <w:t xml:space="preserve">was </w:t>
      </w:r>
      <w:r w:rsidRPr="000A4404">
        <w:rPr>
          <w:rFonts w:ascii="Times New Roman" w:hAnsi="Times New Roman" w:cs="Times New Roman"/>
          <w:sz w:val="24"/>
          <w:szCs w:val="24"/>
          <w:highlight w:val="yellow"/>
        </w:rPr>
        <w:t>reache</w:t>
      </w:r>
      <w:r w:rsidRPr="00E66107">
        <w:rPr>
          <w:rFonts w:ascii="Times New Roman" w:hAnsi="Times New Roman" w:cs="Times New Roman"/>
          <w:sz w:val="24"/>
          <w:szCs w:val="24"/>
        </w:rPr>
        <w:t xml:space="preserve">d. The slides were washed under running water 3 times, 2 min each. Slides were counterstained by immersing sides in Hematoxylin for 10-20seconds. The slides were rinsed in running tap water for 10 min. The tissue slides were dehydrated through 4 times of alcohol (95%, 95%, 100% and 100%), 5 min each. The tissue slides were cleared 3 times in xylene and coverslip </w:t>
      </w:r>
      <w:r w:rsidRPr="000A4404">
        <w:rPr>
          <w:rFonts w:ascii="Times New Roman" w:hAnsi="Times New Roman" w:cs="Times New Roman"/>
          <w:sz w:val="24"/>
          <w:szCs w:val="24"/>
          <w:highlight w:val="yellow"/>
        </w:rPr>
        <w:t xml:space="preserve">using </w:t>
      </w:r>
      <w:r w:rsidR="00484A1D" w:rsidRPr="000A4404">
        <w:rPr>
          <w:rFonts w:ascii="Times New Roman" w:hAnsi="Times New Roman" w:cs="Times New Roman"/>
          <w:sz w:val="24"/>
          <w:szCs w:val="24"/>
          <w:highlight w:val="yellow"/>
        </w:rPr>
        <w:t xml:space="preserve">the </w:t>
      </w:r>
      <w:r w:rsidRPr="000A4404">
        <w:rPr>
          <w:rFonts w:ascii="Times New Roman" w:hAnsi="Times New Roman" w:cs="Times New Roman"/>
          <w:sz w:val="24"/>
          <w:szCs w:val="24"/>
          <w:highlight w:val="yellow"/>
        </w:rPr>
        <w:t>mount</w:t>
      </w:r>
      <w:r w:rsidRPr="00E66107">
        <w:rPr>
          <w:rFonts w:ascii="Times New Roman" w:hAnsi="Times New Roman" w:cs="Times New Roman"/>
          <w:sz w:val="24"/>
          <w:szCs w:val="24"/>
        </w:rPr>
        <w:t>ing solution. The mounted slides can be stored at room temperature permanently. The colour of the antibody staining was observed in the tissue sections under microscopy.</w:t>
      </w:r>
    </w:p>
    <w:p w14:paraId="42F9E4A2" w14:textId="77777777" w:rsidR="00745971" w:rsidRPr="00E66107" w:rsidRDefault="00745971" w:rsidP="00E66107">
      <w:pPr>
        <w:spacing w:after="0" w:line="360" w:lineRule="auto"/>
        <w:jc w:val="both"/>
        <w:rPr>
          <w:rFonts w:ascii="Times New Roman" w:hAnsi="Times New Roman" w:cs="Times New Roman"/>
          <w:b/>
          <w:sz w:val="24"/>
          <w:szCs w:val="24"/>
        </w:rPr>
      </w:pPr>
      <w:r w:rsidRPr="00E66107">
        <w:rPr>
          <w:rFonts w:ascii="Times New Roman" w:hAnsi="Times New Roman" w:cs="Times New Roman"/>
          <w:b/>
          <w:sz w:val="24"/>
          <w:szCs w:val="24"/>
        </w:rPr>
        <w:t>Data Analysis</w:t>
      </w:r>
    </w:p>
    <w:p w14:paraId="07C4E20A" w14:textId="77777777" w:rsidR="00745971" w:rsidRPr="00E66107" w:rsidRDefault="00745971" w:rsidP="00E66107">
      <w:pPr>
        <w:spacing w:after="0" w:line="360" w:lineRule="auto"/>
        <w:jc w:val="both"/>
        <w:rPr>
          <w:rFonts w:ascii="Times New Roman" w:hAnsi="Times New Roman" w:cs="Times New Roman"/>
          <w:sz w:val="24"/>
          <w:szCs w:val="24"/>
        </w:rPr>
      </w:pPr>
      <w:r w:rsidRPr="00E66107">
        <w:rPr>
          <w:rFonts w:ascii="Times New Roman" w:hAnsi="Times New Roman" w:cs="Times New Roman"/>
          <w:sz w:val="24"/>
          <w:szCs w:val="24"/>
        </w:rPr>
        <w:t>Results were expressed as mean ±SD from at least three replicate measurements.                      The difference between the means will be analyzed with ANOVA, α value = 0.05.                                             Post-hoc Analysis will be done using Tukey test, using GraphPad Prism software 9, 2022</w:t>
      </w:r>
    </w:p>
    <w:p w14:paraId="27203C2D" w14:textId="77777777" w:rsidR="00745971" w:rsidRDefault="00745971" w:rsidP="00E66107">
      <w:pPr>
        <w:spacing w:after="0" w:line="360" w:lineRule="auto"/>
        <w:jc w:val="both"/>
        <w:rPr>
          <w:rFonts w:ascii="Times New Roman" w:hAnsi="Times New Roman" w:cs="Times New Roman"/>
          <w:sz w:val="24"/>
          <w:szCs w:val="24"/>
        </w:rPr>
      </w:pPr>
    </w:p>
    <w:p w14:paraId="1AB15A13" w14:textId="77777777" w:rsidR="003E39D4" w:rsidRPr="00E66107" w:rsidRDefault="003E39D4" w:rsidP="003E39D4">
      <w:pPr>
        <w:spacing w:after="0" w:line="360" w:lineRule="auto"/>
        <w:jc w:val="both"/>
        <w:rPr>
          <w:rFonts w:ascii="Times New Roman" w:hAnsi="Times New Roman" w:cs="Times New Roman"/>
          <w:b/>
          <w:sz w:val="24"/>
          <w:szCs w:val="24"/>
        </w:rPr>
      </w:pPr>
      <w:r w:rsidRPr="00E66107">
        <w:rPr>
          <w:rFonts w:ascii="Times New Roman" w:hAnsi="Times New Roman" w:cs="Times New Roman"/>
          <w:b/>
          <w:sz w:val="24"/>
          <w:szCs w:val="24"/>
        </w:rPr>
        <w:t>RESULTS</w:t>
      </w:r>
    </w:p>
    <w:p w14:paraId="20D94892" w14:textId="77777777" w:rsidR="003E39D4" w:rsidRPr="00E66107" w:rsidRDefault="003E39D4" w:rsidP="003E39D4">
      <w:pPr>
        <w:spacing w:after="0" w:line="360" w:lineRule="auto"/>
        <w:jc w:val="both"/>
        <w:rPr>
          <w:rFonts w:ascii="Times New Roman" w:hAnsi="Times New Roman" w:cs="Times New Roman"/>
          <w:b/>
          <w:sz w:val="24"/>
          <w:szCs w:val="24"/>
        </w:rPr>
      </w:pPr>
      <w:r w:rsidRPr="00E66107">
        <w:rPr>
          <w:rFonts w:ascii="Times New Roman" w:hAnsi="Times New Roman" w:cs="Times New Roman"/>
          <w:b/>
          <w:sz w:val="24"/>
          <w:szCs w:val="24"/>
        </w:rPr>
        <w:t xml:space="preserve">Effects of aqueous leaf extract of </w:t>
      </w:r>
      <w:r w:rsidRPr="00E66107">
        <w:rPr>
          <w:rFonts w:ascii="Times New Roman" w:hAnsi="Times New Roman" w:cs="Times New Roman"/>
          <w:b/>
          <w:i/>
          <w:sz w:val="24"/>
          <w:szCs w:val="24"/>
        </w:rPr>
        <w:t xml:space="preserve">Anogeissus leiocarpus </w:t>
      </w:r>
      <w:r w:rsidRPr="00E66107">
        <w:rPr>
          <w:rFonts w:ascii="Times New Roman" w:hAnsi="Times New Roman" w:cs="Times New Roman"/>
          <w:b/>
          <w:sz w:val="24"/>
          <w:szCs w:val="24"/>
        </w:rPr>
        <w:t>(ALEAL) on the hepatic parameters of male Wistar rats exposed to Carbon tetrachloride.</w:t>
      </w:r>
    </w:p>
    <w:p w14:paraId="4AC1CF52" w14:textId="139C248E" w:rsidR="003E39D4" w:rsidRPr="00E66107" w:rsidRDefault="003E39D4" w:rsidP="003E39D4">
      <w:pPr>
        <w:spacing w:after="0" w:line="360" w:lineRule="auto"/>
        <w:jc w:val="both"/>
        <w:rPr>
          <w:rFonts w:ascii="Times New Roman" w:hAnsi="Times New Roman" w:cs="Times New Roman"/>
          <w:sz w:val="24"/>
          <w:szCs w:val="24"/>
        </w:rPr>
      </w:pPr>
      <w:r w:rsidRPr="00E66107">
        <w:rPr>
          <w:rFonts w:ascii="Times New Roman" w:hAnsi="Times New Roman" w:cs="Times New Roman"/>
          <w:sz w:val="24"/>
          <w:szCs w:val="24"/>
        </w:rPr>
        <w:t>Selected hepatic parameters of rats pretreated with ALEAL and those administered CCl</w:t>
      </w:r>
      <w:r w:rsidRPr="00E66107">
        <w:rPr>
          <w:rFonts w:ascii="Times New Roman" w:hAnsi="Times New Roman" w:cs="Times New Roman"/>
          <w:sz w:val="24"/>
          <w:szCs w:val="24"/>
          <w:vertAlign w:val="subscript"/>
        </w:rPr>
        <w:t xml:space="preserve">4 </w:t>
      </w:r>
      <w:r w:rsidRPr="00E66107">
        <w:rPr>
          <w:rFonts w:ascii="Times New Roman" w:hAnsi="Times New Roman" w:cs="Times New Roman"/>
          <w:sz w:val="24"/>
          <w:szCs w:val="24"/>
        </w:rPr>
        <w:t xml:space="preserve">(3 ml/kg) are shown in </w:t>
      </w:r>
      <w:r w:rsidRPr="000A4404">
        <w:rPr>
          <w:rFonts w:ascii="Times New Roman" w:hAnsi="Times New Roman" w:cs="Times New Roman"/>
          <w:sz w:val="24"/>
          <w:szCs w:val="24"/>
          <w:highlight w:val="yellow"/>
        </w:rPr>
        <w:t>table 2 below. Result</w:t>
      </w:r>
      <w:r w:rsidR="00484A1D" w:rsidRPr="000A4404">
        <w:rPr>
          <w:rFonts w:ascii="Times New Roman" w:hAnsi="Times New Roman" w:cs="Times New Roman"/>
          <w:sz w:val="24"/>
          <w:szCs w:val="24"/>
          <w:highlight w:val="yellow"/>
        </w:rPr>
        <w:t>s</w:t>
      </w:r>
      <w:r w:rsidRPr="000A4404">
        <w:rPr>
          <w:rFonts w:ascii="Times New Roman" w:hAnsi="Times New Roman" w:cs="Times New Roman"/>
          <w:sz w:val="24"/>
          <w:szCs w:val="24"/>
          <w:highlight w:val="yellow"/>
        </w:rPr>
        <w:t xml:space="preserve"> revealed</w:t>
      </w:r>
      <w:r w:rsidRPr="00E66107">
        <w:rPr>
          <w:rFonts w:ascii="Times New Roman" w:hAnsi="Times New Roman" w:cs="Times New Roman"/>
          <w:sz w:val="24"/>
          <w:szCs w:val="24"/>
        </w:rPr>
        <w:t xml:space="preserve"> that rats administered with 3 ml/kg of CCl</w:t>
      </w:r>
      <w:r w:rsidRPr="00E66107">
        <w:rPr>
          <w:rFonts w:ascii="Times New Roman" w:hAnsi="Times New Roman" w:cs="Times New Roman"/>
          <w:sz w:val="24"/>
          <w:szCs w:val="24"/>
          <w:vertAlign w:val="subscript"/>
        </w:rPr>
        <w:t>4</w:t>
      </w:r>
      <w:r w:rsidRPr="00E66107">
        <w:rPr>
          <w:rFonts w:ascii="Times New Roman" w:hAnsi="Times New Roman" w:cs="Times New Roman"/>
          <w:sz w:val="24"/>
          <w:szCs w:val="24"/>
        </w:rPr>
        <w:t xml:space="preserve"> presented with a significant increase (</w:t>
      </w:r>
      <w:r w:rsidRPr="00E66107">
        <w:rPr>
          <w:rFonts w:ascii="Times New Roman" w:hAnsi="Times New Roman" w:cs="Times New Roman"/>
          <w:i/>
          <w:sz w:val="24"/>
          <w:szCs w:val="24"/>
        </w:rPr>
        <w:t>P</w:t>
      </w:r>
      <w:r w:rsidRPr="00E66107">
        <w:rPr>
          <w:rFonts w:ascii="Times New Roman" w:hAnsi="Times New Roman" w:cs="Times New Roman"/>
          <w:sz w:val="24"/>
          <w:szCs w:val="24"/>
        </w:rPr>
        <w:t>&lt;0.05) in serum activities of liver enzymes (AST, ALT and ALP) compared to control group and the groups pretreated with ALEAL.</w:t>
      </w:r>
    </w:p>
    <w:p w14:paraId="083B652B" w14:textId="77777777" w:rsidR="003E39D4" w:rsidRPr="00A55342" w:rsidRDefault="003E39D4" w:rsidP="003E39D4">
      <w:pPr>
        <w:spacing w:after="0" w:line="360" w:lineRule="auto"/>
        <w:jc w:val="both"/>
        <w:rPr>
          <w:rFonts w:ascii="Times New Roman" w:hAnsi="Times New Roman" w:cs="Times New Roman"/>
          <w:sz w:val="24"/>
          <w:szCs w:val="24"/>
        </w:rPr>
      </w:pPr>
      <w:r w:rsidRPr="00E66107">
        <w:rPr>
          <w:rFonts w:ascii="Times New Roman" w:hAnsi="Times New Roman" w:cs="Times New Roman"/>
          <w:b/>
          <w:sz w:val="24"/>
          <w:szCs w:val="24"/>
        </w:rPr>
        <w:t xml:space="preserve">Table 2: Effects of aqueous leaf extract of </w:t>
      </w:r>
      <w:r w:rsidRPr="00E66107">
        <w:rPr>
          <w:rFonts w:ascii="Times New Roman" w:hAnsi="Times New Roman" w:cs="Times New Roman"/>
          <w:b/>
          <w:i/>
          <w:sz w:val="24"/>
          <w:szCs w:val="24"/>
        </w:rPr>
        <w:t>A. leiocarpus</w:t>
      </w:r>
      <w:r w:rsidRPr="00E66107">
        <w:rPr>
          <w:rFonts w:ascii="Times New Roman" w:hAnsi="Times New Roman" w:cs="Times New Roman"/>
          <w:b/>
          <w:sz w:val="24"/>
          <w:szCs w:val="24"/>
        </w:rPr>
        <w:t xml:space="preserve"> on the hepatic parameters of male Wistar rats exposed to Carbon tetrachloride.</w:t>
      </w:r>
    </w:p>
    <w:p w14:paraId="69A4D712" w14:textId="77777777" w:rsidR="003E39D4" w:rsidRPr="00E66107" w:rsidRDefault="003E39D4" w:rsidP="003E39D4">
      <w:pPr>
        <w:spacing w:after="0" w:line="360" w:lineRule="auto"/>
        <w:jc w:val="both"/>
        <w:rPr>
          <w:rFonts w:ascii="Times New Roman" w:hAnsi="Times New Roman" w:cs="Times New Roman"/>
          <w:b/>
          <w:sz w:val="24"/>
          <w:szCs w:val="24"/>
        </w:rPr>
      </w:pPr>
    </w:p>
    <w:tbl>
      <w:tblPr>
        <w:tblW w:w="6768" w:type="dxa"/>
        <w:tblLayout w:type="fixed"/>
        <w:tblLook w:val="04A0" w:firstRow="1" w:lastRow="0" w:firstColumn="1" w:lastColumn="0" w:noHBand="0" w:noVBand="1"/>
      </w:tblPr>
      <w:tblGrid>
        <w:gridCol w:w="2358"/>
        <w:gridCol w:w="1530"/>
        <w:gridCol w:w="1440"/>
        <w:gridCol w:w="1440"/>
      </w:tblGrid>
      <w:tr w:rsidR="003E39D4" w:rsidRPr="00E66107" w14:paraId="1FECBFDE" w14:textId="77777777" w:rsidTr="000F5CF4">
        <w:trPr>
          <w:trHeight w:val="548"/>
        </w:trPr>
        <w:tc>
          <w:tcPr>
            <w:tcW w:w="2358" w:type="dxa"/>
            <w:tcBorders>
              <w:top w:val="single" w:sz="4" w:space="0" w:color="auto"/>
              <w:bottom w:val="single" w:sz="4" w:space="0" w:color="auto"/>
            </w:tcBorders>
          </w:tcPr>
          <w:p w14:paraId="73DBAD12" w14:textId="77777777" w:rsidR="003E39D4" w:rsidRPr="00E66107" w:rsidRDefault="003E39D4" w:rsidP="000F5CF4">
            <w:pPr>
              <w:spacing w:after="0" w:line="360" w:lineRule="auto"/>
              <w:jc w:val="both"/>
              <w:rPr>
                <w:rFonts w:ascii="Times New Roman" w:hAnsi="Times New Roman" w:cs="Times New Roman"/>
                <w:b/>
                <w:sz w:val="24"/>
                <w:szCs w:val="24"/>
              </w:rPr>
            </w:pPr>
            <w:r w:rsidRPr="00E66107">
              <w:rPr>
                <w:rFonts w:ascii="Times New Roman" w:hAnsi="Times New Roman" w:cs="Times New Roman"/>
                <w:sz w:val="24"/>
                <w:szCs w:val="24"/>
              </w:rPr>
              <w:t>Group</w:t>
            </w:r>
          </w:p>
        </w:tc>
        <w:tc>
          <w:tcPr>
            <w:tcW w:w="1530" w:type="dxa"/>
            <w:tcBorders>
              <w:top w:val="single" w:sz="4" w:space="0" w:color="auto"/>
              <w:bottom w:val="single" w:sz="4" w:space="0" w:color="auto"/>
            </w:tcBorders>
          </w:tcPr>
          <w:p w14:paraId="4D8B7C15" w14:textId="77777777" w:rsidR="003E39D4" w:rsidRPr="00E66107" w:rsidRDefault="003E39D4" w:rsidP="000F5CF4">
            <w:pPr>
              <w:spacing w:after="0" w:line="360" w:lineRule="auto"/>
              <w:jc w:val="both"/>
              <w:rPr>
                <w:rFonts w:ascii="Times New Roman" w:hAnsi="Times New Roman" w:cs="Times New Roman"/>
                <w:b/>
                <w:sz w:val="24"/>
                <w:szCs w:val="24"/>
              </w:rPr>
            </w:pPr>
            <w:r w:rsidRPr="00E66107">
              <w:rPr>
                <w:rFonts w:ascii="Times New Roman" w:hAnsi="Times New Roman" w:cs="Times New Roman"/>
                <w:sz w:val="24"/>
                <w:szCs w:val="24"/>
              </w:rPr>
              <w:t>AST (U/L)</w:t>
            </w:r>
          </w:p>
        </w:tc>
        <w:tc>
          <w:tcPr>
            <w:tcW w:w="1440" w:type="dxa"/>
            <w:tcBorders>
              <w:top w:val="single" w:sz="4" w:space="0" w:color="auto"/>
              <w:bottom w:val="single" w:sz="4" w:space="0" w:color="auto"/>
            </w:tcBorders>
          </w:tcPr>
          <w:p w14:paraId="7B2404DF" w14:textId="77777777" w:rsidR="003E39D4" w:rsidRPr="00E66107" w:rsidRDefault="003E39D4" w:rsidP="000F5CF4">
            <w:pPr>
              <w:spacing w:after="0" w:line="360" w:lineRule="auto"/>
              <w:jc w:val="both"/>
              <w:rPr>
                <w:rFonts w:ascii="Times New Roman" w:hAnsi="Times New Roman" w:cs="Times New Roman"/>
                <w:b/>
                <w:sz w:val="24"/>
                <w:szCs w:val="24"/>
              </w:rPr>
            </w:pPr>
            <w:r w:rsidRPr="00E66107">
              <w:rPr>
                <w:rFonts w:ascii="Times New Roman" w:hAnsi="Times New Roman" w:cs="Times New Roman"/>
                <w:sz w:val="24"/>
                <w:szCs w:val="24"/>
              </w:rPr>
              <w:t>ALT (U/L)</w:t>
            </w:r>
          </w:p>
        </w:tc>
        <w:tc>
          <w:tcPr>
            <w:tcW w:w="1440" w:type="dxa"/>
            <w:tcBorders>
              <w:top w:val="single" w:sz="4" w:space="0" w:color="auto"/>
              <w:bottom w:val="single" w:sz="4" w:space="0" w:color="auto"/>
            </w:tcBorders>
          </w:tcPr>
          <w:p w14:paraId="2FDBD7A6" w14:textId="77777777" w:rsidR="003E39D4" w:rsidRPr="00E66107" w:rsidRDefault="003E39D4" w:rsidP="000F5CF4">
            <w:pPr>
              <w:spacing w:after="0" w:line="360" w:lineRule="auto"/>
              <w:jc w:val="both"/>
              <w:rPr>
                <w:rFonts w:ascii="Times New Roman" w:hAnsi="Times New Roman" w:cs="Times New Roman"/>
                <w:b/>
                <w:sz w:val="24"/>
                <w:szCs w:val="24"/>
              </w:rPr>
            </w:pPr>
            <w:r w:rsidRPr="00E66107">
              <w:rPr>
                <w:rFonts w:ascii="Times New Roman" w:hAnsi="Times New Roman" w:cs="Times New Roman"/>
                <w:sz w:val="24"/>
                <w:szCs w:val="24"/>
              </w:rPr>
              <w:t>ALP (U/L)</w:t>
            </w:r>
          </w:p>
        </w:tc>
      </w:tr>
      <w:tr w:rsidR="003E39D4" w:rsidRPr="00E66107" w14:paraId="4AD83AD4" w14:textId="77777777" w:rsidTr="000F5CF4">
        <w:trPr>
          <w:trHeight w:val="287"/>
        </w:trPr>
        <w:tc>
          <w:tcPr>
            <w:tcW w:w="2358" w:type="dxa"/>
            <w:tcBorders>
              <w:top w:val="single" w:sz="4" w:space="0" w:color="auto"/>
            </w:tcBorders>
          </w:tcPr>
          <w:p w14:paraId="588962D7" w14:textId="77777777" w:rsidR="003E39D4" w:rsidRPr="00E66107" w:rsidRDefault="003E39D4" w:rsidP="000F5CF4">
            <w:pPr>
              <w:spacing w:after="0" w:line="360" w:lineRule="auto"/>
              <w:jc w:val="both"/>
              <w:rPr>
                <w:rFonts w:ascii="Times New Roman" w:hAnsi="Times New Roman" w:cs="Times New Roman"/>
                <w:b/>
                <w:sz w:val="24"/>
                <w:szCs w:val="24"/>
              </w:rPr>
            </w:pPr>
            <w:r w:rsidRPr="00E66107">
              <w:rPr>
                <w:rFonts w:ascii="Times New Roman" w:hAnsi="Times New Roman" w:cs="Times New Roman"/>
                <w:sz w:val="24"/>
                <w:szCs w:val="24"/>
              </w:rPr>
              <w:t>A: Normal Control</w:t>
            </w:r>
          </w:p>
        </w:tc>
        <w:tc>
          <w:tcPr>
            <w:tcW w:w="1530" w:type="dxa"/>
            <w:tcBorders>
              <w:top w:val="single" w:sz="4" w:space="0" w:color="auto"/>
            </w:tcBorders>
          </w:tcPr>
          <w:p w14:paraId="29A1BEFA" w14:textId="77777777" w:rsidR="003E39D4" w:rsidRPr="00E66107" w:rsidRDefault="003E39D4" w:rsidP="000F5CF4">
            <w:pPr>
              <w:spacing w:after="0" w:line="360" w:lineRule="auto"/>
              <w:jc w:val="both"/>
              <w:rPr>
                <w:rFonts w:ascii="Times New Roman" w:hAnsi="Times New Roman" w:cs="Times New Roman"/>
                <w:sz w:val="24"/>
                <w:szCs w:val="24"/>
                <w:vertAlign w:val="superscript"/>
              </w:rPr>
            </w:pPr>
            <w:r w:rsidRPr="00E66107">
              <w:rPr>
                <w:rFonts w:ascii="Times New Roman" w:hAnsi="Times New Roman" w:cs="Times New Roman"/>
                <w:sz w:val="24"/>
                <w:szCs w:val="24"/>
              </w:rPr>
              <w:t>28.43±0.21</w:t>
            </w:r>
            <w:r w:rsidRPr="00E66107">
              <w:rPr>
                <w:rFonts w:ascii="Times New Roman" w:hAnsi="Times New Roman" w:cs="Times New Roman"/>
                <w:sz w:val="24"/>
                <w:szCs w:val="24"/>
                <w:vertAlign w:val="superscript"/>
              </w:rPr>
              <w:t>a</w:t>
            </w:r>
          </w:p>
        </w:tc>
        <w:tc>
          <w:tcPr>
            <w:tcW w:w="1440" w:type="dxa"/>
            <w:tcBorders>
              <w:top w:val="single" w:sz="4" w:space="0" w:color="auto"/>
            </w:tcBorders>
          </w:tcPr>
          <w:p w14:paraId="3D2853BD" w14:textId="77777777" w:rsidR="003E39D4" w:rsidRPr="00E66107" w:rsidRDefault="003E39D4" w:rsidP="000F5CF4">
            <w:pPr>
              <w:spacing w:after="0" w:line="360" w:lineRule="auto"/>
              <w:jc w:val="both"/>
              <w:rPr>
                <w:rFonts w:ascii="Times New Roman" w:hAnsi="Times New Roman" w:cs="Times New Roman"/>
                <w:sz w:val="24"/>
                <w:szCs w:val="24"/>
                <w:vertAlign w:val="superscript"/>
              </w:rPr>
            </w:pPr>
            <w:r w:rsidRPr="00E66107">
              <w:rPr>
                <w:rFonts w:ascii="Times New Roman" w:hAnsi="Times New Roman" w:cs="Times New Roman"/>
                <w:sz w:val="24"/>
                <w:szCs w:val="24"/>
              </w:rPr>
              <w:t>36.38±0.88</w:t>
            </w:r>
            <w:r w:rsidRPr="00E66107">
              <w:rPr>
                <w:rFonts w:ascii="Times New Roman" w:hAnsi="Times New Roman" w:cs="Times New Roman"/>
                <w:sz w:val="24"/>
                <w:szCs w:val="24"/>
                <w:vertAlign w:val="superscript"/>
              </w:rPr>
              <w:t>a</w:t>
            </w:r>
          </w:p>
        </w:tc>
        <w:tc>
          <w:tcPr>
            <w:tcW w:w="1440" w:type="dxa"/>
            <w:tcBorders>
              <w:top w:val="single" w:sz="4" w:space="0" w:color="auto"/>
            </w:tcBorders>
          </w:tcPr>
          <w:p w14:paraId="4F21481C" w14:textId="77777777" w:rsidR="003E39D4" w:rsidRPr="00E66107" w:rsidRDefault="003E39D4" w:rsidP="000F5CF4">
            <w:pPr>
              <w:spacing w:after="0" w:line="360" w:lineRule="auto"/>
              <w:jc w:val="both"/>
              <w:rPr>
                <w:rFonts w:ascii="Times New Roman" w:hAnsi="Times New Roman" w:cs="Times New Roman"/>
                <w:sz w:val="24"/>
                <w:szCs w:val="24"/>
              </w:rPr>
            </w:pPr>
            <w:r w:rsidRPr="00E66107">
              <w:rPr>
                <w:rFonts w:ascii="Times New Roman" w:hAnsi="Times New Roman" w:cs="Times New Roman"/>
                <w:sz w:val="24"/>
                <w:szCs w:val="24"/>
              </w:rPr>
              <w:t>44.17±0.63</w:t>
            </w:r>
            <w:r w:rsidRPr="00E66107">
              <w:rPr>
                <w:rFonts w:ascii="Times New Roman" w:hAnsi="Times New Roman" w:cs="Times New Roman"/>
                <w:sz w:val="24"/>
                <w:szCs w:val="24"/>
                <w:vertAlign w:val="superscript"/>
              </w:rPr>
              <w:t>a</w:t>
            </w:r>
          </w:p>
        </w:tc>
      </w:tr>
      <w:tr w:rsidR="003E39D4" w:rsidRPr="00E66107" w14:paraId="471A1845" w14:textId="77777777" w:rsidTr="000F5CF4">
        <w:tc>
          <w:tcPr>
            <w:tcW w:w="2358" w:type="dxa"/>
          </w:tcPr>
          <w:p w14:paraId="6455BCFE" w14:textId="77777777" w:rsidR="003E39D4" w:rsidRPr="00E66107" w:rsidRDefault="003E39D4" w:rsidP="000F5CF4">
            <w:pPr>
              <w:spacing w:after="0" w:line="360" w:lineRule="auto"/>
              <w:jc w:val="both"/>
              <w:rPr>
                <w:rFonts w:ascii="Times New Roman" w:hAnsi="Times New Roman" w:cs="Times New Roman"/>
                <w:b/>
                <w:sz w:val="24"/>
                <w:szCs w:val="24"/>
              </w:rPr>
            </w:pPr>
            <w:r w:rsidRPr="00E66107">
              <w:rPr>
                <w:rFonts w:ascii="Times New Roman" w:hAnsi="Times New Roman" w:cs="Times New Roman"/>
                <w:sz w:val="24"/>
                <w:szCs w:val="24"/>
              </w:rPr>
              <w:t>B: CCl</w:t>
            </w:r>
            <w:r w:rsidRPr="00E66107">
              <w:rPr>
                <w:rFonts w:ascii="Times New Roman" w:hAnsi="Times New Roman" w:cs="Times New Roman"/>
                <w:sz w:val="24"/>
                <w:szCs w:val="24"/>
                <w:vertAlign w:val="subscript"/>
              </w:rPr>
              <w:t>4</w:t>
            </w:r>
            <w:r w:rsidRPr="00E66107">
              <w:rPr>
                <w:rFonts w:ascii="Times New Roman" w:hAnsi="Times New Roman" w:cs="Times New Roman"/>
                <w:sz w:val="24"/>
                <w:szCs w:val="24"/>
              </w:rPr>
              <w:t xml:space="preserve"> (3 ml/kg)</w:t>
            </w:r>
          </w:p>
        </w:tc>
        <w:tc>
          <w:tcPr>
            <w:tcW w:w="1530" w:type="dxa"/>
          </w:tcPr>
          <w:p w14:paraId="48403E48" w14:textId="77777777" w:rsidR="003E39D4" w:rsidRPr="00E66107" w:rsidRDefault="003E39D4" w:rsidP="000F5CF4">
            <w:pPr>
              <w:spacing w:after="0" w:line="360" w:lineRule="auto"/>
              <w:jc w:val="both"/>
              <w:rPr>
                <w:rFonts w:ascii="Times New Roman" w:hAnsi="Times New Roman" w:cs="Times New Roman"/>
                <w:sz w:val="24"/>
                <w:szCs w:val="24"/>
              </w:rPr>
            </w:pPr>
            <w:r w:rsidRPr="00E66107">
              <w:rPr>
                <w:rFonts w:ascii="Times New Roman" w:hAnsi="Times New Roman" w:cs="Times New Roman"/>
                <w:sz w:val="24"/>
                <w:szCs w:val="24"/>
              </w:rPr>
              <w:t>38.85±0.12</w:t>
            </w:r>
            <w:r w:rsidRPr="00E66107">
              <w:rPr>
                <w:rFonts w:ascii="Times New Roman" w:hAnsi="Times New Roman" w:cs="Times New Roman"/>
                <w:sz w:val="24"/>
                <w:szCs w:val="24"/>
                <w:vertAlign w:val="superscript"/>
              </w:rPr>
              <w:t>b</w:t>
            </w:r>
          </w:p>
        </w:tc>
        <w:tc>
          <w:tcPr>
            <w:tcW w:w="1440" w:type="dxa"/>
          </w:tcPr>
          <w:p w14:paraId="63A21A1C" w14:textId="77777777" w:rsidR="003E39D4" w:rsidRPr="00E66107" w:rsidRDefault="003E39D4" w:rsidP="000F5CF4">
            <w:pPr>
              <w:spacing w:after="0" w:line="360" w:lineRule="auto"/>
              <w:jc w:val="both"/>
              <w:rPr>
                <w:rFonts w:ascii="Times New Roman" w:hAnsi="Times New Roman" w:cs="Times New Roman"/>
                <w:sz w:val="24"/>
                <w:szCs w:val="24"/>
              </w:rPr>
            </w:pPr>
            <w:r w:rsidRPr="00E66107">
              <w:rPr>
                <w:rFonts w:ascii="Times New Roman" w:hAnsi="Times New Roman" w:cs="Times New Roman"/>
                <w:sz w:val="24"/>
                <w:szCs w:val="24"/>
              </w:rPr>
              <w:t>69.12±1.91</w:t>
            </w:r>
            <w:r w:rsidRPr="00E66107">
              <w:rPr>
                <w:rFonts w:ascii="Times New Roman" w:hAnsi="Times New Roman" w:cs="Times New Roman"/>
                <w:sz w:val="24"/>
                <w:szCs w:val="24"/>
                <w:vertAlign w:val="superscript"/>
              </w:rPr>
              <w:t xml:space="preserve"> b</w:t>
            </w:r>
          </w:p>
        </w:tc>
        <w:tc>
          <w:tcPr>
            <w:tcW w:w="1440" w:type="dxa"/>
          </w:tcPr>
          <w:p w14:paraId="5CD088B9" w14:textId="77777777" w:rsidR="003E39D4" w:rsidRPr="00E66107" w:rsidRDefault="003E39D4" w:rsidP="000F5CF4">
            <w:pPr>
              <w:spacing w:after="0" w:line="360" w:lineRule="auto"/>
              <w:jc w:val="both"/>
              <w:rPr>
                <w:rFonts w:ascii="Times New Roman" w:hAnsi="Times New Roman" w:cs="Times New Roman"/>
                <w:sz w:val="24"/>
                <w:szCs w:val="24"/>
              </w:rPr>
            </w:pPr>
            <w:r w:rsidRPr="00E66107">
              <w:rPr>
                <w:rFonts w:ascii="Times New Roman" w:hAnsi="Times New Roman" w:cs="Times New Roman"/>
                <w:sz w:val="24"/>
                <w:szCs w:val="24"/>
              </w:rPr>
              <w:t>55.22±1.49</w:t>
            </w:r>
            <w:r w:rsidRPr="00E66107">
              <w:rPr>
                <w:rFonts w:ascii="Times New Roman" w:hAnsi="Times New Roman" w:cs="Times New Roman"/>
                <w:sz w:val="24"/>
                <w:szCs w:val="24"/>
                <w:vertAlign w:val="superscript"/>
              </w:rPr>
              <w:t xml:space="preserve"> b</w:t>
            </w:r>
          </w:p>
        </w:tc>
      </w:tr>
      <w:tr w:rsidR="003E39D4" w:rsidRPr="00E66107" w14:paraId="3EB81CA0" w14:textId="77777777" w:rsidTr="000F5CF4">
        <w:tc>
          <w:tcPr>
            <w:tcW w:w="2358" w:type="dxa"/>
          </w:tcPr>
          <w:p w14:paraId="4F21DA98" w14:textId="77777777" w:rsidR="003E39D4" w:rsidRPr="00E66107" w:rsidRDefault="003E39D4" w:rsidP="000F5CF4">
            <w:pPr>
              <w:spacing w:after="0" w:line="360" w:lineRule="auto"/>
              <w:jc w:val="both"/>
              <w:rPr>
                <w:rFonts w:ascii="Times New Roman" w:hAnsi="Times New Roman" w:cs="Times New Roman"/>
                <w:b/>
                <w:sz w:val="24"/>
                <w:szCs w:val="24"/>
                <w:vertAlign w:val="subscript"/>
              </w:rPr>
            </w:pPr>
            <w:r w:rsidRPr="00E66107">
              <w:rPr>
                <w:rFonts w:ascii="Times New Roman" w:hAnsi="Times New Roman" w:cs="Times New Roman"/>
                <w:sz w:val="24"/>
                <w:szCs w:val="24"/>
              </w:rPr>
              <w:t>C: CCl</w:t>
            </w:r>
            <w:r w:rsidRPr="00E66107">
              <w:rPr>
                <w:rFonts w:ascii="Times New Roman" w:hAnsi="Times New Roman" w:cs="Times New Roman"/>
                <w:sz w:val="24"/>
                <w:szCs w:val="24"/>
                <w:vertAlign w:val="subscript"/>
              </w:rPr>
              <w:t xml:space="preserve">4 </w:t>
            </w:r>
            <w:r w:rsidRPr="00E66107">
              <w:rPr>
                <w:rFonts w:ascii="Times New Roman" w:hAnsi="Times New Roman" w:cs="Times New Roman"/>
                <w:sz w:val="24"/>
                <w:szCs w:val="24"/>
              </w:rPr>
              <w:t>(3 ml/kg) + Silymarin (70 mg/kg)</w:t>
            </w:r>
          </w:p>
        </w:tc>
        <w:tc>
          <w:tcPr>
            <w:tcW w:w="1530" w:type="dxa"/>
          </w:tcPr>
          <w:p w14:paraId="60CBD6A7" w14:textId="77777777" w:rsidR="003E39D4" w:rsidRPr="00E66107" w:rsidRDefault="003E39D4" w:rsidP="000F5CF4">
            <w:pPr>
              <w:spacing w:after="0" w:line="360" w:lineRule="auto"/>
              <w:jc w:val="both"/>
              <w:rPr>
                <w:rFonts w:ascii="Times New Roman" w:hAnsi="Times New Roman" w:cs="Times New Roman"/>
                <w:sz w:val="24"/>
                <w:szCs w:val="24"/>
              </w:rPr>
            </w:pPr>
            <w:r w:rsidRPr="00E66107">
              <w:rPr>
                <w:rFonts w:ascii="Times New Roman" w:hAnsi="Times New Roman" w:cs="Times New Roman"/>
                <w:sz w:val="24"/>
                <w:szCs w:val="24"/>
              </w:rPr>
              <w:t>31.26±0.70</w:t>
            </w:r>
            <w:r w:rsidRPr="00E66107">
              <w:rPr>
                <w:rFonts w:ascii="Times New Roman" w:hAnsi="Times New Roman" w:cs="Times New Roman"/>
                <w:sz w:val="24"/>
                <w:szCs w:val="24"/>
                <w:vertAlign w:val="superscript"/>
              </w:rPr>
              <w:t xml:space="preserve"> a</w:t>
            </w:r>
          </w:p>
        </w:tc>
        <w:tc>
          <w:tcPr>
            <w:tcW w:w="1440" w:type="dxa"/>
          </w:tcPr>
          <w:p w14:paraId="06F6B1EB" w14:textId="77777777" w:rsidR="003E39D4" w:rsidRPr="00E66107" w:rsidRDefault="003E39D4" w:rsidP="000F5CF4">
            <w:pPr>
              <w:spacing w:after="0" w:line="360" w:lineRule="auto"/>
              <w:jc w:val="both"/>
              <w:rPr>
                <w:rFonts w:ascii="Times New Roman" w:hAnsi="Times New Roman" w:cs="Times New Roman"/>
                <w:sz w:val="24"/>
                <w:szCs w:val="24"/>
              </w:rPr>
            </w:pPr>
            <w:r w:rsidRPr="00E66107">
              <w:rPr>
                <w:rFonts w:ascii="Times New Roman" w:hAnsi="Times New Roman" w:cs="Times New Roman"/>
                <w:sz w:val="24"/>
                <w:szCs w:val="24"/>
              </w:rPr>
              <w:t>51.51±0.10</w:t>
            </w:r>
            <w:r w:rsidRPr="00E66107">
              <w:rPr>
                <w:rFonts w:ascii="Times New Roman" w:hAnsi="Times New Roman" w:cs="Times New Roman"/>
                <w:sz w:val="24"/>
                <w:szCs w:val="24"/>
                <w:vertAlign w:val="superscript"/>
              </w:rPr>
              <w:t xml:space="preserve"> c</w:t>
            </w:r>
          </w:p>
        </w:tc>
        <w:tc>
          <w:tcPr>
            <w:tcW w:w="1440" w:type="dxa"/>
          </w:tcPr>
          <w:p w14:paraId="41143167" w14:textId="77777777" w:rsidR="003E39D4" w:rsidRPr="00E66107" w:rsidRDefault="003E39D4" w:rsidP="000F5CF4">
            <w:pPr>
              <w:spacing w:after="0" w:line="360" w:lineRule="auto"/>
              <w:jc w:val="both"/>
              <w:rPr>
                <w:rFonts w:ascii="Times New Roman" w:hAnsi="Times New Roman" w:cs="Times New Roman"/>
                <w:sz w:val="24"/>
                <w:szCs w:val="24"/>
              </w:rPr>
            </w:pPr>
            <w:r w:rsidRPr="00E66107">
              <w:rPr>
                <w:rFonts w:ascii="Times New Roman" w:hAnsi="Times New Roman" w:cs="Times New Roman"/>
                <w:sz w:val="24"/>
                <w:szCs w:val="24"/>
              </w:rPr>
              <w:t>50.44±1.16</w:t>
            </w:r>
            <w:r w:rsidRPr="00E66107">
              <w:rPr>
                <w:rFonts w:ascii="Times New Roman" w:hAnsi="Times New Roman" w:cs="Times New Roman"/>
                <w:sz w:val="24"/>
                <w:szCs w:val="24"/>
                <w:vertAlign w:val="superscript"/>
              </w:rPr>
              <w:t xml:space="preserve"> c</w:t>
            </w:r>
          </w:p>
        </w:tc>
      </w:tr>
      <w:tr w:rsidR="003E39D4" w:rsidRPr="00E66107" w14:paraId="0AF41F07" w14:textId="77777777" w:rsidTr="000F5CF4">
        <w:tc>
          <w:tcPr>
            <w:tcW w:w="2358" w:type="dxa"/>
          </w:tcPr>
          <w:p w14:paraId="382F08A8" w14:textId="77777777" w:rsidR="003E39D4" w:rsidRPr="00E66107" w:rsidRDefault="003E39D4" w:rsidP="000F5CF4">
            <w:pPr>
              <w:spacing w:after="0" w:line="360" w:lineRule="auto"/>
              <w:jc w:val="both"/>
              <w:rPr>
                <w:rFonts w:ascii="Times New Roman" w:hAnsi="Times New Roman" w:cs="Times New Roman"/>
                <w:b/>
                <w:sz w:val="24"/>
                <w:szCs w:val="24"/>
              </w:rPr>
            </w:pPr>
            <w:r w:rsidRPr="00E66107">
              <w:rPr>
                <w:rFonts w:ascii="Times New Roman" w:hAnsi="Times New Roman" w:cs="Times New Roman"/>
                <w:sz w:val="24"/>
                <w:szCs w:val="24"/>
              </w:rPr>
              <w:t>D: CCl</w:t>
            </w:r>
            <w:r w:rsidRPr="00E66107">
              <w:rPr>
                <w:rFonts w:ascii="Times New Roman" w:hAnsi="Times New Roman" w:cs="Times New Roman"/>
                <w:sz w:val="24"/>
                <w:szCs w:val="24"/>
                <w:vertAlign w:val="subscript"/>
              </w:rPr>
              <w:t xml:space="preserve">4  </w:t>
            </w:r>
            <w:r w:rsidRPr="00E66107">
              <w:rPr>
                <w:rFonts w:ascii="Times New Roman" w:hAnsi="Times New Roman" w:cs="Times New Roman"/>
                <w:sz w:val="24"/>
                <w:szCs w:val="24"/>
              </w:rPr>
              <w:t xml:space="preserve">(3 ml/kg) + </w:t>
            </w:r>
            <w:r w:rsidRPr="00E66107">
              <w:rPr>
                <w:rFonts w:ascii="Times New Roman" w:hAnsi="Times New Roman" w:cs="Times New Roman"/>
                <w:sz w:val="24"/>
                <w:szCs w:val="24"/>
              </w:rPr>
              <w:lastRenderedPageBreak/>
              <w:t>AEAL (115 mg/kg)</w:t>
            </w:r>
          </w:p>
        </w:tc>
        <w:tc>
          <w:tcPr>
            <w:tcW w:w="1530" w:type="dxa"/>
          </w:tcPr>
          <w:p w14:paraId="7F6BE966" w14:textId="77777777" w:rsidR="003E39D4" w:rsidRPr="00E66107" w:rsidRDefault="003E39D4" w:rsidP="000F5CF4">
            <w:pPr>
              <w:spacing w:after="0" w:line="360" w:lineRule="auto"/>
              <w:jc w:val="both"/>
              <w:rPr>
                <w:rFonts w:ascii="Times New Roman" w:hAnsi="Times New Roman" w:cs="Times New Roman"/>
                <w:sz w:val="24"/>
                <w:szCs w:val="24"/>
              </w:rPr>
            </w:pPr>
            <w:r w:rsidRPr="00E66107">
              <w:rPr>
                <w:rFonts w:ascii="Times New Roman" w:hAnsi="Times New Roman" w:cs="Times New Roman"/>
                <w:sz w:val="24"/>
                <w:szCs w:val="24"/>
              </w:rPr>
              <w:lastRenderedPageBreak/>
              <w:t>32.23±1.62</w:t>
            </w:r>
            <w:r w:rsidRPr="00E66107">
              <w:rPr>
                <w:rFonts w:ascii="Times New Roman" w:hAnsi="Times New Roman" w:cs="Times New Roman"/>
                <w:sz w:val="24"/>
                <w:szCs w:val="24"/>
                <w:vertAlign w:val="superscript"/>
              </w:rPr>
              <w:t xml:space="preserve"> a</w:t>
            </w:r>
          </w:p>
        </w:tc>
        <w:tc>
          <w:tcPr>
            <w:tcW w:w="1440" w:type="dxa"/>
          </w:tcPr>
          <w:p w14:paraId="69E5DC1F" w14:textId="77777777" w:rsidR="003E39D4" w:rsidRPr="00E66107" w:rsidRDefault="003E39D4" w:rsidP="000F5CF4">
            <w:pPr>
              <w:spacing w:after="0" w:line="360" w:lineRule="auto"/>
              <w:jc w:val="both"/>
              <w:rPr>
                <w:rFonts w:ascii="Times New Roman" w:hAnsi="Times New Roman" w:cs="Times New Roman"/>
                <w:sz w:val="24"/>
                <w:szCs w:val="24"/>
              </w:rPr>
            </w:pPr>
            <w:r w:rsidRPr="00E66107">
              <w:rPr>
                <w:rFonts w:ascii="Times New Roman" w:hAnsi="Times New Roman" w:cs="Times New Roman"/>
                <w:sz w:val="24"/>
                <w:szCs w:val="24"/>
              </w:rPr>
              <w:t>44.63±1.53</w:t>
            </w:r>
            <w:r w:rsidRPr="00E66107">
              <w:rPr>
                <w:rFonts w:ascii="Times New Roman" w:hAnsi="Times New Roman" w:cs="Times New Roman"/>
                <w:sz w:val="24"/>
                <w:szCs w:val="24"/>
                <w:vertAlign w:val="superscript"/>
              </w:rPr>
              <w:t xml:space="preserve"> a</w:t>
            </w:r>
          </w:p>
        </w:tc>
        <w:tc>
          <w:tcPr>
            <w:tcW w:w="1440" w:type="dxa"/>
          </w:tcPr>
          <w:p w14:paraId="323A8B05" w14:textId="77777777" w:rsidR="003E39D4" w:rsidRPr="00E66107" w:rsidRDefault="003E39D4" w:rsidP="000F5CF4">
            <w:pPr>
              <w:spacing w:after="0" w:line="360" w:lineRule="auto"/>
              <w:jc w:val="both"/>
              <w:rPr>
                <w:rFonts w:ascii="Times New Roman" w:hAnsi="Times New Roman" w:cs="Times New Roman"/>
                <w:sz w:val="24"/>
                <w:szCs w:val="24"/>
              </w:rPr>
            </w:pPr>
            <w:r w:rsidRPr="00E66107">
              <w:rPr>
                <w:rFonts w:ascii="Times New Roman" w:hAnsi="Times New Roman" w:cs="Times New Roman"/>
                <w:sz w:val="24"/>
                <w:szCs w:val="24"/>
              </w:rPr>
              <w:t>49.18±1.13</w:t>
            </w:r>
            <w:r w:rsidRPr="00E66107">
              <w:rPr>
                <w:rFonts w:ascii="Times New Roman" w:hAnsi="Times New Roman" w:cs="Times New Roman"/>
                <w:sz w:val="24"/>
                <w:szCs w:val="24"/>
                <w:vertAlign w:val="superscript"/>
              </w:rPr>
              <w:t xml:space="preserve"> c</w:t>
            </w:r>
          </w:p>
        </w:tc>
      </w:tr>
      <w:tr w:rsidR="003E39D4" w:rsidRPr="00E66107" w14:paraId="37993F74" w14:textId="77777777" w:rsidTr="000F5CF4">
        <w:tc>
          <w:tcPr>
            <w:tcW w:w="2358" w:type="dxa"/>
            <w:tcBorders>
              <w:bottom w:val="single" w:sz="4" w:space="0" w:color="auto"/>
            </w:tcBorders>
          </w:tcPr>
          <w:p w14:paraId="52570BB6" w14:textId="77777777" w:rsidR="003E39D4" w:rsidRPr="00E66107" w:rsidRDefault="003E39D4" w:rsidP="000F5CF4">
            <w:pPr>
              <w:spacing w:after="0" w:line="360" w:lineRule="auto"/>
              <w:jc w:val="both"/>
              <w:rPr>
                <w:rFonts w:ascii="Times New Roman" w:hAnsi="Times New Roman" w:cs="Times New Roman"/>
                <w:b/>
                <w:sz w:val="24"/>
                <w:szCs w:val="24"/>
              </w:rPr>
            </w:pPr>
            <w:r w:rsidRPr="00E66107">
              <w:rPr>
                <w:rFonts w:ascii="Times New Roman" w:hAnsi="Times New Roman" w:cs="Times New Roman"/>
                <w:sz w:val="24"/>
                <w:szCs w:val="24"/>
              </w:rPr>
              <w:t>E: CCl</w:t>
            </w:r>
            <w:r w:rsidRPr="00E66107">
              <w:rPr>
                <w:rFonts w:ascii="Times New Roman" w:hAnsi="Times New Roman" w:cs="Times New Roman"/>
                <w:sz w:val="24"/>
                <w:szCs w:val="24"/>
                <w:vertAlign w:val="subscript"/>
              </w:rPr>
              <w:t xml:space="preserve">4  </w:t>
            </w:r>
            <w:r w:rsidRPr="00E66107">
              <w:rPr>
                <w:rFonts w:ascii="Times New Roman" w:hAnsi="Times New Roman" w:cs="Times New Roman"/>
                <w:sz w:val="24"/>
                <w:szCs w:val="24"/>
              </w:rPr>
              <w:t>(3 ml/kg) + ALEAL (230 mg/kg)</w:t>
            </w:r>
          </w:p>
        </w:tc>
        <w:tc>
          <w:tcPr>
            <w:tcW w:w="1530" w:type="dxa"/>
            <w:tcBorders>
              <w:bottom w:val="single" w:sz="4" w:space="0" w:color="auto"/>
            </w:tcBorders>
          </w:tcPr>
          <w:p w14:paraId="7069197C" w14:textId="77777777" w:rsidR="003E39D4" w:rsidRPr="00E66107" w:rsidRDefault="003E39D4" w:rsidP="000F5CF4">
            <w:pPr>
              <w:spacing w:after="0" w:line="360" w:lineRule="auto"/>
              <w:jc w:val="both"/>
              <w:rPr>
                <w:rFonts w:ascii="Times New Roman" w:hAnsi="Times New Roman" w:cs="Times New Roman"/>
                <w:sz w:val="24"/>
                <w:szCs w:val="24"/>
              </w:rPr>
            </w:pPr>
            <w:r w:rsidRPr="00E66107">
              <w:rPr>
                <w:rFonts w:ascii="Times New Roman" w:hAnsi="Times New Roman" w:cs="Times New Roman"/>
                <w:sz w:val="24"/>
                <w:szCs w:val="24"/>
              </w:rPr>
              <w:t>29.23±0.71</w:t>
            </w:r>
            <w:r w:rsidRPr="00E66107">
              <w:rPr>
                <w:rFonts w:ascii="Times New Roman" w:hAnsi="Times New Roman" w:cs="Times New Roman"/>
                <w:sz w:val="24"/>
                <w:szCs w:val="24"/>
                <w:vertAlign w:val="superscript"/>
              </w:rPr>
              <w:t xml:space="preserve"> a</w:t>
            </w:r>
          </w:p>
        </w:tc>
        <w:tc>
          <w:tcPr>
            <w:tcW w:w="1440" w:type="dxa"/>
            <w:tcBorders>
              <w:bottom w:val="single" w:sz="4" w:space="0" w:color="auto"/>
            </w:tcBorders>
          </w:tcPr>
          <w:p w14:paraId="0B03981F" w14:textId="77777777" w:rsidR="003E39D4" w:rsidRPr="00E66107" w:rsidRDefault="003E39D4" w:rsidP="000F5CF4">
            <w:pPr>
              <w:spacing w:after="0" w:line="360" w:lineRule="auto"/>
              <w:jc w:val="both"/>
              <w:rPr>
                <w:rFonts w:ascii="Times New Roman" w:hAnsi="Times New Roman" w:cs="Times New Roman"/>
                <w:sz w:val="24"/>
                <w:szCs w:val="24"/>
              </w:rPr>
            </w:pPr>
            <w:r w:rsidRPr="00E66107">
              <w:rPr>
                <w:rFonts w:ascii="Times New Roman" w:hAnsi="Times New Roman" w:cs="Times New Roman"/>
                <w:sz w:val="24"/>
                <w:szCs w:val="24"/>
              </w:rPr>
              <w:t>49.28±3.13</w:t>
            </w:r>
            <w:r w:rsidRPr="00E66107">
              <w:rPr>
                <w:rFonts w:ascii="Times New Roman" w:hAnsi="Times New Roman" w:cs="Times New Roman"/>
                <w:sz w:val="24"/>
                <w:szCs w:val="24"/>
                <w:vertAlign w:val="superscript"/>
              </w:rPr>
              <w:t xml:space="preserve"> c</w:t>
            </w:r>
          </w:p>
        </w:tc>
        <w:tc>
          <w:tcPr>
            <w:tcW w:w="1440" w:type="dxa"/>
            <w:tcBorders>
              <w:bottom w:val="single" w:sz="4" w:space="0" w:color="auto"/>
            </w:tcBorders>
          </w:tcPr>
          <w:p w14:paraId="23EF8A4C" w14:textId="77777777" w:rsidR="003E39D4" w:rsidRPr="00E66107" w:rsidRDefault="003E39D4" w:rsidP="000F5CF4">
            <w:pPr>
              <w:spacing w:after="0" w:line="360" w:lineRule="auto"/>
              <w:jc w:val="both"/>
              <w:rPr>
                <w:rFonts w:ascii="Times New Roman" w:hAnsi="Times New Roman" w:cs="Times New Roman"/>
                <w:sz w:val="24"/>
                <w:szCs w:val="24"/>
              </w:rPr>
            </w:pPr>
            <w:r w:rsidRPr="00E66107">
              <w:rPr>
                <w:rFonts w:ascii="Times New Roman" w:hAnsi="Times New Roman" w:cs="Times New Roman"/>
                <w:sz w:val="24"/>
                <w:szCs w:val="24"/>
              </w:rPr>
              <w:t>46.64±0.43</w:t>
            </w:r>
            <w:r w:rsidRPr="00E66107">
              <w:rPr>
                <w:rFonts w:ascii="Times New Roman" w:hAnsi="Times New Roman" w:cs="Times New Roman"/>
                <w:sz w:val="24"/>
                <w:szCs w:val="24"/>
                <w:vertAlign w:val="superscript"/>
              </w:rPr>
              <w:t xml:space="preserve"> a</w:t>
            </w:r>
          </w:p>
        </w:tc>
      </w:tr>
    </w:tbl>
    <w:p w14:paraId="0D2427AD" w14:textId="77777777" w:rsidR="003E39D4" w:rsidRPr="00E66107" w:rsidRDefault="003E39D4" w:rsidP="003E39D4">
      <w:pPr>
        <w:spacing w:after="0" w:line="360" w:lineRule="auto"/>
        <w:jc w:val="both"/>
        <w:rPr>
          <w:rFonts w:ascii="Times New Roman" w:hAnsi="Times New Roman" w:cs="Times New Roman"/>
          <w:sz w:val="24"/>
          <w:szCs w:val="24"/>
        </w:rPr>
      </w:pPr>
      <w:r w:rsidRPr="00E66107">
        <w:rPr>
          <w:rFonts w:ascii="Times New Roman" w:hAnsi="Times New Roman" w:cs="Times New Roman"/>
          <w:sz w:val="24"/>
          <w:szCs w:val="24"/>
        </w:rPr>
        <w:t xml:space="preserve">Values were expressed as mean ±SEM (n=5), Different alphabet superscripts indicate significant difference at </w:t>
      </w:r>
      <w:r w:rsidRPr="00E66107">
        <w:rPr>
          <w:rFonts w:ascii="Times New Roman" w:hAnsi="Times New Roman" w:cs="Times New Roman"/>
          <w:i/>
          <w:sz w:val="24"/>
          <w:szCs w:val="24"/>
        </w:rPr>
        <w:t>P</w:t>
      </w:r>
      <w:r w:rsidRPr="00E66107">
        <w:rPr>
          <w:rFonts w:ascii="Times New Roman" w:hAnsi="Times New Roman" w:cs="Times New Roman"/>
          <w:sz w:val="24"/>
          <w:szCs w:val="24"/>
        </w:rPr>
        <w:t>&lt;0.05, CCl</w:t>
      </w:r>
      <w:r w:rsidRPr="00E66107">
        <w:rPr>
          <w:rFonts w:ascii="Times New Roman" w:hAnsi="Times New Roman" w:cs="Times New Roman"/>
          <w:sz w:val="24"/>
          <w:szCs w:val="24"/>
          <w:vertAlign w:val="subscript"/>
        </w:rPr>
        <w:t xml:space="preserve">4 </w:t>
      </w:r>
      <w:r w:rsidRPr="00E66107">
        <w:rPr>
          <w:rFonts w:ascii="Times New Roman" w:hAnsi="Times New Roman" w:cs="Times New Roman"/>
          <w:sz w:val="24"/>
          <w:szCs w:val="24"/>
        </w:rPr>
        <w:t xml:space="preserve">(Carbon tetrachloride), AST (Aspartate aminotransferase, ALT- (Alanine aminotransferase), ALP (Alkaline phosphatase), ALEAL (Aqueous leaves extract of </w:t>
      </w:r>
      <w:r w:rsidRPr="00E66107">
        <w:rPr>
          <w:rFonts w:ascii="Times New Roman" w:hAnsi="Times New Roman" w:cs="Times New Roman"/>
          <w:i/>
          <w:sz w:val="24"/>
          <w:szCs w:val="24"/>
        </w:rPr>
        <w:t>Anogeissus leiocarpus</w:t>
      </w:r>
      <w:r w:rsidRPr="00E66107">
        <w:rPr>
          <w:rFonts w:ascii="Times New Roman" w:hAnsi="Times New Roman" w:cs="Times New Roman"/>
          <w:sz w:val="24"/>
          <w:szCs w:val="24"/>
        </w:rPr>
        <w:t>).</w:t>
      </w:r>
    </w:p>
    <w:p w14:paraId="3F12C5DB" w14:textId="77777777" w:rsidR="003E39D4" w:rsidRPr="00E66107" w:rsidRDefault="003E39D4" w:rsidP="003E39D4">
      <w:pPr>
        <w:jc w:val="both"/>
        <w:rPr>
          <w:rFonts w:ascii="Times New Roman" w:hAnsi="Times New Roman" w:cs="Times New Roman"/>
          <w:sz w:val="24"/>
          <w:szCs w:val="24"/>
        </w:rPr>
      </w:pPr>
    </w:p>
    <w:p w14:paraId="4E3D2A44" w14:textId="77777777" w:rsidR="003E39D4" w:rsidRPr="00E66107" w:rsidRDefault="003E39D4" w:rsidP="003E39D4">
      <w:pPr>
        <w:jc w:val="both"/>
        <w:rPr>
          <w:rFonts w:ascii="Times New Roman" w:hAnsi="Times New Roman" w:cs="Times New Roman"/>
          <w:b/>
          <w:sz w:val="24"/>
          <w:szCs w:val="24"/>
        </w:rPr>
      </w:pPr>
      <w:r w:rsidRPr="00E66107">
        <w:rPr>
          <w:rFonts w:ascii="Times New Roman" w:hAnsi="Times New Roman" w:cs="Times New Roman"/>
          <w:b/>
          <w:sz w:val="24"/>
          <w:szCs w:val="24"/>
        </w:rPr>
        <w:t xml:space="preserve">Effects of aqueous leaf extract of </w:t>
      </w:r>
      <w:r w:rsidRPr="00E66107">
        <w:rPr>
          <w:rFonts w:ascii="Times New Roman" w:hAnsi="Times New Roman" w:cs="Times New Roman"/>
          <w:b/>
          <w:i/>
          <w:sz w:val="24"/>
          <w:szCs w:val="24"/>
        </w:rPr>
        <w:t xml:space="preserve">Anogeissus leiocarpus </w:t>
      </w:r>
      <w:r w:rsidRPr="00E66107">
        <w:rPr>
          <w:rFonts w:ascii="Times New Roman" w:hAnsi="Times New Roman" w:cs="Times New Roman"/>
          <w:b/>
          <w:sz w:val="24"/>
          <w:szCs w:val="24"/>
        </w:rPr>
        <w:t>(ALEAL) on the level of Proinflammatory on Carbon tetrachloride liver damage in male Wistar rats.</w:t>
      </w:r>
    </w:p>
    <w:p w14:paraId="1B8B4607" w14:textId="0B0C1C85" w:rsidR="003E39D4" w:rsidRDefault="003E39D4" w:rsidP="003E39D4">
      <w:pPr>
        <w:spacing w:after="0" w:line="360" w:lineRule="auto"/>
        <w:jc w:val="both"/>
        <w:rPr>
          <w:rFonts w:ascii="Times New Roman" w:hAnsi="Times New Roman" w:cs="Times New Roman"/>
          <w:sz w:val="24"/>
          <w:szCs w:val="24"/>
        </w:rPr>
      </w:pPr>
      <w:r w:rsidRPr="00E66107">
        <w:rPr>
          <w:rFonts w:ascii="Times New Roman" w:hAnsi="Times New Roman" w:cs="Times New Roman"/>
          <w:sz w:val="24"/>
          <w:szCs w:val="24"/>
        </w:rPr>
        <w:t xml:space="preserve">As shown in </w:t>
      </w:r>
      <w:r w:rsidR="00484A1D" w:rsidRPr="000A4404">
        <w:rPr>
          <w:rFonts w:ascii="Times New Roman" w:hAnsi="Times New Roman" w:cs="Times New Roman"/>
          <w:sz w:val="24"/>
          <w:szCs w:val="24"/>
          <w:highlight w:val="yellow"/>
        </w:rPr>
        <w:t xml:space="preserve">Figure </w:t>
      </w:r>
      <w:r w:rsidRPr="000A4404">
        <w:rPr>
          <w:rFonts w:ascii="Times New Roman" w:hAnsi="Times New Roman" w:cs="Times New Roman"/>
          <w:sz w:val="24"/>
          <w:szCs w:val="24"/>
          <w:highlight w:val="yellow"/>
        </w:rPr>
        <w:t xml:space="preserve">1 </w:t>
      </w:r>
      <w:r w:rsidR="00484A1D" w:rsidRPr="000A4404">
        <w:rPr>
          <w:rFonts w:ascii="Times New Roman" w:hAnsi="Times New Roman" w:cs="Times New Roman"/>
          <w:sz w:val="24"/>
          <w:szCs w:val="24"/>
          <w:highlight w:val="yellow"/>
        </w:rPr>
        <w:t xml:space="preserve">the </w:t>
      </w:r>
      <w:r w:rsidRPr="000A4404">
        <w:rPr>
          <w:rFonts w:ascii="Times New Roman" w:hAnsi="Times New Roman" w:cs="Times New Roman"/>
          <w:sz w:val="24"/>
          <w:szCs w:val="24"/>
          <w:highlight w:val="yellow"/>
        </w:rPr>
        <w:t>administration</w:t>
      </w:r>
      <w:r w:rsidRPr="00E66107">
        <w:rPr>
          <w:rFonts w:ascii="Times New Roman" w:hAnsi="Times New Roman" w:cs="Times New Roman"/>
          <w:sz w:val="24"/>
          <w:szCs w:val="24"/>
        </w:rPr>
        <w:t xml:space="preserve"> of Carbon tetrachloride significantly (</w:t>
      </w:r>
      <w:r w:rsidRPr="00E66107">
        <w:rPr>
          <w:rFonts w:ascii="Times New Roman" w:hAnsi="Times New Roman" w:cs="Times New Roman"/>
          <w:i/>
          <w:sz w:val="24"/>
          <w:szCs w:val="24"/>
        </w:rPr>
        <w:t>P</w:t>
      </w:r>
      <w:r w:rsidRPr="00E66107">
        <w:rPr>
          <w:rFonts w:ascii="Times New Roman" w:hAnsi="Times New Roman" w:cs="Times New Roman"/>
          <w:sz w:val="24"/>
          <w:szCs w:val="24"/>
        </w:rPr>
        <w:t xml:space="preserve">&lt;0.05) elevated interleukin-6 level in rats given only Carbon tetrachloride when compared to the normal control group. However, the groups pretreated with aqueous leaf extract of </w:t>
      </w:r>
      <w:r w:rsidRPr="00E66107">
        <w:rPr>
          <w:rFonts w:ascii="Times New Roman" w:hAnsi="Times New Roman" w:cs="Times New Roman"/>
          <w:i/>
          <w:sz w:val="24"/>
          <w:szCs w:val="24"/>
        </w:rPr>
        <w:t xml:space="preserve">Anogeissus leiocarpus </w:t>
      </w:r>
      <w:r w:rsidRPr="00E66107">
        <w:rPr>
          <w:rFonts w:ascii="Times New Roman" w:hAnsi="Times New Roman" w:cs="Times New Roman"/>
          <w:sz w:val="24"/>
          <w:szCs w:val="24"/>
        </w:rPr>
        <w:t>(ALEAL) (115 mg/kg and 230 mg/kg body weight) before CCl</w:t>
      </w:r>
      <w:r w:rsidRPr="00E66107">
        <w:rPr>
          <w:rFonts w:ascii="Times New Roman" w:hAnsi="Times New Roman" w:cs="Times New Roman"/>
          <w:sz w:val="24"/>
          <w:szCs w:val="24"/>
          <w:vertAlign w:val="subscript"/>
        </w:rPr>
        <w:t>4</w:t>
      </w:r>
      <w:r w:rsidRPr="00E66107">
        <w:rPr>
          <w:rFonts w:ascii="Times New Roman" w:hAnsi="Times New Roman" w:cs="Times New Roman"/>
          <w:sz w:val="24"/>
          <w:szCs w:val="24"/>
        </w:rPr>
        <w:t xml:space="preserve"> administration had significantly</w:t>
      </w:r>
    </w:p>
    <w:p w14:paraId="490A2D6B" w14:textId="63235250" w:rsidR="003E39D4" w:rsidRPr="003E39D4" w:rsidRDefault="003E39D4" w:rsidP="003E39D4">
      <w:pPr>
        <w:spacing w:after="0" w:line="360" w:lineRule="auto"/>
        <w:jc w:val="both"/>
        <w:rPr>
          <w:rFonts w:ascii="Times New Roman" w:hAnsi="Times New Roman" w:cs="Times New Roman"/>
          <w:sz w:val="24"/>
          <w:szCs w:val="24"/>
          <w:vertAlign w:val="subscript"/>
        </w:rPr>
      </w:pPr>
      <w:bookmarkStart w:id="0" w:name="OLE_LINK3"/>
      <w:r w:rsidRPr="00E66107">
        <w:rPr>
          <w:rFonts w:ascii="Times New Roman" w:hAnsi="Times New Roman" w:cs="Times New Roman"/>
          <w:sz w:val="24"/>
          <w:szCs w:val="24"/>
        </w:rPr>
        <w:t>(</w:t>
      </w:r>
      <w:r w:rsidRPr="00E66107">
        <w:rPr>
          <w:rFonts w:ascii="Times New Roman" w:hAnsi="Times New Roman" w:cs="Times New Roman"/>
          <w:i/>
          <w:sz w:val="24"/>
          <w:szCs w:val="24"/>
        </w:rPr>
        <w:t>P</w:t>
      </w:r>
      <w:r w:rsidRPr="00E66107">
        <w:rPr>
          <w:rFonts w:ascii="Times New Roman" w:hAnsi="Times New Roman" w:cs="Times New Roman"/>
          <w:sz w:val="24"/>
          <w:szCs w:val="24"/>
        </w:rPr>
        <w:t>&lt;0.05) decrease these pro-inflammatory markers when compared to the group administrated only CCl</w:t>
      </w:r>
      <w:r w:rsidRPr="00E66107">
        <w:rPr>
          <w:rFonts w:ascii="Times New Roman" w:hAnsi="Times New Roman" w:cs="Times New Roman"/>
          <w:sz w:val="24"/>
          <w:szCs w:val="24"/>
          <w:vertAlign w:val="subscript"/>
        </w:rPr>
        <w:t xml:space="preserve">4. </w:t>
      </w:r>
      <w:r w:rsidRPr="00E66107">
        <w:rPr>
          <w:rFonts w:ascii="Times New Roman" w:hAnsi="Times New Roman" w:cs="Times New Roman"/>
          <w:sz w:val="24"/>
          <w:szCs w:val="24"/>
        </w:rPr>
        <w:t>Administration of Carbon tetrachloride significantly (</w:t>
      </w:r>
      <w:r w:rsidRPr="00E66107">
        <w:rPr>
          <w:rFonts w:ascii="Times New Roman" w:hAnsi="Times New Roman" w:cs="Times New Roman"/>
          <w:i/>
          <w:sz w:val="24"/>
          <w:szCs w:val="24"/>
        </w:rPr>
        <w:t>P</w:t>
      </w:r>
      <w:r w:rsidRPr="00E66107">
        <w:rPr>
          <w:rFonts w:ascii="Times New Roman" w:hAnsi="Times New Roman" w:cs="Times New Roman"/>
          <w:sz w:val="24"/>
          <w:szCs w:val="24"/>
        </w:rPr>
        <w:t xml:space="preserve">&lt;0.05) elevated Tumor Necrosis Factor- Alpha in rats when compared to the normal control group. However, the groups pretreated with aqueous leaf extract of </w:t>
      </w:r>
      <w:r w:rsidRPr="00E66107">
        <w:rPr>
          <w:rFonts w:ascii="Times New Roman" w:hAnsi="Times New Roman" w:cs="Times New Roman"/>
          <w:i/>
          <w:sz w:val="24"/>
          <w:szCs w:val="24"/>
        </w:rPr>
        <w:t xml:space="preserve">Anogeissus leiocarpus </w:t>
      </w:r>
      <w:r w:rsidRPr="00E66107">
        <w:rPr>
          <w:rFonts w:ascii="Times New Roman" w:hAnsi="Times New Roman" w:cs="Times New Roman"/>
          <w:sz w:val="24"/>
          <w:szCs w:val="24"/>
        </w:rPr>
        <w:t>(115 mg/kg and 230 mg/kg body weight) before CCl</w:t>
      </w:r>
      <w:r w:rsidRPr="00E66107">
        <w:rPr>
          <w:rFonts w:ascii="Times New Roman" w:hAnsi="Times New Roman" w:cs="Times New Roman"/>
          <w:sz w:val="24"/>
          <w:szCs w:val="24"/>
          <w:vertAlign w:val="subscript"/>
        </w:rPr>
        <w:t>4</w:t>
      </w:r>
      <w:r w:rsidRPr="00E66107">
        <w:rPr>
          <w:rFonts w:ascii="Times New Roman" w:hAnsi="Times New Roman" w:cs="Times New Roman"/>
          <w:sz w:val="24"/>
          <w:szCs w:val="24"/>
        </w:rPr>
        <w:t xml:space="preserve"> administration had </w:t>
      </w:r>
      <w:r w:rsidRPr="000A4404">
        <w:rPr>
          <w:rFonts w:ascii="Times New Roman" w:hAnsi="Times New Roman" w:cs="Times New Roman"/>
          <w:sz w:val="24"/>
          <w:szCs w:val="24"/>
          <w:highlight w:val="yellow"/>
        </w:rPr>
        <w:t>lower level</w:t>
      </w:r>
      <w:r w:rsidR="00484A1D" w:rsidRPr="000A4404">
        <w:rPr>
          <w:rFonts w:ascii="Times New Roman" w:hAnsi="Times New Roman" w:cs="Times New Roman"/>
          <w:sz w:val="24"/>
          <w:szCs w:val="24"/>
          <w:highlight w:val="yellow"/>
        </w:rPr>
        <w:t>s</w:t>
      </w:r>
      <w:r w:rsidRPr="000A4404">
        <w:rPr>
          <w:rFonts w:ascii="Times New Roman" w:hAnsi="Times New Roman" w:cs="Times New Roman"/>
          <w:sz w:val="24"/>
          <w:szCs w:val="24"/>
          <w:highlight w:val="yellow"/>
        </w:rPr>
        <w:t xml:space="preserve"> of TNF-α when compared to </w:t>
      </w:r>
      <w:r w:rsidR="00484A1D" w:rsidRPr="000A4404">
        <w:rPr>
          <w:rFonts w:ascii="Times New Roman" w:hAnsi="Times New Roman" w:cs="Times New Roman"/>
          <w:sz w:val="24"/>
          <w:szCs w:val="24"/>
          <w:highlight w:val="yellow"/>
        </w:rPr>
        <w:t xml:space="preserve">the </w:t>
      </w:r>
      <w:r w:rsidRPr="000A4404">
        <w:rPr>
          <w:rFonts w:ascii="Times New Roman" w:hAnsi="Times New Roman" w:cs="Times New Roman"/>
          <w:sz w:val="24"/>
          <w:szCs w:val="24"/>
          <w:highlight w:val="yellow"/>
        </w:rPr>
        <w:t>untreated</w:t>
      </w:r>
      <w:r w:rsidRPr="00E66107">
        <w:rPr>
          <w:rFonts w:ascii="Times New Roman" w:hAnsi="Times New Roman" w:cs="Times New Roman"/>
          <w:sz w:val="24"/>
          <w:szCs w:val="24"/>
        </w:rPr>
        <w:t xml:space="preserve"> group (Fig. 2).</w:t>
      </w:r>
      <w:bookmarkEnd w:id="0"/>
    </w:p>
    <w:p w14:paraId="267D4886" w14:textId="77777777" w:rsidR="003E39D4" w:rsidRPr="00E66107" w:rsidRDefault="003E39D4" w:rsidP="003E39D4">
      <w:pPr>
        <w:spacing w:after="0" w:line="360" w:lineRule="auto"/>
        <w:jc w:val="both"/>
        <w:rPr>
          <w:rFonts w:ascii="Times New Roman" w:hAnsi="Times New Roman" w:cs="Times New Roman"/>
          <w:sz w:val="24"/>
          <w:szCs w:val="24"/>
        </w:rPr>
      </w:pPr>
    </w:p>
    <w:p w14:paraId="2F5410AD" w14:textId="77777777" w:rsidR="003E39D4" w:rsidRPr="00E66107" w:rsidRDefault="00DA185A" w:rsidP="003E39D4">
      <w:pPr>
        <w:spacing w:after="0" w:line="360" w:lineRule="auto"/>
        <w:jc w:val="both"/>
        <w:rPr>
          <w:rFonts w:ascii="Times New Roman" w:hAnsi="Times New Roman" w:cs="Times New Roman"/>
          <w:b/>
          <w:sz w:val="24"/>
          <w:szCs w:val="24"/>
        </w:rPr>
      </w:pPr>
      <w:r w:rsidRPr="00E66107">
        <w:rPr>
          <w:rFonts w:ascii="Times New Roman" w:hAnsi="Times New Roman" w:cs="Times New Roman"/>
          <w:noProof/>
          <w:sz w:val="24"/>
          <w:szCs w:val="24"/>
        </w:rPr>
        <w:object w:dxaOrig="10829" w:dyaOrig="4253" w14:anchorId="5120D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7pt;height:205.1pt" o:ole="">
            <v:imagedata r:id="rId7" o:title=""/>
          </v:shape>
          <o:OLEObject Type="Embed" ProgID="Prism5.Document" ShapeID="_x0000_i1025" DrawAspect="Content" ObjectID="_1803902911" r:id="rId8"/>
        </w:object>
      </w:r>
      <w:r w:rsidR="003E39D4" w:rsidRPr="00E66107">
        <w:rPr>
          <w:rFonts w:ascii="Times New Roman" w:hAnsi="Times New Roman" w:cs="Times New Roman"/>
          <w:b/>
          <w:sz w:val="24"/>
          <w:szCs w:val="24"/>
        </w:rPr>
        <w:t xml:space="preserve"> </w:t>
      </w:r>
    </w:p>
    <w:p w14:paraId="47108813" w14:textId="77777777" w:rsidR="003E39D4" w:rsidRPr="00E66107" w:rsidRDefault="003E39D4" w:rsidP="003E39D4">
      <w:pPr>
        <w:spacing w:after="0" w:line="360" w:lineRule="auto"/>
        <w:jc w:val="both"/>
        <w:rPr>
          <w:rFonts w:ascii="Times New Roman" w:hAnsi="Times New Roman" w:cs="Times New Roman"/>
          <w:b/>
          <w:sz w:val="24"/>
          <w:szCs w:val="24"/>
          <w:vertAlign w:val="subscript"/>
        </w:rPr>
      </w:pPr>
      <w:r w:rsidRPr="00E66107">
        <w:rPr>
          <w:rFonts w:ascii="Times New Roman" w:hAnsi="Times New Roman" w:cs="Times New Roman"/>
          <w:b/>
          <w:sz w:val="24"/>
          <w:szCs w:val="24"/>
        </w:rPr>
        <w:lastRenderedPageBreak/>
        <w:t xml:space="preserve">Figure 1: </w:t>
      </w:r>
      <w:bookmarkStart w:id="1" w:name="OLE_LINK2"/>
      <w:r w:rsidRPr="00E66107">
        <w:rPr>
          <w:rFonts w:ascii="Times New Roman" w:hAnsi="Times New Roman" w:cs="Times New Roman"/>
          <w:b/>
          <w:sz w:val="24"/>
          <w:szCs w:val="24"/>
        </w:rPr>
        <w:t xml:space="preserve">Effects of aqueous leaf extract of </w:t>
      </w:r>
      <w:r w:rsidRPr="00E66107">
        <w:rPr>
          <w:rFonts w:ascii="Times New Roman" w:hAnsi="Times New Roman" w:cs="Times New Roman"/>
          <w:b/>
          <w:i/>
          <w:sz w:val="24"/>
          <w:szCs w:val="24"/>
        </w:rPr>
        <w:t xml:space="preserve">Anogeissus leiocarpus </w:t>
      </w:r>
      <w:r w:rsidRPr="00E66107">
        <w:rPr>
          <w:rFonts w:ascii="Times New Roman" w:hAnsi="Times New Roman" w:cs="Times New Roman"/>
          <w:b/>
          <w:sz w:val="24"/>
          <w:szCs w:val="24"/>
        </w:rPr>
        <w:t>(ALEAL) and Carbon tetrachloride administration on inflammatory marker (Interleukin-6) in rats.</w:t>
      </w:r>
    </w:p>
    <w:bookmarkEnd w:id="1"/>
    <w:p w14:paraId="604128D4" w14:textId="77777777" w:rsidR="003E39D4" w:rsidRPr="00E66107" w:rsidRDefault="00DA185A" w:rsidP="003E39D4">
      <w:pPr>
        <w:spacing w:after="0" w:line="360" w:lineRule="auto"/>
        <w:jc w:val="both"/>
        <w:rPr>
          <w:rFonts w:ascii="Times New Roman" w:hAnsi="Times New Roman" w:cs="Times New Roman"/>
          <w:sz w:val="24"/>
          <w:szCs w:val="24"/>
        </w:rPr>
      </w:pPr>
      <w:r w:rsidRPr="00E66107">
        <w:rPr>
          <w:rFonts w:ascii="Times New Roman" w:hAnsi="Times New Roman" w:cs="Times New Roman"/>
          <w:noProof/>
          <w:sz w:val="24"/>
          <w:szCs w:val="24"/>
        </w:rPr>
        <w:object w:dxaOrig="11056" w:dyaOrig="5443" w14:anchorId="741A78F3">
          <v:shape id="_x0000_i1026" type="#_x0000_t75" style="width:473pt;height:234.4pt" o:ole="">
            <v:imagedata r:id="rId9" o:title="" croptop="18639f" cropleft="-772f"/>
          </v:shape>
          <o:OLEObject Type="Embed" ProgID="Prism5.Document" ShapeID="_x0000_i1026" DrawAspect="Content" ObjectID="_1803902912" r:id="rId10"/>
        </w:object>
      </w:r>
    </w:p>
    <w:p w14:paraId="3EC82462" w14:textId="77777777" w:rsidR="003E39D4" w:rsidRPr="00E66107" w:rsidRDefault="003E39D4" w:rsidP="003E39D4">
      <w:pPr>
        <w:spacing w:after="0" w:line="360" w:lineRule="auto"/>
        <w:jc w:val="both"/>
        <w:rPr>
          <w:rFonts w:ascii="Times New Roman" w:hAnsi="Times New Roman" w:cs="Times New Roman"/>
          <w:b/>
          <w:sz w:val="24"/>
          <w:szCs w:val="24"/>
        </w:rPr>
      </w:pPr>
      <w:r w:rsidRPr="00E66107">
        <w:rPr>
          <w:rFonts w:ascii="Times New Roman" w:hAnsi="Times New Roman" w:cs="Times New Roman"/>
          <w:b/>
          <w:sz w:val="24"/>
          <w:szCs w:val="24"/>
        </w:rPr>
        <w:t xml:space="preserve">Figure 2: Effects of aqueous leaf extract of </w:t>
      </w:r>
      <w:r w:rsidRPr="00E66107">
        <w:rPr>
          <w:rFonts w:ascii="Times New Roman" w:hAnsi="Times New Roman" w:cs="Times New Roman"/>
          <w:b/>
          <w:i/>
          <w:sz w:val="24"/>
          <w:szCs w:val="24"/>
        </w:rPr>
        <w:t xml:space="preserve">Anogeissus leiocarpus </w:t>
      </w:r>
      <w:r w:rsidRPr="00E66107">
        <w:rPr>
          <w:rFonts w:ascii="Times New Roman" w:hAnsi="Times New Roman" w:cs="Times New Roman"/>
          <w:b/>
          <w:sz w:val="24"/>
          <w:szCs w:val="24"/>
        </w:rPr>
        <w:t>(ALEAL) and Carbon tetrachloride administration on inflammatory marker (Tumor Necrosis Factor- Alpha) in rats.</w:t>
      </w:r>
    </w:p>
    <w:p w14:paraId="1F289580" w14:textId="77777777" w:rsidR="003E39D4" w:rsidRPr="00E66107" w:rsidRDefault="003E39D4" w:rsidP="003E39D4">
      <w:pPr>
        <w:spacing w:after="0" w:line="360" w:lineRule="auto"/>
        <w:jc w:val="both"/>
        <w:rPr>
          <w:rFonts w:ascii="Times New Roman" w:hAnsi="Times New Roman" w:cs="Times New Roman"/>
          <w:sz w:val="24"/>
          <w:szCs w:val="24"/>
        </w:rPr>
      </w:pPr>
      <w:r w:rsidRPr="00E66107">
        <w:rPr>
          <w:rFonts w:ascii="Times New Roman" w:hAnsi="Times New Roman" w:cs="Times New Roman"/>
          <w:sz w:val="24"/>
          <w:szCs w:val="24"/>
        </w:rPr>
        <w:t>Values were expressed as mean ±SEM (n=5), Different alphabet superscripts indicate significant difference at p&lt;0.05, CCl</w:t>
      </w:r>
      <w:r w:rsidRPr="00E66107">
        <w:rPr>
          <w:rFonts w:ascii="Times New Roman" w:hAnsi="Times New Roman" w:cs="Times New Roman"/>
          <w:sz w:val="24"/>
          <w:szCs w:val="24"/>
          <w:vertAlign w:val="subscript"/>
        </w:rPr>
        <w:t xml:space="preserve">4 </w:t>
      </w:r>
      <w:r w:rsidRPr="00E66107">
        <w:rPr>
          <w:rFonts w:ascii="Times New Roman" w:hAnsi="Times New Roman" w:cs="Times New Roman"/>
          <w:sz w:val="24"/>
          <w:szCs w:val="24"/>
        </w:rPr>
        <w:softHyphen/>
        <w:t xml:space="preserve">(Carbon tetrachloride), ALEAL (Aqueous leaf extract of </w:t>
      </w:r>
      <w:r w:rsidRPr="00E66107">
        <w:rPr>
          <w:rFonts w:ascii="Times New Roman" w:hAnsi="Times New Roman" w:cs="Times New Roman"/>
          <w:i/>
          <w:sz w:val="24"/>
          <w:szCs w:val="24"/>
        </w:rPr>
        <w:t>Anogeissus leiocarpus</w:t>
      </w:r>
      <w:r w:rsidRPr="00E66107">
        <w:rPr>
          <w:rFonts w:ascii="Times New Roman" w:hAnsi="Times New Roman" w:cs="Times New Roman"/>
          <w:sz w:val="24"/>
          <w:szCs w:val="24"/>
        </w:rPr>
        <w:t>), IL-6 (Interleukin-6), TNF-α (Tumor Necrosis Factor- Alpha).</w:t>
      </w:r>
    </w:p>
    <w:p w14:paraId="72FC176E" w14:textId="77777777" w:rsidR="003E39D4" w:rsidRPr="00E66107" w:rsidRDefault="003E39D4" w:rsidP="003E39D4">
      <w:pPr>
        <w:spacing w:after="0" w:line="360" w:lineRule="auto"/>
        <w:jc w:val="both"/>
        <w:rPr>
          <w:rFonts w:ascii="Times New Roman" w:hAnsi="Times New Roman" w:cs="Times New Roman"/>
          <w:sz w:val="24"/>
          <w:szCs w:val="24"/>
        </w:rPr>
      </w:pPr>
    </w:p>
    <w:p w14:paraId="4C1BBF30" w14:textId="77777777" w:rsidR="003E39D4" w:rsidRPr="00E66107" w:rsidRDefault="003E39D4" w:rsidP="003E39D4">
      <w:pPr>
        <w:spacing w:after="0" w:line="360" w:lineRule="auto"/>
        <w:jc w:val="both"/>
        <w:rPr>
          <w:rFonts w:ascii="Times New Roman" w:hAnsi="Times New Roman" w:cs="Times New Roman"/>
          <w:b/>
          <w:sz w:val="24"/>
          <w:szCs w:val="24"/>
        </w:rPr>
      </w:pPr>
      <w:r w:rsidRPr="00E66107">
        <w:rPr>
          <w:rFonts w:ascii="Times New Roman" w:hAnsi="Times New Roman" w:cs="Times New Roman"/>
          <w:b/>
          <w:sz w:val="24"/>
          <w:szCs w:val="24"/>
        </w:rPr>
        <w:t>Histological overview of liver of rats pretreated with (ALEAL) and exposed to CCl</w:t>
      </w:r>
      <w:r w:rsidRPr="00E66107">
        <w:rPr>
          <w:rFonts w:ascii="Times New Roman" w:hAnsi="Times New Roman" w:cs="Times New Roman"/>
          <w:b/>
          <w:sz w:val="24"/>
          <w:szCs w:val="24"/>
          <w:vertAlign w:val="subscript"/>
        </w:rPr>
        <w:t>4</w:t>
      </w:r>
      <w:r w:rsidRPr="00E66107">
        <w:rPr>
          <w:rFonts w:ascii="Times New Roman" w:hAnsi="Times New Roman" w:cs="Times New Roman"/>
          <w:b/>
          <w:sz w:val="24"/>
          <w:szCs w:val="24"/>
        </w:rPr>
        <w:t>.</w:t>
      </w:r>
    </w:p>
    <w:p w14:paraId="5F826163" w14:textId="5B2A836F" w:rsidR="003E39D4" w:rsidRPr="00E66107" w:rsidRDefault="003E39D4" w:rsidP="003E39D4">
      <w:pPr>
        <w:spacing w:after="0" w:line="360" w:lineRule="auto"/>
        <w:jc w:val="both"/>
        <w:rPr>
          <w:rFonts w:ascii="Times New Roman" w:hAnsi="Times New Roman" w:cs="Times New Roman"/>
          <w:sz w:val="24"/>
          <w:szCs w:val="24"/>
        </w:rPr>
      </w:pPr>
      <w:r w:rsidRPr="00E66107">
        <w:rPr>
          <w:rFonts w:ascii="Times New Roman" w:hAnsi="Times New Roman" w:cs="Times New Roman"/>
          <w:sz w:val="24"/>
          <w:szCs w:val="24"/>
        </w:rPr>
        <w:t xml:space="preserve">Histology of the liver </w:t>
      </w:r>
      <w:r w:rsidR="00484A1D" w:rsidRPr="000A4404">
        <w:rPr>
          <w:rFonts w:ascii="Times New Roman" w:hAnsi="Times New Roman" w:cs="Times New Roman"/>
          <w:sz w:val="24"/>
          <w:szCs w:val="24"/>
          <w:highlight w:val="yellow"/>
        </w:rPr>
        <w:t xml:space="preserve">showed </w:t>
      </w:r>
      <w:r w:rsidRPr="000A4404">
        <w:rPr>
          <w:rFonts w:ascii="Times New Roman" w:hAnsi="Times New Roman" w:cs="Times New Roman"/>
          <w:sz w:val="24"/>
          <w:szCs w:val="24"/>
          <w:highlight w:val="yellow"/>
        </w:rPr>
        <w:t xml:space="preserve">moderate </w:t>
      </w:r>
      <w:r w:rsidRPr="00E66107">
        <w:rPr>
          <w:rFonts w:ascii="Times New Roman" w:hAnsi="Times New Roman" w:cs="Times New Roman"/>
          <w:sz w:val="24"/>
          <w:szCs w:val="24"/>
        </w:rPr>
        <w:t xml:space="preserve">architecture, the central venules appear normal in all the groups pretreated with aqueous extract of </w:t>
      </w:r>
      <w:r w:rsidRPr="00E66107">
        <w:rPr>
          <w:rFonts w:ascii="Times New Roman" w:hAnsi="Times New Roman" w:cs="Times New Roman"/>
          <w:i/>
          <w:sz w:val="24"/>
          <w:szCs w:val="24"/>
        </w:rPr>
        <w:t>Anogeissus leiocarpus</w:t>
      </w:r>
      <w:r w:rsidRPr="00E66107">
        <w:rPr>
          <w:rFonts w:ascii="Times New Roman" w:hAnsi="Times New Roman" w:cs="Times New Roman"/>
          <w:sz w:val="24"/>
          <w:szCs w:val="24"/>
        </w:rPr>
        <w:t xml:space="preserve">, compared to the group induced with Carbon tetrachloride which </w:t>
      </w:r>
      <w:r w:rsidRPr="000A4404">
        <w:rPr>
          <w:rFonts w:ascii="Times New Roman" w:hAnsi="Times New Roman" w:cs="Times New Roman"/>
          <w:sz w:val="24"/>
          <w:szCs w:val="24"/>
          <w:highlight w:val="yellow"/>
        </w:rPr>
        <w:t xml:space="preserve">showed severe damage </w:t>
      </w:r>
      <w:r w:rsidRPr="00E66107">
        <w:rPr>
          <w:rFonts w:ascii="Times New Roman" w:hAnsi="Times New Roman" w:cs="Times New Roman"/>
          <w:sz w:val="24"/>
          <w:szCs w:val="24"/>
        </w:rPr>
        <w:t xml:space="preserve">to the liver. Indices assessed included hepatocytes, sinusoids, portal tract, inflammation and venules. Both the normal group and the groups pretreated with Silymarin and aqueous leaf extract of </w:t>
      </w:r>
      <w:r w:rsidRPr="00E66107">
        <w:rPr>
          <w:rFonts w:ascii="Times New Roman" w:hAnsi="Times New Roman" w:cs="Times New Roman"/>
          <w:i/>
          <w:sz w:val="24"/>
          <w:szCs w:val="24"/>
        </w:rPr>
        <w:t xml:space="preserve">Anogeissus leiocarpus </w:t>
      </w:r>
      <w:r w:rsidRPr="00E66107">
        <w:rPr>
          <w:rFonts w:ascii="Times New Roman" w:hAnsi="Times New Roman" w:cs="Times New Roman"/>
          <w:sz w:val="24"/>
          <w:szCs w:val="24"/>
        </w:rPr>
        <w:t xml:space="preserve">of the rat’s liver demonstrated normal well-preserved architecture, intact normal histological components of the hepatic lobules, normal portal areas and normal central vein bounded by an intact endothelium. Though the morphology of the hepatocytes of group pretreated with aqueous leaf extracts of </w:t>
      </w:r>
      <w:r w:rsidRPr="00E66107">
        <w:rPr>
          <w:rFonts w:ascii="Times New Roman" w:hAnsi="Times New Roman" w:cs="Times New Roman"/>
          <w:i/>
          <w:sz w:val="24"/>
          <w:szCs w:val="24"/>
        </w:rPr>
        <w:t xml:space="preserve">Anogeissus leiocarpus </w:t>
      </w:r>
      <w:r w:rsidRPr="00E66107">
        <w:rPr>
          <w:rFonts w:ascii="Times New Roman" w:hAnsi="Times New Roman" w:cs="Times New Roman"/>
          <w:sz w:val="24"/>
          <w:szCs w:val="24"/>
        </w:rPr>
        <w:t xml:space="preserve">(230 mg/kg body weight) shows mild cytoplasmic vacuolation </w:t>
      </w:r>
      <w:r w:rsidRPr="00E66107">
        <w:rPr>
          <w:rFonts w:ascii="Times New Roman" w:hAnsi="Times New Roman" w:cs="Times New Roman"/>
          <w:sz w:val="24"/>
          <w:szCs w:val="24"/>
        </w:rPr>
        <w:lastRenderedPageBreak/>
        <w:t xml:space="preserve">probably due to fat infiltration while that of  115 mg/kg body </w:t>
      </w:r>
      <w:r w:rsidRPr="000A4404">
        <w:rPr>
          <w:rFonts w:ascii="Times New Roman" w:hAnsi="Times New Roman" w:cs="Times New Roman"/>
          <w:sz w:val="24"/>
          <w:szCs w:val="24"/>
          <w:highlight w:val="yellow"/>
        </w:rPr>
        <w:t>weight appear</w:t>
      </w:r>
      <w:r w:rsidR="00484A1D" w:rsidRPr="000A4404">
        <w:rPr>
          <w:rFonts w:ascii="Times New Roman" w:hAnsi="Times New Roman" w:cs="Times New Roman"/>
          <w:sz w:val="24"/>
          <w:szCs w:val="24"/>
          <w:highlight w:val="yellow"/>
        </w:rPr>
        <w:t>s</w:t>
      </w:r>
      <w:r w:rsidRPr="000A4404">
        <w:rPr>
          <w:rFonts w:ascii="Times New Roman" w:hAnsi="Times New Roman" w:cs="Times New Roman"/>
          <w:sz w:val="24"/>
          <w:szCs w:val="24"/>
          <w:highlight w:val="yellow"/>
        </w:rPr>
        <w:t xml:space="preserve"> nor</w:t>
      </w:r>
      <w:r w:rsidRPr="00E66107">
        <w:rPr>
          <w:rFonts w:ascii="Times New Roman" w:hAnsi="Times New Roman" w:cs="Times New Roman"/>
          <w:sz w:val="24"/>
          <w:szCs w:val="24"/>
        </w:rPr>
        <w:t>mal (blue arrow).</w:t>
      </w:r>
    </w:p>
    <w:p w14:paraId="27DF01B6" w14:textId="094BE3CE" w:rsidR="003E39D4" w:rsidRPr="00E66107" w:rsidRDefault="003E39D4" w:rsidP="003E39D4">
      <w:pPr>
        <w:spacing w:after="0" w:line="360" w:lineRule="auto"/>
        <w:jc w:val="both"/>
        <w:rPr>
          <w:rFonts w:ascii="Times New Roman" w:hAnsi="Times New Roman" w:cs="Times New Roman"/>
          <w:sz w:val="24"/>
          <w:szCs w:val="24"/>
        </w:rPr>
      </w:pPr>
      <w:r w:rsidRPr="00E66107">
        <w:rPr>
          <w:rFonts w:ascii="Times New Roman" w:hAnsi="Times New Roman" w:cs="Times New Roman"/>
          <w:sz w:val="24"/>
          <w:szCs w:val="24"/>
        </w:rPr>
        <w:t xml:space="preserve">The Carbon </w:t>
      </w:r>
      <w:r w:rsidR="00484A1D" w:rsidRPr="000A4404">
        <w:rPr>
          <w:rFonts w:ascii="Times New Roman" w:hAnsi="Times New Roman" w:cs="Times New Roman"/>
          <w:sz w:val="24"/>
          <w:szCs w:val="24"/>
          <w:highlight w:val="yellow"/>
        </w:rPr>
        <w:t>tetrachloride-</w:t>
      </w:r>
      <w:r w:rsidRPr="000A4404">
        <w:rPr>
          <w:rFonts w:ascii="Times New Roman" w:hAnsi="Times New Roman" w:cs="Times New Roman"/>
          <w:sz w:val="24"/>
          <w:szCs w:val="24"/>
          <w:highlight w:val="yellow"/>
        </w:rPr>
        <w:t>induced</w:t>
      </w:r>
      <w:r w:rsidRPr="00E66107">
        <w:rPr>
          <w:rFonts w:ascii="Times New Roman" w:hAnsi="Times New Roman" w:cs="Times New Roman"/>
          <w:sz w:val="24"/>
          <w:szCs w:val="24"/>
        </w:rPr>
        <w:t xml:space="preserve"> group revealed indices that </w:t>
      </w:r>
      <w:r w:rsidRPr="000A4404">
        <w:rPr>
          <w:rFonts w:ascii="Times New Roman" w:hAnsi="Times New Roman" w:cs="Times New Roman"/>
          <w:sz w:val="24"/>
          <w:szCs w:val="24"/>
          <w:highlight w:val="yellow"/>
        </w:rPr>
        <w:t>show chronic</w:t>
      </w:r>
      <w:r w:rsidRPr="00E66107">
        <w:rPr>
          <w:rFonts w:ascii="Times New Roman" w:hAnsi="Times New Roman" w:cs="Times New Roman"/>
          <w:sz w:val="24"/>
          <w:szCs w:val="24"/>
        </w:rPr>
        <w:t xml:space="preserve"> hepatic steatosis, onset liver cirrhosis with fibrosis and degenerate liver cells (blue arrow). </w:t>
      </w:r>
    </w:p>
    <w:p w14:paraId="3151686D" w14:textId="77777777" w:rsidR="003E39D4" w:rsidRPr="00E66107" w:rsidRDefault="003E39D4" w:rsidP="003E39D4">
      <w:pPr>
        <w:spacing w:after="0" w:line="360" w:lineRule="auto"/>
        <w:jc w:val="both"/>
        <w:rPr>
          <w:rFonts w:ascii="Times New Roman" w:hAnsi="Times New Roman" w:cs="Times New Roman"/>
          <w:b/>
          <w:sz w:val="24"/>
          <w:szCs w:val="24"/>
        </w:rPr>
      </w:pPr>
      <w:r w:rsidRPr="00E66107">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369EEF73" wp14:editId="0A54DB48">
                <wp:simplePos x="0" y="0"/>
                <wp:positionH relativeFrom="column">
                  <wp:posOffset>3781425</wp:posOffset>
                </wp:positionH>
                <wp:positionV relativeFrom="paragraph">
                  <wp:posOffset>38100</wp:posOffset>
                </wp:positionV>
                <wp:extent cx="295275" cy="257175"/>
                <wp:effectExtent l="0" t="0" r="28575" b="28575"/>
                <wp:wrapNone/>
                <wp:docPr id="2057" name="Text Box 2057"/>
                <wp:cNvGraphicFramePr/>
                <a:graphic xmlns:a="http://schemas.openxmlformats.org/drawingml/2006/main">
                  <a:graphicData uri="http://schemas.microsoft.com/office/word/2010/wordprocessingShape">
                    <wps:wsp>
                      <wps:cNvSpPr txBox="1"/>
                      <wps:spPr>
                        <a:xfrm>
                          <a:off x="0" y="0"/>
                          <a:ext cx="2952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36C75D" w14:textId="77777777" w:rsidR="003E39D4" w:rsidRPr="00CF2D24" w:rsidRDefault="003E39D4" w:rsidP="003E39D4">
                            <w:pPr>
                              <w:rPr>
                                <w:rFonts w:ascii="Times New Roman" w:hAnsi="Times New Roman" w:cs="Times New Roman"/>
                                <w:b/>
                                <w:sz w:val="28"/>
                                <w:szCs w:val="28"/>
                              </w:rPr>
                            </w:pPr>
                            <w:r>
                              <w:rPr>
                                <w:rFonts w:ascii="Times New Roman" w:hAnsi="Times New Roman" w:cs="Times New Roman"/>
                                <w:b/>
                                <w:sz w:val="28"/>
                                <w:szCs w:val="28"/>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69EEF73" id="_x0000_t202" coordsize="21600,21600" o:spt="202" path="m,l,21600r21600,l21600,xe">
                <v:stroke joinstyle="miter"/>
                <v:path gradientshapeok="t" o:connecttype="rect"/>
              </v:shapetype>
              <v:shape id="Text Box 2057" o:spid="_x0000_s1026" type="#_x0000_t202" style="position:absolute;left:0;text-align:left;margin-left:297.75pt;margin-top:3pt;width:23.25pt;height:20.2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" fillcolor="white [3201]" strokeweight=".5pt">
                <v:textbox>
                  <w:txbxContent>
                    <w:p w14:paraId="1036C75D" w14:textId="77777777" w:rsidR="003E39D4" w:rsidRPr="00CF2D24" w:rsidRDefault="003E39D4" w:rsidP="003E39D4">
                      <w:pPr>
                        <w:rPr>
                          <w:rFonts w:ascii="Times New Roman" w:hAnsi="Times New Roman" w:cs="Times New Roman"/>
                          <w:b/>
                          <w:sz w:val="28"/>
                          <w:szCs w:val="28"/>
                        </w:rPr>
                      </w:pPr>
                      <w:r>
                        <w:rPr>
                          <w:rFonts w:ascii="Times New Roman" w:hAnsi="Times New Roman" w:cs="Times New Roman"/>
                          <w:b/>
                          <w:sz w:val="28"/>
                          <w:szCs w:val="28"/>
                        </w:rPr>
                        <w:t>C</w:t>
                      </w:r>
                    </w:p>
                  </w:txbxContent>
                </v:textbox>
              </v:shape>
            </w:pict>
          </mc:Fallback>
        </mc:AlternateContent>
      </w:r>
      <w:r w:rsidRPr="00E66107">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746D1E16" wp14:editId="19283665">
                <wp:simplePos x="0" y="0"/>
                <wp:positionH relativeFrom="column">
                  <wp:posOffset>1859280</wp:posOffset>
                </wp:positionH>
                <wp:positionV relativeFrom="paragraph">
                  <wp:posOffset>38100</wp:posOffset>
                </wp:positionV>
                <wp:extent cx="297180" cy="304800"/>
                <wp:effectExtent l="0" t="0" r="26670" b="19050"/>
                <wp:wrapNone/>
                <wp:docPr id="2048" name="Text Box 2048"/>
                <wp:cNvGraphicFramePr/>
                <a:graphic xmlns:a="http://schemas.openxmlformats.org/drawingml/2006/main">
                  <a:graphicData uri="http://schemas.microsoft.com/office/word/2010/wordprocessingShape">
                    <wps:wsp>
                      <wps:cNvSpPr txBox="1"/>
                      <wps:spPr>
                        <a:xfrm>
                          <a:off x="0" y="0"/>
                          <a:ext cx="29718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1446D2" w14:textId="77777777" w:rsidR="003E39D4" w:rsidRPr="00545DE1" w:rsidRDefault="003E39D4" w:rsidP="003E39D4">
                            <w:pPr>
                              <w:rPr>
                                <w:rFonts w:ascii="Times New Roman" w:hAnsi="Times New Roman" w:cs="Times New Roman"/>
                                <w:b/>
                                <w:sz w:val="28"/>
                                <w:szCs w:val="28"/>
                              </w:rPr>
                            </w:pPr>
                            <w:r w:rsidRPr="00545DE1">
                              <w:rPr>
                                <w:rFonts w:ascii="Times New Roman" w:hAnsi="Times New Roman" w:cs="Times New Roman"/>
                                <w:b/>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D1E16" id="Text Box 2048" o:spid="_x0000_s1027" type="#_x0000_t202" style="position:absolute;left:0;text-align:left;margin-left:146.4pt;margin-top:3pt;width:23.4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" fillcolor="white [3201]" strokeweight=".5pt">
                <v:textbox>
                  <w:txbxContent>
                    <w:p w14:paraId="0D1446D2" w14:textId="77777777" w:rsidR="003E39D4" w:rsidRPr="00545DE1" w:rsidRDefault="003E39D4" w:rsidP="003E39D4">
                      <w:pPr>
                        <w:rPr>
                          <w:rFonts w:ascii="Times New Roman" w:hAnsi="Times New Roman" w:cs="Times New Roman"/>
                          <w:b/>
                          <w:sz w:val="28"/>
                          <w:szCs w:val="28"/>
                        </w:rPr>
                      </w:pPr>
                      <w:r w:rsidRPr="00545DE1">
                        <w:rPr>
                          <w:rFonts w:ascii="Times New Roman" w:hAnsi="Times New Roman" w:cs="Times New Roman"/>
                          <w:b/>
                          <w:sz w:val="28"/>
                          <w:szCs w:val="28"/>
                        </w:rPr>
                        <w:t>B</w:t>
                      </w:r>
                    </w:p>
                  </w:txbxContent>
                </v:textbox>
              </v:shape>
            </w:pict>
          </mc:Fallback>
        </mc:AlternateContent>
      </w:r>
      <w:r w:rsidRPr="00E66107">
        <w:rPr>
          <w:rFonts w:ascii="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36BB72AB" wp14:editId="502AE9E1">
                <wp:simplePos x="0" y="0"/>
                <wp:positionH relativeFrom="column">
                  <wp:posOffset>0</wp:posOffset>
                </wp:positionH>
                <wp:positionV relativeFrom="paragraph">
                  <wp:posOffset>0</wp:posOffset>
                </wp:positionV>
                <wp:extent cx="295275" cy="252730"/>
                <wp:effectExtent l="0" t="0" r="28575" b="13970"/>
                <wp:wrapNone/>
                <wp:docPr id="15" name="Text Box 15"/>
                <wp:cNvGraphicFramePr/>
                <a:graphic xmlns:a="http://schemas.openxmlformats.org/drawingml/2006/main">
                  <a:graphicData uri="http://schemas.microsoft.com/office/word/2010/wordprocessingShape">
                    <wps:wsp>
                      <wps:cNvSpPr txBox="1"/>
                      <wps:spPr>
                        <a:xfrm>
                          <a:off x="0" y="0"/>
                          <a:ext cx="295275" cy="2527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C38AC9" w14:textId="77777777" w:rsidR="003E39D4" w:rsidRPr="00545DE1" w:rsidRDefault="003E39D4" w:rsidP="003E39D4">
                            <w:pPr>
                              <w:rPr>
                                <w:rFonts w:ascii="Times New Roman" w:hAnsi="Times New Roman" w:cs="Times New Roman"/>
                                <w:b/>
                                <w:sz w:val="28"/>
                                <w:szCs w:val="28"/>
                              </w:rPr>
                            </w:pPr>
                            <w:r>
                              <w:rPr>
                                <w:rFonts w:ascii="Times New Roman" w:hAnsi="Times New Roman" w:cs="Times New Roman"/>
                                <w:b/>
                                <w:sz w:val="28"/>
                                <w:szCs w:val="2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B72AB" id="Text Box 15" o:spid="_x0000_s1028" type="#_x0000_t202" style="position:absolute;left:0;text-align:left;margin-left:0;margin-top:0;width:23.25pt;height:1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" fillcolor="white [3201]" strokeweight=".5pt">
                <v:textbox>
                  <w:txbxContent>
                    <w:p w14:paraId="7EC38AC9" w14:textId="77777777" w:rsidR="003E39D4" w:rsidRPr="00545DE1" w:rsidRDefault="003E39D4" w:rsidP="003E39D4">
                      <w:pPr>
                        <w:rPr>
                          <w:rFonts w:ascii="Times New Roman" w:hAnsi="Times New Roman" w:cs="Times New Roman"/>
                          <w:b/>
                          <w:sz w:val="28"/>
                          <w:szCs w:val="28"/>
                        </w:rPr>
                      </w:pPr>
                      <w:r>
                        <w:rPr>
                          <w:rFonts w:ascii="Times New Roman" w:hAnsi="Times New Roman" w:cs="Times New Roman"/>
                          <w:b/>
                          <w:sz w:val="28"/>
                          <w:szCs w:val="28"/>
                        </w:rPr>
                        <w:t>A</w:t>
                      </w:r>
                    </w:p>
                  </w:txbxContent>
                </v:textbox>
              </v:shape>
            </w:pict>
          </mc:Fallback>
        </mc:AlternateContent>
      </w:r>
      <w:r w:rsidRPr="00E66107">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195B3BD3" wp14:editId="5C12D462">
                <wp:simplePos x="0" y="0"/>
                <wp:positionH relativeFrom="column">
                  <wp:posOffset>4219575</wp:posOffset>
                </wp:positionH>
                <wp:positionV relativeFrom="paragraph">
                  <wp:posOffset>391795</wp:posOffset>
                </wp:positionV>
                <wp:extent cx="609600" cy="337820"/>
                <wp:effectExtent l="38100" t="0" r="19050" b="62230"/>
                <wp:wrapNone/>
                <wp:docPr id="298" name="Straight Arrow Connector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600" cy="337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E04182" id="_x0000_t32" coordsize="21600,21600" o:spt="32" o:oned="t" path="m,l21600,21600e" filled="f">
                <v:path arrowok="t" fillok="f" o:connecttype="none"/>
                <o:lock v:ext="edit" shapetype="t"/>
              </v:shapetype>
              <v:shape id="Straight Arrow Connector 298" o:spid="_x0000_s1026" type="#_x0000_t32" style="position:absolute;margin-left:332.25pt;margin-top:30.85pt;width:48pt;height:26.6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">
                <v:stroke endarrow="block"/>
              </v:shape>
            </w:pict>
          </mc:Fallback>
        </mc:AlternateContent>
      </w:r>
      <w:r w:rsidRPr="00E66107">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596A9F6C" wp14:editId="6A72DAAF">
                <wp:simplePos x="0" y="0"/>
                <wp:positionH relativeFrom="column">
                  <wp:posOffset>5164455</wp:posOffset>
                </wp:positionH>
                <wp:positionV relativeFrom="paragraph">
                  <wp:posOffset>634365</wp:posOffset>
                </wp:positionV>
                <wp:extent cx="678180" cy="90805"/>
                <wp:effectExtent l="38100" t="19050" r="102870" b="42545"/>
                <wp:wrapNone/>
                <wp:docPr id="297" name="Left Arrow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 cy="90805"/>
                        </a:xfrm>
                        <a:prstGeom prst="leftArrow">
                          <a:avLst>
                            <a:gd name="adj1" fmla="val 50000"/>
                            <a:gd name="adj2" fmla="val 186713"/>
                          </a:avLst>
                        </a:prstGeom>
                        <a:gradFill rotWithShape="0">
                          <a:gsLst>
                            <a:gs pos="0">
                              <a:srgbClr val="4BACC6"/>
                            </a:gs>
                            <a:gs pos="100000">
                              <a:srgbClr val="205867"/>
                            </a:gs>
                          </a:gsLst>
                          <a:lin ang="2700000" scaled="1"/>
                        </a:gradFill>
                        <a:ln w="12700">
                          <a:solidFill>
                            <a:srgbClr val="F2F2F2"/>
                          </a:solidFill>
                          <a:miter lim="800000"/>
                          <a:headEnd/>
                          <a:tailEnd/>
                        </a:ln>
                        <a:effectLst>
                          <a:outerShdw sy="50000" kx="-2453608" rotWithShape="0">
                            <a:srgbClr val="B6DDE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303589"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97" o:spid="_x0000_s1026" type="#_x0000_t66" style="position:absolute;margin-left:406.65pt;margin-top:49.95pt;width:53.4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" fillcolor="#4bacc6" strokecolor="#f2f2f2" strokeweight="1pt">
                <v:fill color2="#205867" angle="45" focus="100%" type="gradient"/>
                <v:shadow on="t" type="perspective" color="#b6dde8" opacity=".5" origin=",.5" offset="0,0" matrix=",-56756f,,.5"/>
              </v:shape>
            </w:pict>
          </mc:Fallback>
        </mc:AlternateContent>
      </w:r>
      <w:r w:rsidRPr="00E66107">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533C4D5B" wp14:editId="4B707779">
                <wp:simplePos x="0" y="0"/>
                <wp:positionH relativeFrom="column">
                  <wp:posOffset>1211580</wp:posOffset>
                </wp:positionH>
                <wp:positionV relativeFrom="paragraph">
                  <wp:posOffset>434340</wp:posOffset>
                </wp:positionV>
                <wp:extent cx="678180" cy="90805"/>
                <wp:effectExtent l="38100" t="19050" r="102870" b="42545"/>
                <wp:wrapNone/>
                <wp:docPr id="61" name="Left Arrow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 cy="90805"/>
                        </a:xfrm>
                        <a:prstGeom prst="leftArrow">
                          <a:avLst>
                            <a:gd name="adj1" fmla="val 50000"/>
                            <a:gd name="adj2" fmla="val 186713"/>
                          </a:avLst>
                        </a:prstGeom>
                        <a:gradFill rotWithShape="0">
                          <a:gsLst>
                            <a:gs pos="0">
                              <a:srgbClr val="4BACC6"/>
                            </a:gs>
                            <a:gs pos="100000">
                              <a:srgbClr val="205867"/>
                            </a:gs>
                          </a:gsLst>
                          <a:lin ang="2700000" scaled="1"/>
                        </a:gradFill>
                        <a:ln w="12700">
                          <a:solidFill>
                            <a:srgbClr val="F2F2F2"/>
                          </a:solidFill>
                          <a:miter lim="800000"/>
                          <a:headEnd/>
                          <a:tailEnd/>
                        </a:ln>
                        <a:effectLst>
                          <a:outerShdw sy="50000" kx="-2453608" rotWithShape="0">
                            <a:srgbClr val="B6DDE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B09C6" id="Left Arrow 61" o:spid="_x0000_s1026" type="#_x0000_t66" style="position:absolute;margin-left:95.4pt;margin-top:34.2pt;width:53.4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" fillcolor="#4bacc6" strokecolor="#f2f2f2" strokeweight="1pt">
                <v:fill color2="#205867" angle="45" focus="100%" type="gradient"/>
                <v:shadow on="t" type="perspective" color="#b6dde8" opacity=".5" origin=",.5" offset="0,0" matrix=",-56756f,,.5"/>
              </v:shape>
            </w:pict>
          </mc:Fallback>
        </mc:AlternateContent>
      </w:r>
      <w:r w:rsidRPr="00E66107">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34A42783" wp14:editId="188C9C2B">
                <wp:simplePos x="0" y="0"/>
                <wp:positionH relativeFrom="column">
                  <wp:posOffset>1411605</wp:posOffset>
                </wp:positionH>
                <wp:positionV relativeFrom="paragraph">
                  <wp:posOffset>996315</wp:posOffset>
                </wp:positionV>
                <wp:extent cx="678180" cy="90805"/>
                <wp:effectExtent l="38100" t="19050" r="102870" b="42545"/>
                <wp:wrapNone/>
                <wp:docPr id="60" name="Left Arrow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 cy="90805"/>
                        </a:xfrm>
                        <a:prstGeom prst="leftArrow">
                          <a:avLst>
                            <a:gd name="adj1" fmla="val 50000"/>
                            <a:gd name="adj2" fmla="val 186713"/>
                          </a:avLst>
                        </a:prstGeom>
                        <a:gradFill rotWithShape="0">
                          <a:gsLst>
                            <a:gs pos="0">
                              <a:srgbClr val="4BACC6"/>
                            </a:gs>
                            <a:gs pos="100000">
                              <a:srgbClr val="205867"/>
                            </a:gs>
                          </a:gsLst>
                          <a:lin ang="2700000" scaled="1"/>
                        </a:gradFill>
                        <a:ln w="12700">
                          <a:solidFill>
                            <a:srgbClr val="F2F2F2"/>
                          </a:solidFill>
                          <a:miter lim="800000"/>
                          <a:headEnd/>
                          <a:tailEnd/>
                        </a:ln>
                        <a:effectLst>
                          <a:outerShdw sy="50000" kx="-2453608" rotWithShape="0">
                            <a:srgbClr val="B6DDE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13279" id="Left Arrow 60" o:spid="_x0000_s1026" type="#_x0000_t66" style="position:absolute;margin-left:111.15pt;margin-top:78.45pt;width:53.4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" fillcolor="#4bacc6" strokecolor="#f2f2f2" strokeweight="1pt">
                <v:fill color2="#205867" angle="45" focus="100%" type="gradient"/>
                <v:shadow on="t" type="perspective" color="#b6dde8" opacity=".5" origin=",.5" offset="0,0" matrix=",-56756f,,.5"/>
              </v:shape>
            </w:pict>
          </mc:Fallback>
        </mc:AlternateContent>
      </w:r>
      <w:r w:rsidRPr="00E66107">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654FCD59" wp14:editId="4185C438">
                <wp:simplePos x="0" y="0"/>
                <wp:positionH relativeFrom="column">
                  <wp:posOffset>2628900</wp:posOffset>
                </wp:positionH>
                <wp:positionV relativeFrom="paragraph">
                  <wp:posOffset>197485</wp:posOffset>
                </wp:positionV>
                <wp:extent cx="1130935" cy="90805"/>
                <wp:effectExtent l="0" t="0" r="12065" b="42545"/>
                <wp:wrapNone/>
                <wp:docPr id="1" name="Lef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935" cy="90805"/>
                        </a:xfrm>
                        <a:prstGeom prst="leftArrow">
                          <a:avLst>
                            <a:gd name="adj1" fmla="val 50000"/>
                            <a:gd name="adj2" fmla="val 311364"/>
                          </a:avLst>
                        </a:prstGeom>
                        <a:gradFill rotWithShape="0">
                          <a:gsLst>
                            <a:gs pos="0">
                              <a:srgbClr val="4BACC6"/>
                            </a:gs>
                            <a:gs pos="100000">
                              <a:srgbClr val="308298"/>
                            </a:gs>
                          </a:gsLst>
                          <a:path path="rect">
                            <a:fillToRect l="50000" t="50000" r="50000" b="50000"/>
                          </a:path>
                        </a:gradFill>
                        <a:ln>
                          <a:noFill/>
                        </a:ln>
                        <a:effectLst>
                          <a:outerShdw dist="28398" dir="3806097" algn="ctr" rotWithShape="0">
                            <a:srgbClr val="205867"/>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7B1CF" id="Left Arrow 1" o:spid="_x0000_s1026" type="#_x0000_t66" style="position:absolute;margin-left:207pt;margin-top:15.55pt;width:89.0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" fillcolor="#4bacc6" stroked="f" strokeweight="0">
                <v:fill color2="#308298" focusposition=".5,.5" focussize="" focus="100%" type="gradientRadial">
                  <o:fill v:ext="view" type="gradientCenter"/>
                </v:fill>
                <v:shadow on="t" color="#205867" offset="1pt"/>
              </v:shape>
            </w:pict>
          </mc:Fallback>
        </mc:AlternateContent>
      </w:r>
      <w:r w:rsidRPr="00E66107">
        <w:rPr>
          <w:rFonts w:ascii="Times New Roman" w:hAnsi="Times New Roman" w:cs="Times New Roman"/>
          <w:noProof/>
          <w:sz w:val="24"/>
          <w:szCs w:val="24"/>
        </w:rPr>
        <w:drawing>
          <wp:inline distT="0" distB="0" distL="0" distR="0" wp14:anchorId="43C57FF8" wp14:editId="0ACB2EF4">
            <wp:extent cx="1733550" cy="1504950"/>
            <wp:effectExtent l="0" t="0" r="0" b="0"/>
            <wp:docPr id="3" name="Picture 3" descr="C:\Users\JONATHAN\Pictures\MONSURAT\IMG209903280047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ONATHAN\Pictures\MONSURAT\IMG2099032800474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3550" cy="1504950"/>
                    </a:xfrm>
                    <a:prstGeom prst="rect">
                      <a:avLst/>
                    </a:prstGeom>
                    <a:noFill/>
                    <a:ln>
                      <a:noFill/>
                    </a:ln>
                  </pic:spPr>
                </pic:pic>
              </a:graphicData>
            </a:graphic>
          </wp:inline>
        </w:drawing>
      </w:r>
      <w:r w:rsidRPr="00E66107">
        <w:rPr>
          <w:rFonts w:ascii="Times New Roman" w:hAnsi="Times New Roman" w:cs="Times New Roman"/>
          <w:b/>
          <w:sz w:val="24"/>
          <w:szCs w:val="24"/>
        </w:rPr>
        <w:t xml:space="preserve">   </w:t>
      </w:r>
      <w:r w:rsidRPr="00E66107">
        <w:rPr>
          <w:rFonts w:ascii="Times New Roman" w:hAnsi="Times New Roman" w:cs="Times New Roman"/>
          <w:noProof/>
          <w:sz w:val="24"/>
          <w:szCs w:val="24"/>
        </w:rPr>
        <w:drawing>
          <wp:inline distT="0" distB="0" distL="0" distR="0" wp14:anchorId="2FD502A9" wp14:editId="19D3D3D4">
            <wp:extent cx="1733550" cy="1457325"/>
            <wp:effectExtent l="0" t="0" r="0" b="9525"/>
            <wp:docPr id="21" name="Picture 21" descr="C:\Users\JONATHAN\Pictures\MONSURAT\IMG209903280056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JONATHAN\Pictures\MONSURAT\IMG2099032800560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3550" cy="1457325"/>
                    </a:xfrm>
                    <a:prstGeom prst="rect">
                      <a:avLst/>
                    </a:prstGeom>
                    <a:noFill/>
                    <a:ln>
                      <a:noFill/>
                    </a:ln>
                  </pic:spPr>
                </pic:pic>
              </a:graphicData>
            </a:graphic>
          </wp:inline>
        </w:drawing>
      </w:r>
      <w:r w:rsidRPr="00E66107">
        <w:rPr>
          <w:rFonts w:ascii="Times New Roman" w:hAnsi="Times New Roman" w:cs="Times New Roman"/>
          <w:b/>
          <w:sz w:val="24"/>
          <w:szCs w:val="24"/>
        </w:rPr>
        <w:t xml:space="preserve">    </w:t>
      </w:r>
      <w:r w:rsidRPr="00E66107">
        <w:rPr>
          <w:rFonts w:ascii="Times New Roman" w:hAnsi="Times New Roman" w:cs="Times New Roman"/>
          <w:noProof/>
          <w:sz w:val="24"/>
          <w:szCs w:val="24"/>
        </w:rPr>
        <w:drawing>
          <wp:inline distT="0" distB="0" distL="0" distR="0" wp14:anchorId="6E723BF6" wp14:editId="2F73454E">
            <wp:extent cx="1809750" cy="1457325"/>
            <wp:effectExtent l="0" t="0" r="0" b="9525"/>
            <wp:docPr id="4" name="Picture 4" descr="C:\Users\JONATHAN\Pictures\MONSURAT\IMG209903280105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JONATHAN\Pictures\MONSURAT\IMG2099032801053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0" cy="1457325"/>
                    </a:xfrm>
                    <a:prstGeom prst="rect">
                      <a:avLst/>
                    </a:prstGeom>
                    <a:noFill/>
                    <a:ln>
                      <a:noFill/>
                    </a:ln>
                  </pic:spPr>
                </pic:pic>
              </a:graphicData>
            </a:graphic>
          </wp:inline>
        </w:drawing>
      </w:r>
    </w:p>
    <w:p w14:paraId="1B1FF81D" w14:textId="77777777" w:rsidR="003E39D4" w:rsidRPr="00E66107" w:rsidRDefault="003E39D4" w:rsidP="003E39D4">
      <w:pPr>
        <w:spacing w:after="0" w:line="360" w:lineRule="auto"/>
        <w:ind w:firstLine="720"/>
        <w:jc w:val="both"/>
        <w:rPr>
          <w:rFonts w:ascii="Times New Roman" w:hAnsi="Times New Roman" w:cs="Times New Roman"/>
          <w:b/>
          <w:sz w:val="24"/>
          <w:szCs w:val="24"/>
        </w:rPr>
      </w:pPr>
      <w:r w:rsidRPr="00E66107">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14:anchorId="74367B67" wp14:editId="692915DA">
                <wp:simplePos x="0" y="0"/>
                <wp:positionH relativeFrom="column">
                  <wp:posOffset>2743200</wp:posOffset>
                </wp:positionH>
                <wp:positionV relativeFrom="paragraph">
                  <wp:posOffset>31115</wp:posOffset>
                </wp:positionV>
                <wp:extent cx="257175" cy="295275"/>
                <wp:effectExtent l="0" t="0" r="28575" b="28575"/>
                <wp:wrapNone/>
                <wp:docPr id="2059" name="Text Box 2059"/>
                <wp:cNvGraphicFramePr/>
                <a:graphic xmlns:a="http://schemas.openxmlformats.org/drawingml/2006/main">
                  <a:graphicData uri="http://schemas.microsoft.com/office/word/2010/wordprocessingShape">
                    <wps:wsp>
                      <wps:cNvSpPr txBox="1"/>
                      <wps:spPr>
                        <a:xfrm>
                          <a:off x="0" y="0"/>
                          <a:ext cx="25717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2A74CC" w14:textId="77777777" w:rsidR="003E39D4" w:rsidRPr="00CF2D24" w:rsidRDefault="003E39D4" w:rsidP="003E39D4">
                            <w:pPr>
                              <w:rPr>
                                <w:rFonts w:ascii="Times New Roman" w:hAnsi="Times New Roman" w:cs="Times New Roman"/>
                                <w:b/>
                                <w:sz w:val="28"/>
                                <w:szCs w:val="28"/>
                              </w:rPr>
                            </w:pPr>
                            <w:r>
                              <w:rPr>
                                <w:rFonts w:ascii="Times New Roman" w:hAnsi="Times New Roman" w:cs="Times New Roman"/>
                                <w:b/>
                                <w:sz w:val="28"/>
                                <w:szCs w:val="28"/>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67B67" id="Text Box 2059" o:spid="_x0000_s1029" type="#_x0000_t202" style="position:absolute;left:0;text-align:left;margin-left:3in;margin-top:2.45pt;width:20.25pt;height:2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" fillcolor="white [3201]" strokeweight=".5pt">
                <v:textbox>
                  <w:txbxContent>
                    <w:p w14:paraId="3B2A74CC" w14:textId="77777777" w:rsidR="003E39D4" w:rsidRPr="00CF2D24" w:rsidRDefault="003E39D4" w:rsidP="003E39D4">
                      <w:pPr>
                        <w:rPr>
                          <w:rFonts w:ascii="Times New Roman" w:hAnsi="Times New Roman" w:cs="Times New Roman"/>
                          <w:b/>
                          <w:sz w:val="28"/>
                          <w:szCs w:val="28"/>
                        </w:rPr>
                      </w:pPr>
                      <w:r>
                        <w:rPr>
                          <w:rFonts w:ascii="Times New Roman" w:hAnsi="Times New Roman" w:cs="Times New Roman"/>
                          <w:b/>
                          <w:sz w:val="28"/>
                          <w:szCs w:val="28"/>
                        </w:rPr>
                        <w:t>E</w:t>
                      </w:r>
                    </w:p>
                  </w:txbxContent>
                </v:textbox>
              </v:shape>
            </w:pict>
          </mc:Fallback>
        </mc:AlternateContent>
      </w:r>
      <w:r w:rsidRPr="00E66107">
        <w:rPr>
          <w:rFonts w:ascii="Times New Roman" w:hAnsi="Times New Roman" w:cs="Times New Roman"/>
          <w:b/>
          <w:noProof/>
          <w:sz w:val="24"/>
          <w:szCs w:val="24"/>
        </w:rPr>
        <mc:AlternateContent>
          <mc:Choice Requires="wps">
            <w:drawing>
              <wp:anchor distT="0" distB="0" distL="114300" distR="114300" simplePos="0" relativeHeight="251671552" behindDoc="0" locked="0" layoutInCell="1" allowOverlap="1" wp14:anchorId="68383AB6" wp14:editId="5031553F">
                <wp:simplePos x="0" y="0"/>
                <wp:positionH relativeFrom="column">
                  <wp:posOffset>504825</wp:posOffset>
                </wp:positionH>
                <wp:positionV relativeFrom="paragraph">
                  <wp:posOffset>2540</wp:posOffset>
                </wp:positionV>
                <wp:extent cx="266700" cy="304800"/>
                <wp:effectExtent l="0" t="0" r="19050" b="19050"/>
                <wp:wrapNone/>
                <wp:docPr id="2058" name="Text Box 2058"/>
                <wp:cNvGraphicFramePr/>
                <a:graphic xmlns:a="http://schemas.openxmlformats.org/drawingml/2006/main">
                  <a:graphicData uri="http://schemas.microsoft.com/office/word/2010/wordprocessingShape">
                    <wps:wsp>
                      <wps:cNvSpPr txBox="1"/>
                      <wps:spPr>
                        <a:xfrm>
                          <a:off x="0" y="0"/>
                          <a:ext cx="2667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8FBAE7" w14:textId="77777777" w:rsidR="003E39D4" w:rsidRPr="00CF2D24" w:rsidRDefault="003E39D4" w:rsidP="003E39D4">
                            <w:pPr>
                              <w:rPr>
                                <w:rFonts w:ascii="Times New Roman" w:hAnsi="Times New Roman" w:cs="Times New Roman"/>
                                <w:b/>
                                <w:sz w:val="28"/>
                                <w:szCs w:val="28"/>
                              </w:rPr>
                            </w:pPr>
                            <w:r>
                              <w:rPr>
                                <w:rFonts w:ascii="Times New Roman" w:hAnsi="Times New Roman" w:cs="Times New Roman"/>
                                <w:b/>
                                <w:sz w:val="28"/>
                                <w:szCs w:val="28"/>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83AB6" id="Text Box 2058" o:spid="_x0000_s1030" type="#_x0000_t202" style="position:absolute;left:0;text-align:left;margin-left:39.75pt;margin-top:.2pt;width:21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" fillcolor="white [3201]" strokeweight=".5pt">
                <v:textbox>
                  <w:txbxContent>
                    <w:p w14:paraId="458FBAE7" w14:textId="77777777" w:rsidR="003E39D4" w:rsidRPr="00CF2D24" w:rsidRDefault="003E39D4" w:rsidP="003E39D4">
                      <w:pPr>
                        <w:rPr>
                          <w:rFonts w:ascii="Times New Roman" w:hAnsi="Times New Roman" w:cs="Times New Roman"/>
                          <w:b/>
                          <w:sz w:val="28"/>
                          <w:szCs w:val="28"/>
                        </w:rPr>
                      </w:pPr>
                      <w:r>
                        <w:rPr>
                          <w:rFonts w:ascii="Times New Roman" w:hAnsi="Times New Roman" w:cs="Times New Roman"/>
                          <w:b/>
                          <w:sz w:val="28"/>
                          <w:szCs w:val="28"/>
                        </w:rPr>
                        <w:t>D</w:t>
                      </w:r>
                    </w:p>
                  </w:txbxContent>
                </v:textbox>
              </v:shape>
            </w:pict>
          </mc:Fallback>
        </mc:AlternateContent>
      </w:r>
      <w:r w:rsidRPr="00E66107">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0FA038C4" wp14:editId="10AE79BE">
                <wp:simplePos x="0" y="0"/>
                <wp:positionH relativeFrom="column">
                  <wp:posOffset>1704975</wp:posOffset>
                </wp:positionH>
                <wp:positionV relativeFrom="paragraph">
                  <wp:posOffset>385445</wp:posOffset>
                </wp:positionV>
                <wp:extent cx="609600" cy="337820"/>
                <wp:effectExtent l="38100" t="0" r="19050" b="62230"/>
                <wp:wrapNone/>
                <wp:docPr id="299" name="Straight Arrow Connector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600" cy="337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42B373" id="Straight Arrow Connector 299" o:spid="_x0000_s1026" type="#_x0000_t32" style="position:absolute;margin-left:134.25pt;margin-top:30.35pt;width:48pt;height:26.6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">
                <v:stroke endarrow="block"/>
              </v:shape>
            </w:pict>
          </mc:Fallback>
        </mc:AlternateContent>
      </w:r>
      <w:r w:rsidRPr="00E66107">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0812CE4" wp14:editId="46A3E984">
                <wp:simplePos x="0" y="0"/>
                <wp:positionH relativeFrom="column">
                  <wp:posOffset>1506855</wp:posOffset>
                </wp:positionH>
                <wp:positionV relativeFrom="paragraph">
                  <wp:posOffset>961390</wp:posOffset>
                </wp:positionV>
                <wp:extent cx="678180" cy="90805"/>
                <wp:effectExtent l="38100" t="19050" r="102870" b="42545"/>
                <wp:wrapNone/>
                <wp:docPr id="10" name="Left Arrow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 cy="90805"/>
                        </a:xfrm>
                        <a:prstGeom prst="leftArrow">
                          <a:avLst>
                            <a:gd name="adj1" fmla="val 50000"/>
                            <a:gd name="adj2" fmla="val 186713"/>
                          </a:avLst>
                        </a:prstGeom>
                        <a:gradFill rotWithShape="0">
                          <a:gsLst>
                            <a:gs pos="0">
                              <a:srgbClr val="4BACC6"/>
                            </a:gs>
                            <a:gs pos="100000">
                              <a:srgbClr val="205867"/>
                            </a:gs>
                          </a:gsLst>
                          <a:lin ang="2700000" scaled="1"/>
                        </a:gradFill>
                        <a:ln w="12700">
                          <a:solidFill>
                            <a:srgbClr val="F2F2F2"/>
                          </a:solidFill>
                          <a:miter lim="800000"/>
                          <a:headEnd/>
                          <a:tailEnd/>
                        </a:ln>
                        <a:effectLst>
                          <a:outerShdw sy="50000" kx="-2453608" rotWithShape="0">
                            <a:srgbClr val="B6DDE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7C010" id="Left Arrow 10" o:spid="_x0000_s1026" type="#_x0000_t66" style="position:absolute;margin-left:118.65pt;margin-top:75.7pt;width:53.4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" fillcolor="#4bacc6" strokecolor="#f2f2f2" strokeweight="1pt">
                <v:fill color2="#205867" angle="45" focus="100%" type="gradient"/>
                <v:shadow on="t" type="perspective" color="#b6dde8" opacity=".5" origin=",.5" offset="0,0" matrix=",-56756f,,.5"/>
              </v:shape>
            </w:pict>
          </mc:Fallback>
        </mc:AlternateContent>
      </w:r>
      <w:r w:rsidRPr="00E66107">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94239C2" wp14:editId="1CAE81EC">
                <wp:simplePos x="0" y="0"/>
                <wp:positionH relativeFrom="column">
                  <wp:posOffset>1506855</wp:posOffset>
                </wp:positionH>
                <wp:positionV relativeFrom="paragraph">
                  <wp:posOffset>83820</wp:posOffset>
                </wp:positionV>
                <wp:extent cx="678180" cy="90805"/>
                <wp:effectExtent l="38100" t="19050" r="102870" b="42545"/>
                <wp:wrapNone/>
                <wp:docPr id="2" name="Left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 cy="90805"/>
                        </a:xfrm>
                        <a:prstGeom prst="leftArrow">
                          <a:avLst>
                            <a:gd name="adj1" fmla="val 50000"/>
                            <a:gd name="adj2" fmla="val 186713"/>
                          </a:avLst>
                        </a:prstGeom>
                        <a:gradFill rotWithShape="0">
                          <a:gsLst>
                            <a:gs pos="0">
                              <a:srgbClr val="4BACC6"/>
                            </a:gs>
                            <a:gs pos="100000">
                              <a:srgbClr val="205867"/>
                            </a:gs>
                          </a:gsLst>
                          <a:lin ang="2700000" scaled="1"/>
                        </a:gradFill>
                        <a:ln w="12700">
                          <a:solidFill>
                            <a:srgbClr val="F2F2F2"/>
                          </a:solidFill>
                          <a:miter lim="800000"/>
                          <a:headEnd/>
                          <a:tailEnd/>
                        </a:ln>
                        <a:effectLst>
                          <a:outerShdw sy="50000" kx="-2453608" rotWithShape="0">
                            <a:srgbClr val="B6DDE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A120C" id="Left Arrow 2" o:spid="_x0000_s1026" type="#_x0000_t66" style="position:absolute;margin-left:118.65pt;margin-top:6.6pt;width:53.4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" fillcolor="#4bacc6" strokecolor="#f2f2f2" strokeweight="1pt">
                <v:fill color2="#205867" angle="45" focus="100%" type="gradient"/>
                <v:shadow on="t" type="perspective" color="#b6dde8" opacity=".5" origin=",.5" offset="0,0" matrix=",-56756f,,.5"/>
              </v:shape>
            </w:pict>
          </mc:Fallback>
        </mc:AlternateContent>
      </w:r>
      <w:r w:rsidRPr="00E66107">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6DBB0848" wp14:editId="3B39B249">
                <wp:simplePos x="0" y="0"/>
                <wp:positionH relativeFrom="column">
                  <wp:posOffset>3735705</wp:posOffset>
                </wp:positionH>
                <wp:positionV relativeFrom="paragraph">
                  <wp:posOffset>594360</wp:posOffset>
                </wp:positionV>
                <wp:extent cx="678180" cy="90805"/>
                <wp:effectExtent l="38100" t="19050" r="102870" b="42545"/>
                <wp:wrapNone/>
                <wp:docPr id="11" name="Left Arrow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 cy="90805"/>
                        </a:xfrm>
                        <a:prstGeom prst="leftArrow">
                          <a:avLst>
                            <a:gd name="adj1" fmla="val 50000"/>
                            <a:gd name="adj2" fmla="val 186713"/>
                          </a:avLst>
                        </a:prstGeom>
                        <a:gradFill rotWithShape="0">
                          <a:gsLst>
                            <a:gs pos="0">
                              <a:srgbClr val="4BACC6"/>
                            </a:gs>
                            <a:gs pos="100000">
                              <a:srgbClr val="205867"/>
                            </a:gs>
                          </a:gsLst>
                          <a:lin ang="2700000" scaled="1"/>
                        </a:gradFill>
                        <a:ln w="12700">
                          <a:solidFill>
                            <a:srgbClr val="F2F2F2"/>
                          </a:solidFill>
                          <a:miter lim="800000"/>
                          <a:headEnd/>
                          <a:tailEnd/>
                        </a:ln>
                        <a:effectLst>
                          <a:outerShdw sy="50000" kx="-2453608" rotWithShape="0">
                            <a:srgbClr val="B6DDE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B3E87" id="Left Arrow 11" o:spid="_x0000_s1026" type="#_x0000_t66" style="position:absolute;margin-left:294.15pt;margin-top:46.8pt;width:53.4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" fillcolor="#4bacc6" strokecolor="#f2f2f2" strokeweight="1pt">
                <v:fill color2="#205867" angle="45" focus="100%" type="gradient"/>
                <v:shadow on="t" type="perspective" color="#b6dde8" opacity=".5" origin=",.5" offset="0,0" matrix=",-56756f,,.5"/>
              </v:shape>
            </w:pict>
          </mc:Fallback>
        </mc:AlternateContent>
      </w:r>
      <w:r w:rsidRPr="00E66107">
        <w:rPr>
          <w:rFonts w:ascii="Times New Roman" w:hAnsi="Times New Roman" w:cs="Times New Roman"/>
          <w:noProof/>
          <w:sz w:val="24"/>
          <w:szCs w:val="24"/>
        </w:rPr>
        <w:drawing>
          <wp:inline distT="0" distB="0" distL="0" distR="0" wp14:anchorId="2F796560" wp14:editId="5F32D8F5">
            <wp:extent cx="1800225" cy="1457325"/>
            <wp:effectExtent l="0" t="0" r="9525" b="9525"/>
            <wp:docPr id="5" name="Picture 5" descr="C:\Users\JONATHAN\Pictures\MONSURAT\IMG209903280107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JONATHAN\Pictures\MONSURAT\IMG2099032801071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0225" cy="1457325"/>
                    </a:xfrm>
                    <a:prstGeom prst="rect">
                      <a:avLst/>
                    </a:prstGeom>
                    <a:noFill/>
                    <a:ln>
                      <a:noFill/>
                    </a:ln>
                  </pic:spPr>
                </pic:pic>
              </a:graphicData>
            </a:graphic>
          </wp:inline>
        </w:drawing>
      </w:r>
      <w:r w:rsidRPr="00E66107">
        <w:rPr>
          <w:rFonts w:ascii="Times New Roman" w:hAnsi="Times New Roman" w:cs="Times New Roman"/>
          <w:sz w:val="24"/>
          <w:szCs w:val="24"/>
        </w:rPr>
        <w:t xml:space="preserve"> </w:t>
      </w:r>
      <w:r w:rsidRPr="00E66107">
        <w:rPr>
          <w:rFonts w:ascii="Times New Roman" w:hAnsi="Times New Roman" w:cs="Times New Roman"/>
          <w:sz w:val="24"/>
          <w:szCs w:val="24"/>
        </w:rPr>
        <w:tab/>
      </w:r>
      <w:r w:rsidRPr="00E66107">
        <w:rPr>
          <w:rFonts w:ascii="Times New Roman" w:hAnsi="Times New Roman" w:cs="Times New Roman"/>
          <w:noProof/>
          <w:sz w:val="24"/>
          <w:szCs w:val="24"/>
        </w:rPr>
        <w:drawing>
          <wp:inline distT="0" distB="0" distL="0" distR="0" wp14:anchorId="3CBA1AFA" wp14:editId="4AA9B8D8">
            <wp:extent cx="1800225" cy="1466850"/>
            <wp:effectExtent l="0" t="0" r="9525" b="0"/>
            <wp:docPr id="7" name="Picture 7" descr="C:\Users\JONATHAN\Pictures\MONSURAT\IMG209903280124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JONATHAN\Pictures\MONSURAT\IMG2099032801244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0225" cy="1466850"/>
                    </a:xfrm>
                    <a:prstGeom prst="rect">
                      <a:avLst/>
                    </a:prstGeom>
                    <a:noFill/>
                    <a:ln>
                      <a:noFill/>
                    </a:ln>
                  </pic:spPr>
                </pic:pic>
              </a:graphicData>
            </a:graphic>
          </wp:inline>
        </w:drawing>
      </w:r>
    </w:p>
    <w:p w14:paraId="347E3432" w14:textId="77777777" w:rsidR="003E39D4" w:rsidRPr="00E66107" w:rsidRDefault="003E39D4" w:rsidP="003E39D4">
      <w:pPr>
        <w:spacing w:after="0" w:line="240" w:lineRule="auto"/>
        <w:jc w:val="both"/>
        <w:rPr>
          <w:rFonts w:ascii="Times New Roman" w:hAnsi="Times New Roman" w:cs="Times New Roman"/>
          <w:b/>
          <w:sz w:val="24"/>
          <w:szCs w:val="24"/>
        </w:rPr>
      </w:pPr>
      <w:r w:rsidRPr="00E66107">
        <w:rPr>
          <w:rFonts w:ascii="Times New Roman" w:hAnsi="Times New Roman" w:cs="Times New Roman"/>
          <w:b/>
          <w:sz w:val="24"/>
          <w:szCs w:val="24"/>
        </w:rPr>
        <w:t>Plate 1: Photomicrographs representative of male Wistar rats’ liver pretreated with ALEAL and exposed to CCl</w:t>
      </w:r>
      <w:r w:rsidRPr="00E66107">
        <w:rPr>
          <w:rFonts w:ascii="Times New Roman" w:hAnsi="Times New Roman" w:cs="Times New Roman"/>
          <w:b/>
          <w:sz w:val="24"/>
          <w:szCs w:val="24"/>
          <w:vertAlign w:val="subscript"/>
        </w:rPr>
        <w:t xml:space="preserve">4 </w:t>
      </w:r>
      <w:r w:rsidRPr="00E66107">
        <w:rPr>
          <w:rFonts w:ascii="Times New Roman" w:hAnsi="Times New Roman" w:cs="Times New Roman"/>
          <w:b/>
          <w:sz w:val="24"/>
          <w:szCs w:val="24"/>
        </w:rPr>
        <w:t>(Photomicrographs of liver section stain by haematoxylin and eosin 400X).</w:t>
      </w:r>
    </w:p>
    <w:p w14:paraId="68A53CD3" w14:textId="77777777" w:rsidR="003E39D4" w:rsidRPr="00E66107" w:rsidRDefault="003E39D4" w:rsidP="003E39D4">
      <w:pPr>
        <w:spacing w:after="0" w:line="240" w:lineRule="auto"/>
        <w:jc w:val="both"/>
        <w:rPr>
          <w:rFonts w:ascii="Times New Roman" w:hAnsi="Times New Roman" w:cs="Times New Roman"/>
          <w:sz w:val="24"/>
          <w:szCs w:val="24"/>
        </w:rPr>
      </w:pPr>
      <w:r w:rsidRPr="00E66107">
        <w:rPr>
          <w:rFonts w:ascii="Times New Roman" w:hAnsi="Times New Roman" w:cs="Times New Roman"/>
          <w:sz w:val="24"/>
          <w:szCs w:val="24"/>
        </w:rPr>
        <w:t xml:space="preserve">  A (Normal Control), B (CCl</w:t>
      </w:r>
      <w:r w:rsidRPr="00E66107">
        <w:rPr>
          <w:rFonts w:ascii="Times New Roman" w:hAnsi="Times New Roman" w:cs="Times New Roman"/>
          <w:sz w:val="24"/>
          <w:szCs w:val="24"/>
          <w:vertAlign w:val="subscript"/>
        </w:rPr>
        <w:t>4</w:t>
      </w:r>
      <w:r w:rsidRPr="00E66107">
        <w:rPr>
          <w:rFonts w:ascii="Times New Roman" w:hAnsi="Times New Roman" w:cs="Times New Roman"/>
          <w:sz w:val="24"/>
          <w:szCs w:val="24"/>
        </w:rPr>
        <w:t xml:space="preserve"> only), C (CCl</w:t>
      </w:r>
      <w:r w:rsidRPr="00E66107">
        <w:rPr>
          <w:rFonts w:ascii="Times New Roman" w:hAnsi="Times New Roman" w:cs="Times New Roman"/>
          <w:sz w:val="24"/>
          <w:szCs w:val="24"/>
          <w:vertAlign w:val="subscript"/>
        </w:rPr>
        <w:t>4</w:t>
      </w:r>
      <w:r w:rsidRPr="00E66107">
        <w:rPr>
          <w:rFonts w:ascii="Times New Roman" w:hAnsi="Times New Roman" w:cs="Times New Roman"/>
          <w:sz w:val="24"/>
          <w:szCs w:val="24"/>
        </w:rPr>
        <w:t xml:space="preserve"> + Silymarin), D (CCl</w:t>
      </w:r>
      <w:r w:rsidRPr="00E66107">
        <w:rPr>
          <w:rFonts w:ascii="Times New Roman" w:hAnsi="Times New Roman" w:cs="Times New Roman"/>
          <w:sz w:val="24"/>
          <w:szCs w:val="24"/>
          <w:vertAlign w:val="subscript"/>
        </w:rPr>
        <w:t>4</w:t>
      </w:r>
      <w:r w:rsidRPr="00E66107">
        <w:rPr>
          <w:rFonts w:ascii="Times New Roman" w:hAnsi="Times New Roman" w:cs="Times New Roman"/>
          <w:sz w:val="24"/>
          <w:szCs w:val="24"/>
        </w:rPr>
        <w:t xml:space="preserve"> + ALEAL 115mg/kg body weight), E (CCl</w:t>
      </w:r>
      <w:r w:rsidRPr="00E66107">
        <w:rPr>
          <w:rFonts w:ascii="Times New Roman" w:hAnsi="Times New Roman" w:cs="Times New Roman"/>
          <w:sz w:val="24"/>
          <w:szCs w:val="24"/>
          <w:vertAlign w:val="subscript"/>
        </w:rPr>
        <w:t>4</w:t>
      </w:r>
      <w:r w:rsidRPr="00E66107">
        <w:rPr>
          <w:rFonts w:ascii="Times New Roman" w:hAnsi="Times New Roman" w:cs="Times New Roman"/>
          <w:sz w:val="24"/>
          <w:szCs w:val="24"/>
        </w:rPr>
        <w:t xml:space="preserve"> + ALEAL 230mg/kg body weight).</w:t>
      </w:r>
    </w:p>
    <w:p w14:paraId="261B629D" w14:textId="77777777" w:rsidR="003E39D4" w:rsidRPr="00E66107" w:rsidRDefault="003E39D4" w:rsidP="003E39D4">
      <w:pPr>
        <w:spacing w:after="0" w:line="240" w:lineRule="auto"/>
        <w:jc w:val="both"/>
        <w:rPr>
          <w:rFonts w:ascii="Times New Roman" w:hAnsi="Times New Roman" w:cs="Times New Roman"/>
          <w:sz w:val="24"/>
          <w:szCs w:val="24"/>
        </w:rPr>
      </w:pPr>
      <w:r w:rsidRPr="00E66107">
        <w:rPr>
          <w:rFonts w:ascii="Times New Roman" w:hAnsi="Times New Roman" w:cs="Times New Roman"/>
          <w:sz w:val="24"/>
          <w:szCs w:val="24"/>
        </w:rPr>
        <w:t xml:space="preserve"> CCl</w:t>
      </w:r>
      <w:r w:rsidRPr="00E66107">
        <w:rPr>
          <w:rFonts w:ascii="Times New Roman" w:hAnsi="Times New Roman" w:cs="Times New Roman"/>
          <w:sz w:val="24"/>
          <w:szCs w:val="24"/>
          <w:vertAlign w:val="subscript"/>
        </w:rPr>
        <w:t>4</w:t>
      </w:r>
      <w:r w:rsidRPr="00E66107">
        <w:rPr>
          <w:rFonts w:ascii="Times New Roman" w:hAnsi="Times New Roman" w:cs="Times New Roman"/>
          <w:sz w:val="24"/>
          <w:szCs w:val="24"/>
        </w:rPr>
        <w:t xml:space="preserve"> (Carbon tetrachloride), ALEAL (Aqueous leaf extract of </w:t>
      </w:r>
      <w:r w:rsidRPr="00E66107">
        <w:rPr>
          <w:rFonts w:ascii="Times New Roman" w:hAnsi="Times New Roman" w:cs="Times New Roman"/>
          <w:i/>
          <w:sz w:val="24"/>
          <w:szCs w:val="24"/>
        </w:rPr>
        <w:t>Anogeissus leiocarpus</w:t>
      </w:r>
      <w:r w:rsidRPr="00E66107">
        <w:rPr>
          <w:rFonts w:ascii="Times New Roman" w:hAnsi="Times New Roman" w:cs="Times New Roman"/>
          <w:sz w:val="24"/>
          <w:szCs w:val="24"/>
        </w:rPr>
        <w:t>)</w:t>
      </w:r>
      <w:r w:rsidRPr="00E66107">
        <w:rPr>
          <w:rFonts w:ascii="Times New Roman" w:hAnsi="Times New Roman" w:cs="Times New Roman"/>
          <w:i/>
          <w:sz w:val="24"/>
          <w:szCs w:val="24"/>
        </w:rPr>
        <w:t>.</w:t>
      </w:r>
    </w:p>
    <w:p w14:paraId="03A2F376" w14:textId="77777777" w:rsidR="003E39D4" w:rsidRPr="00E66107" w:rsidRDefault="003E39D4" w:rsidP="003E39D4">
      <w:pPr>
        <w:spacing w:after="0" w:line="240" w:lineRule="auto"/>
        <w:jc w:val="both"/>
        <w:rPr>
          <w:rFonts w:ascii="Times New Roman" w:hAnsi="Times New Roman" w:cs="Times New Roman"/>
          <w:sz w:val="24"/>
          <w:szCs w:val="24"/>
        </w:rPr>
      </w:pPr>
    </w:p>
    <w:p w14:paraId="1D62A1DA" w14:textId="77777777" w:rsidR="003E39D4" w:rsidRPr="00E66107" w:rsidRDefault="003E39D4" w:rsidP="003E39D4">
      <w:pPr>
        <w:jc w:val="both"/>
        <w:rPr>
          <w:rFonts w:ascii="Times New Roman" w:hAnsi="Times New Roman" w:cs="Times New Roman"/>
          <w:b/>
          <w:sz w:val="24"/>
          <w:szCs w:val="24"/>
        </w:rPr>
      </w:pPr>
      <w:r w:rsidRPr="00E66107">
        <w:rPr>
          <w:rFonts w:ascii="Times New Roman" w:hAnsi="Times New Roman" w:cs="Times New Roman"/>
          <w:b/>
          <w:sz w:val="24"/>
          <w:szCs w:val="24"/>
        </w:rPr>
        <w:t xml:space="preserve">Effects of aqueous leaf extract of </w:t>
      </w:r>
      <w:r w:rsidRPr="00E66107">
        <w:rPr>
          <w:rFonts w:ascii="Times New Roman" w:hAnsi="Times New Roman" w:cs="Times New Roman"/>
          <w:b/>
          <w:i/>
          <w:sz w:val="24"/>
          <w:szCs w:val="24"/>
        </w:rPr>
        <w:t xml:space="preserve">Anogeissus leiocarpus </w:t>
      </w:r>
      <w:r w:rsidRPr="00E66107">
        <w:rPr>
          <w:rFonts w:ascii="Times New Roman" w:hAnsi="Times New Roman" w:cs="Times New Roman"/>
          <w:b/>
          <w:sz w:val="24"/>
          <w:szCs w:val="24"/>
        </w:rPr>
        <w:t>(ALEAL) on the immunohistochemical (Bax) staining of livers of rats of Carbon tetrachloride-induced liver damage in male Wistar rats.</w:t>
      </w:r>
    </w:p>
    <w:p w14:paraId="6BE7F392" w14:textId="59CBB15B" w:rsidR="003E39D4" w:rsidRPr="00E66107" w:rsidRDefault="003E39D4" w:rsidP="003E39D4">
      <w:pPr>
        <w:spacing w:line="480" w:lineRule="auto"/>
        <w:jc w:val="both"/>
        <w:rPr>
          <w:rFonts w:ascii="Times New Roman" w:hAnsi="Times New Roman" w:cs="Times New Roman"/>
          <w:sz w:val="24"/>
          <w:szCs w:val="24"/>
        </w:rPr>
      </w:pPr>
      <w:r w:rsidRPr="00E66107">
        <w:rPr>
          <w:rFonts w:ascii="Times New Roman" w:hAnsi="Times New Roman" w:cs="Times New Roman"/>
          <w:sz w:val="24"/>
          <w:szCs w:val="24"/>
        </w:rPr>
        <w:t>Plate 2 revealed severe expression of Bax in the liver of rats exposed to CCl</w:t>
      </w:r>
      <w:r w:rsidRPr="00E66107">
        <w:rPr>
          <w:rFonts w:ascii="Times New Roman" w:hAnsi="Times New Roman" w:cs="Times New Roman"/>
          <w:sz w:val="24"/>
          <w:szCs w:val="24"/>
          <w:vertAlign w:val="subscript"/>
        </w:rPr>
        <w:t>4</w:t>
      </w:r>
      <w:r w:rsidRPr="00E66107">
        <w:rPr>
          <w:rFonts w:ascii="Times New Roman" w:hAnsi="Times New Roman" w:cs="Times New Roman"/>
          <w:sz w:val="24"/>
          <w:szCs w:val="24"/>
        </w:rPr>
        <w:t>. The groups pretreated with Silymarin showed a moderate expression of Bax when compared to the groups pretreated with AEAL which s</w:t>
      </w:r>
      <w:r w:rsidRPr="000A4404">
        <w:rPr>
          <w:rFonts w:ascii="Times New Roman" w:hAnsi="Times New Roman" w:cs="Times New Roman"/>
          <w:sz w:val="24"/>
          <w:szCs w:val="24"/>
          <w:highlight w:val="yellow"/>
        </w:rPr>
        <w:t>how</w:t>
      </w:r>
      <w:r w:rsidR="00773496" w:rsidRPr="000A4404">
        <w:rPr>
          <w:rFonts w:ascii="Times New Roman" w:hAnsi="Times New Roman" w:cs="Times New Roman"/>
          <w:sz w:val="24"/>
          <w:szCs w:val="24"/>
          <w:highlight w:val="yellow"/>
        </w:rPr>
        <w:t>ed</w:t>
      </w:r>
      <w:r w:rsidRPr="000A4404">
        <w:rPr>
          <w:rFonts w:ascii="Times New Roman" w:hAnsi="Times New Roman" w:cs="Times New Roman"/>
          <w:sz w:val="24"/>
          <w:szCs w:val="24"/>
          <w:highlight w:val="yellow"/>
        </w:rPr>
        <w:t xml:space="preserve"> </w:t>
      </w:r>
      <w:r w:rsidRPr="00E66107">
        <w:rPr>
          <w:rFonts w:ascii="Times New Roman" w:hAnsi="Times New Roman" w:cs="Times New Roman"/>
          <w:sz w:val="24"/>
          <w:szCs w:val="24"/>
        </w:rPr>
        <w:t xml:space="preserve">weak expression of Bax. Analysis of Bax expression when quantified </w:t>
      </w:r>
      <w:r w:rsidRPr="000A4404">
        <w:rPr>
          <w:rFonts w:ascii="Times New Roman" w:hAnsi="Times New Roman" w:cs="Times New Roman"/>
          <w:sz w:val="24"/>
          <w:szCs w:val="24"/>
          <w:highlight w:val="yellow"/>
        </w:rPr>
        <w:t xml:space="preserve">using </w:t>
      </w:r>
      <w:r w:rsidR="00773496" w:rsidRPr="000A4404">
        <w:rPr>
          <w:rFonts w:ascii="Times New Roman" w:hAnsi="Times New Roman" w:cs="Times New Roman"/>
          <w:sz w:val="24"/>
          <w:szCs w:val="24"/>
          <w:highlight w:val="yellow"/>
        </w:rPr>
        <w:t xml:space="preserve">the </w:t>
      </w:r>
      <w:r w:rsidRPr="000A4404">
        <w:rPr>
          <w:rFonts w:ascii="Times New Roman" w:hAnsi="Times New Roman" w:cs="Times New Roman"/>
          <w:sz w:val="24"/>
          <w:szCs w:val="24"/>
          <w:highlight w:val="yellow"/>
        </w:rPr>
        <w:t>Im</w:t>
      </w:r>
      <w:r w:rsidRPr="00E66107">
        <w:rPr>
          <w:rFonts w:ascii="Times New Roman" w:hAnsi="Times New Roman" w:cs="Times New Roman"/>
          <w:sz w:val="24"/>
          <w:szCs w:val="24"/>
        </w:rPr>
        <w:t>age J image processing program also revealed a significant increase in the level of Bax of male Wistar rats induced with CCl</w:t>
      </w:r>
      <w:r w:rsidRPr="00E66107">
        <w:rPr>
          <w:rFonts w:ascii="Times New Roman" w:hAnsi="Times New Roman" w:cs="Times New Roman"/>
          <w:sz w:val="24"/>
          <w:szCs w:val="24"/>
          <w:vertAlign w:val="subscript"/>
        </w:rPr>
        <w:t>4</w:t>
      </w:r>
      <w:r w:rsidRPr="00E66107">
        <w:rPr>
          <w:rFonts w:ascii="Times New Roman" w:hAnsi="Times New Roman" w:cs="Times New Roman"/>
          <w:sz w:val="24"/>
          <w:szCs w:val="24"/>
        </w:rPr>
        <w:t>. However, there was a significant difference (</w:t>
      </w:r>
      <w:r w:rsidRPr="00E66107">
        <w:rPr>
          <w:rFonts w:ascii="Times New Roman" w:hAnsi="Times New Roman" w:cs="Times New Roman"/>
          <w:i/>
          <w:sz w:val="24"/>
          <w:szCs w:val="24"/>
        </w:rPr>
        <w:t>P</w:t>
      </w:r>
      <w:r w:rsidRPr="00E66107">
        <w:rPr>
          <w:rFonts w:ascii="Times New Roman" w:hAnsi="Times New Roman" w:cs="Times New Roman"/>
          <w:sz w:val="24"/>
          <w:szCs w:val="24"/>
        </w:rPr>
        <w:t xml:space="preserve">&lt;0.05) in the groups pretreated with AEAL and the Silymarin group as </w:t>
      </w:r>
      <w:r w:rsidRPr="000A4404">
        <w:rPr>
          <w:rFonts w:ascii="Times New Roman" w:hAnsi="Times New Roman" w:cs="Times New Roman"/>
          <w:sz w:val="24"/>
          <w:szCs w:val="24"/>
          <w:highlight w:val="yellow"/>
        </w:rPr>
        <w:t xml:space="preserve">revealed in </w:t>
      </w:r>
      <w:r w:rsidR="00773496">
        <w:rPr>
          <w:rFonts w:ascii="Times New Roman" w:hAnsi="Times New Roman" w:cs="Times New Roman"/>
          <w:sz w:val="24"/>
          <w:szCs w:val="24"/>
        </w:rPr>
        <w:t>F</w:t>
      </w:r>
      <w:r w:rsidR="00773496" w:rsidRPr="00E66107">
        <w:rPr>
          <w:rFonts w:ascii="Times New Roman" w:hAnsi="Times New Roman" w:cs="Times New Roman"/>
          <w:sz w:val="24"/>
          <w:szCs w:val="24"/>
        </w:rPr>
        <w:t xml:space="preserve">igure </w:t>
      </w:r>
      <w:r w:rsidRPr="00E66107">
        <w:rPr>
          <w:rFonts w:ascii="Times New Roman" w:hAnsi="Times New Roman" w:cs="Times New Roman"/>
          <w:sz w:val="24"/>
          <w:szCs w:val="24"/>
        </w:rPr>
        <w:t>3.</w:t>
      </w:r>
    </w:p>
    <w:p w14:paraId="3C781DE7" w14:textId="77777777" w:rsidR="003E39D4" w:rsidRPr="00E66107" w:rsidRDefault="003E39D4" w:rsidP="003E39D4">
      <w:pPr>
        <w:spacing w:line="480" w:lineRule="auto"/>
        <w:jc w:val="both"/>
        <w:rPr>
          <w:rFonts w:ascii="Times New Roman" w:hAnsi="Times New Roman" w:cs="Times New Roman"/>
          <w:sz w:val="24"/>
          <w:szCs w:val="24"/>
        </w:rPr>
      </w:pPr>
    </w:p>
    <w:p w14:paraId="671FF61D" w14:textId="77777777" w:rsidR="003E39D4" w:rsidRPr="00E66107" w:rsidRDefault="003E39D4" w:rsidP="003E39D4">
      <w:pPr>
        <w:spacing w:line="480" w:lineRule="auto"/>
        <w:jc w:val="both"/>
        <w:rPr>
          <w:rFonts w:ascii="Times New Roman" w:hAnsi="Times New Roman" w:cs="Times New Roman"/>
          <w:sz w:val="24"/>
          <w:szCs w:val="24"/>
        </w:rPr>
      </w:pPr>
    </w:p>
    <w:p w14:paraId="5031B683" w14:textId="77777777" w:rsidR="003E39D4" w:rsidRPr="00E66107" w:rsidRDefault="003E39D4" w:rsidP="003E39D4">
      <w:pPr>
        <w:spacing w:line="480" w:lineRule="auto"/>
        <w:jc w:val="both"/>
        <w:rPr>
          <w:rFonts w:ascii="Times New Roman" w:hAnsi="Times New Roman" w:cs="Times New Roman"/>
          <w:sz w:val="24"/>
          <w:szCs w:val="24"/>
        </w:rPr>
      </w:pPr>
    </w:p>
    <w:p w14:paraId="1E33A2B9" w14:textId="77777777" w:rsidR="003E39D4" w:rsidRPr="00E66107" w:rsidRDefault="003E39D4" w:rsidP="003E39D4">
      <w:pPr>
        <w:spacing w:line="480" w:lineRule="auto"/>
        <w:jc w:val="both"/>
        <w:rPr>
          <w:rFonts w:ascii="Times New Roman" w:hAnsi="Times New Roman" w:cs="Times New Roman"/>
          <w:sz w:val="24"/>
          <w:szCs w:val="24"/>
        </w:rPr>
      </w:pPr>
    </w:p>
    <w:p w14:paraId="3DF65299" w14:textId="77777777" w:rsidR="003E39D4" w:rsidRPr="00E66107" w:rsidRDefault="003E39D4" w:rsidP="003E39D4">
      <w:pPr>
        <w:spacing w:line="480" w:lineRule="auto"/>
        <w:jc w:val="both"/>
        <w:rPr>
          <w:rFonts w:ascii="Times New Roman" w:hAnsi="Times New Roman" w:cs="Times New Roman"/>
          <w:sz w:val="24"/>
          <w:szCs w:val="24"/>
        </w:rPr>
      </w:pPr>
    </w:p>
    <w:p w14:paraId="2DCB84AF" w14:textId="77777777" w:rsidR="003E39D4" w:rsidRPr="00E66107" w:rsidRDefault="003E39D4" w:rsidP="003E39D4">
      <w:pPr>
        <w:spacing w:line="480" w:lineRule="auto"/>
        <w:jc w:val="both"/>
        <w:rPr>
          <w:rFonts w:ascii="Times New Roman" w:hAnsi="Times New Roman" w:cs="Times New Roman"/>
          <w:sz w:val="24"/>
          <w:szCs w:val="24"/>
        </w:rPr>
      </w:pPr>
    </w:p>
    <w:p w14:paraId="73AE03E4" w14:textId="77777777" w:rsidR="003E39D4" w:rsidRPr="00E66107" w:rsidRDefault="003E39D4" w:rsidP="003E39D4">
      <w:pPr>
        <w:spacing w:line="480" w:lineRule="auto"/>
        <w:jc w:val="both"/>
        <w:rPr>
          <w:rFonts w:ascii="Times New Roman" w:hAnsi="Times New Roman" w:cs="Times New Roman"/>
          <w:sz w:val="24"/>
          <w:szCs w:val="24"/>
        </w:rPr>
      </w:pPr>
    </w:p>
    <w:p w14:paraId="75D82541" w14:textId="77777777" w:rsidR="003E39D4" w:rsidRPr="00E66107" w:rsidRDefault="003E39D4" w:rsidP="003E39D4">
      <w:pPr>
        <w:spacing w:line="480" w:lineRule="auto"/>
        <w:jc w:val="both"/>
        <w:rPr>
          <w:rFonts w:ascii="Times New Roman" w:hAnsi="Times New Roman" w:cs="Times New Roman"/>
          <w:sz w:val="24"/>
          <w:szCs w:val="24"/>
        </w:rPr>
      </w:pPr>
    </w:p>
    <w:p w14:paraId="001A3052" w14:textId="77777777" w:rsidR="003E39D4" w:rsidRPr="00E66107" w:rsidRDefault="003E39D4" w:rsidP="003E39D4">
      <w:pPr>
        <w:spacing w:after="0" w:line="360" w:lineRule="auto"/>
        <w:jc w:val="both"/>
        <w:outlineLvl w:val="2"/>
        <w:rPr>
          <w:rFonts w:ascii="Times New Roman" w:hAnsi="Times New Roman" w:cs="Times New Roman"/>
          <w:noProof/>
          <w:sz w:val="24"/>
          <w:szCs w:val="24"/>
        </w:rPr>
      </w:pPr>
      <w:r w:rsidRPr="00E66107">
        <w:rPr>
          <w:rFonts w:ascii="Times New Roman" w:hAnsi="Times New Roman" w:cs="Times New Roman"/>
          <w:noProof/>
          <w:sz w:val="24"/>
          <w:szCs w:val="24"/>
        </w:rPr>
        <w:drawing>
          <wp:inline distT="0" distB="0" distL="0" distR="0" wp14:anchorId="6C251001" wp14:editId="64E3F8E3">
            <wp:extent cx="3110230" cy="1756250"/>
            <wp:effectExtent l="0" t="0" r="0" b="0"/>
            <wp:docPr id="22" name="Picture 22" descr="IMG20990504235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G209905042352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10230" cy="1756250"/>
                    </a:xfrm>
                    <a:prstGeom prst="rect">
                      <a:avLst/>
                    </a:prstGeom>
                    <a:noFill/>
                    <a:ln>
                      <a:noFill/>
                    </a:ln>
                  </pic:spPr>
                </pic:pic>
              </a:graphicData>
            </a:graphic>
          </wp:inline>
        </w:drawing>
      </w:r>
      <w:r w:rsidRPr="00E66107">
        <w:rPr>
          <w:rFonts w:ascii="Times New Roman" w:hAnsi="Times New Roman" w:cs="Times New Roman"/>
          <w:noProof/>
          <w:sz w:val="24"/>
          <w:szCs w:val="24"/>
        </w:rPr>
        <w:t xml:space="preserve">    </w:t>
      </w:r>
      <w:r w:rsidRPr="00E66107">
        <w:rPr>
          <w:rFonts w:ascii="Times New Roman" w:hAnsi="Times New Roman" w:cs="Times New Roman"/>
          <w:noProof/>
          <w:sz w:val="24"/>
          <w:szCs w:val="24"/>
        </w:rPr>
        <w:drawing>
          <wp:inline distT="0" distB="0" distL="0" distR="0" wp14:anchorId="18D0067E" wp14:editId="7F95C412">
            <wp:extent cx="2552700" cy="1704013"/>
            <wp:effectExtent l="0" t="0" r="0" b="0"/>
            <wp:docPr id="23" name="Picture 23" descr="IMG20990504235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G209905042354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52700" cy="1704013"/>
                    </a:xfrm>
                    <a:prstGeom prst="rect">
                      <a:avLst/>
                    </a:prstGeom>
                    <a:noFill/>
                    <a:ln>
                      <a:noFill/>
                    </a:ln>
                  </pic:spPr>
                </pic:pic>
              </a:graphicData>
            </a:graphic>
          </wp:inline>
        </w:drawing>
      </w:r>
    </w:p>
    <w:p w14:paraId="07BC5717" w14:textId="77777777" w:rsidR="003E39D4" w:rsidRPr="00E66107" w:rsidRDefault="003E39D4" w:rsidP="003E39D4">
      <w:pPr>
        <w:spacing w:after="0" w:line="360" w:lineRule="auto"/>
        <w:jc w:val="both"/>
        <w:outlineLvl w:val="2"/>
        <w:rPr>
          <w:rFonts w:ascii="Times New Roman" w:hAnsi="Times New Roman" w:cs="Times New Roman"/>
          <w:noProof/>
          <w:sz w:val="24"/>
          <w:szCs w:val="24"/>
        </w:rPr>
      </w:pPr>
      <w:r w:rsidRPr="00E66107">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2F8FDE80" wp14:editId="3D57A6FF">
                <wp:simplePos x="0" y="0"/>
                <wp:positionH relativeFrom="column">
                  <wp:posOffset>2348230</wp:posOffset>
                </wp:positionH>
                <wp:positionV relativeFrom="paragraph">
                  <wp:posOffset>428625</wp:posOffset>
                </wp:positionV>
                <wp:extent cx="786130" cy="90805"/>
                <wp:effectExtent l="38100" t="19050" r="0" b="42545"/>
                <wp:wrapNone/>
                <wp:docPr id="24" name="Left Arrow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130" cy="90805"/>
                        </a:xfrm>
                        <a:prstGeom prst="leftArrow">
                          <a:avLst>
                            <a:gd name="adj1" fmla="val 50000"/>
                            <a:gd name="adj2" fmla="val 2163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49F3C" id="Left Arrow 24" o:spid="_x0000_s1026" type="#_x0000_t66" style="position:absolute;margin-left:184.9pt;margin-top:33.75pt;width:61.9pt;height: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" adj="5399"/>
            </w:pict>
          </mc:Fallback>
        </mc:AlternateContent>
      </w:r>
      <w:r w:rsidRPr="00E66107">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66AE5DF3" wp14:editId="4A5720E6">
                <wp:simplePos x="0" y="0"/>
                <wp:positionH relativeFrom="column">
                  <wp:posOffset>104775</wp:posOffset>
                </wp:positionH>
                <wp:positionV relativeFrom="paragraph">
                  <wp:posOffset>89535</wp:posOffset>
                </wp:positionV>
                <wp:extent cx="314325" cy="295275"/>
                <wp:effectExtent l="0" t="0" r="28575" b="28575"/>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95275"/>
                        </a:xfrm>
                        <a:prstGeom prst="rect">
                          <a:avLst/>
                        </a:prstGeom>
                        <a:solidFill>
                          <a:srgbClr val="FFFFFF"/>
                        </a:solidFill>
                        <a:ln w="9525">
                          <a:solidFill>
                            <a:srgbClr val="000000"/>
                          </a:solidFill>
                          <a:miter lim="800000"/>
                          <a:headEnd/>
                          <a:tailEnd/>
                        </a:ln>
                      </wps:spPr>
                      <wps:txbx>
                        <w:txbxContent>
                          <w:p w14:paraId="092E72C7" w14:textId="77777777" w:rsidR="003E39D4" w:rsidRPr="00680245" w:rsidRDefault="003E39D4" w:rsidP="003E39D4">
                            <w:pPr>
                              <w:rPr>
                                <w:rFonts w:ascii="Times New Roman" w:hAnsi="Times New Roman" w:cs="Times New Roman"/>
                                <w:b/>
                                <w:sz w:val="32"/>
                                <w:szCs w:val="32"/>
                              </w:rPr>
                            </w:pPr>
                            <w:r w:rsidRPr="00680245">
                              <w:rPr>
                                <w:rFonts w:ascii="Times New Roman" w:hAnsi="Times New Roman" w:cs="Times New Roman"/>
                                <w:b/>
                                <w:sz w:val="32"/>
                                <w:szCs w:val="32"/>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AE5DF3" id="Text Box 2" o:spid="_x0000_s1031" type="#_x0000_t202" style="position:absolute;left:0;text-align:left;margin-left:8.25pt;margin-top:7.05pt;width:24.75pt;height:2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">
                <v:textbox>
                  <w:txbxContent>
                    <w:p w14:paraId="092E72C7" w14:textId="77777777" w:rsidR="003E39D4" w:rsidRPr="00680245" w:rsidRDefault="003E39D4" w:rsidP="003E39D4">
                      <w:pPr>
                        <w:rPr>
                          <w:rFonts w:ascii="Times New Roman" w:hAnsi="Times New Roman" w:cs="Times New Roman"/>
                          <w:b/>
                          <w:sz w:val="32"/>
                          <w:szCs w:val="32"/>
                        </w:rPr>
                      </w:pPr>
                      <w:r w:rsidRPr="00680245">
                        <w:rPr>
                          <w:rFonts w:ascii="Times New Roman" w:hAnsi="Times New Roman" w:cs="Times New Roman"/>
                          <w:b/>
                          <w:sz w:val="32"/>
                          <w:szCs w:val="32"/>
                        </w:rPr>
                        <w:t>C</w:t>
                      </w:r>
                    </w:p>
                  </w:txbxContent>
                </v:textbox>
              </v:shape>
            </w:pict>
          </mc:Fallback>
        </mc:AlternateContent>
      </w:r>
      <w:r w:rsidRPr="00E66107">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0B95E76F" wp14:editId="10DC3291">
                <wp:simplePos x="0" y="0"/>
                <wp:positionH relativeFrom="column">
                  <wp:posOffset>3276600</wp:posOffset>
                </wp:positionH>
                <wp:positionV relativeFrom="paragraph">
                  <wp:posOffset>89535</wp:posOffset>
                </wp:positionV>
                <wp:extent cx="295275" cy="295275"/>
                <wp:effectExtent l="0" t="0" r="28575" b="28575"/>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95275"/>
                        </a:xfrm>
                        <a:prstGeom prst="rect">
                          <a:avLst/>
                        </a:prstGeom>
                        <a:solidFill>
                          <a:srgbClr val="FFFFFF"/>
                        </a:solidFill>
                        <a:ln w="9525">
                          <a:solidFill>
                            <a:srgbClr val="000000"/>
                          </a:solidFill>
                          <a:miter lim="800000"/>
                          <a:headEnd/>
                          <a:tailEnd/>
                        </a:ln>
                      </wps:spPr>
                      <wps:txbx>
                        <w:txbxContent>
                          <w:p w14:paraId="594F2F77" w14:textId="77777777" w:rsidR="003E39D4" w:rsidRPr="00DE23C1" w:rsidRDefault="003E39D4" w:rsidP="003E39D4">
                            <w:pPr>
                              <w:rPr>
                                <w:rFonts w:ascii="Times New Roman" w:hAnsi="Times New Roman" w:cs="Times New Roman"/>
                                <w:b/>
                                <w:sz w:val="32"/>
                                <w:szCs w:val="32"/>
                              </w:rPr>
                            </w:pPr>
                            <w:r w:rsidRPr="00DE23C1">
                              <w:rPr>
                                <w:rFonts w:ascii="Times New Roman" w:hAnsi="Times New Roman" w:cs="Times New Roman"/>
                                <w:b/>
                                <w:sz w:val="32"/>
                                <w:szCs w:val="32"/>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95E76F" id="_x0000_s1032" type="#_x0000_t202" style="position:absolute;left:0;text-align:left;margin-left:258pt;margin-top:7.05pt;width:23.25pt;height:2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">
                <v:textbox>
                  <w:txbxContent>
                    <w:p w14:paraId="594F2F77" w14:textId="77777777" w:rsidR="003E39D4" w:rsidRPr="00DE23C1" w:rsidRDefault="003E39D4" w:rsidP="003E39D4">
                      <w:pPr>
                        <w:rPr>
                          <w:rFonts w:ascii="Times New Roman" w:hAnsi="Times New Roman" w:cs="Times New Roman"/>
                          <w:b/>
                          <w:sz w:val="32"/>
                          <w:szCs w:val="32"/>
                        </w:rPr>
                      </w:pPr>
                      <w:r w:rsidRPr="00DE23C1">
                        <w:rPr>
                          <w:rFonts w:ascii="Times New Roman" w:hAnsi="Times New Roman" w:cs="Times New Roman"/>
                          <w:b/>
                          <w:sz w:val="32"/>
                          <w:szCs w:val="32"/>
                        </w:rPr>
                        <w:t>D</w:t>
                      </w:r>
                    </w:p>
                  </w:txbxContent>
                </v:textbox>
              </v:shape>
            </w:pict>
          </mc:Fallback>
        </mc:AlternateContent>
      </w:r>
      <w:r w:rsidRPr="00E66107">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6A8CA2B7" wp14:editId="304B2F9B">
                <wp:simplePos x="0" y="0"/>
                <wp:positionH relativeFrom="column">
                  <wp:posOffset>4533901</wp:posOffset>
                </wp:positionH>
                <wp:positionV relativeFrom="paragraph">
                  <wp:posOffset>537210</wp:posOffset>
                </wp:positionV>
                <wp:extent cx="1495424" cy="47625"/>
                <wp:effectExtent l="38100" t="38100" r="10160" b="85725"/>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95424" cy="4762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C370DB7" id="Straight Arrow Connector 31" o:spid="_x0000_s1026" type="#_x0000_t32" style="position:absolute;margin-left:357pt;margin-top:42.3pt;width:117.75pt;height:3.7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">
                <v:stroke endarrow="block"/>
              </v:shape>
            </w:pict>
          </mc:Fallback>
        </mc:AlternateContent>
      </w:r>
      <w:r w:rsidRPr="00E66107">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4F6E2114" wp14:editId="4EF7D8F4">
                <wp:simplePos x="0" y="0"/>
                <wp:positionH relativeFrom="column">
                  <wp:posOffset>581026</wp:posOffset>
                </wp:positionH>
                <wp:positionV relativeFrom="paragraph">
                  <wp:posOffset>1165860</wp:posOffset>
                </wp:positionV>
                <wp:extent cx="1409699" cy="266700"/>
                <wp:effectExtent l="38100" t="0" r="19685" b="7620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09699" cy="26670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464E269" id="Straight Arrow Connector 29" o:spid="_x0000_s1026" type="#_x0000_t32" style="position:absolute;margin-left:45.75pt;margin-top:91.8pt;width:111pt;height:21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">
                <v:stroke endarrow="block"/>
              </v:shape>
            </w:pict>
          </mc:Fallback>
        </mc:AlternateContent>
      </w:r>
      <w:r w:rsidRPr="00E66107">
        <w:rPr>
          <w:rFonts w:ascii="Times New Roman" w:hAnsi="Times New Roman" w:cs="Times New Roman"/>
          <w:noProof/>
          <w:sz w:val="24"/>
          <w:szCs w:val="24"/>
        </w:rPr>
        <w:drawing>
          <wp:inline distT="0" distB="0" distL="0" distR="0" wp14:anchorId="154AD692" wp14:editId="73164EEA">
            <wp:extent cx="3048000" cy="1733550"/>
            <wp:effectExtent l="0" t="0" r="0" b="0"/>
            <wp:docPr id="14" name="Picture 14" descr="IMG20990505000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2099050500020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0" cy="1733550"/>
                    </a:xfrm>
                    <a:prstGeom prst="rect">
                      <a:avLst/>
                    </a:prstGeom>
                    <a:noFill/>
                    <a:ln>
                      <a:noFill/>
                    </a:ln>
                  </pic:spPr>
                </pic:pic>
              </a:graphicData>
            </a:graphic>
          </wp:inline>
        </w:drawing>
      </w:r>
      <w:r w:rsidRPr="00E66107">
        <w:rPr>
          <w:rFonts w:ascii="Times New Roman" w:hAnsi="Times New Roman" w:cs="Times New Roman"/>
          <w:noProof/>
          <w:sz w:val="24"/>
          <w:szCs w:val="24"/>
        </w:rPr>
        <w:t xml:space="preserve">      </w:t>
      </w:r>
      <w:r w:rsidRPr="00E66107">
        <w:rPr>
          <w:rFonts w:ascii="Times New Roman" w:hAnsi="Times New Roman" w:cs="Times New Roman"/>
          <w:noProof/>
          <w:sz w:val="24"/>
          <w:szCs w:val="24"/>
        </w:rPr>
        <w:drawing>
          <wp:inline distT="0" distB="0" distL="0" distR="0" wp14:anchorId="39DE69D5" wp14:editId="248EEFEA">
            <wp:extent cx="2667000" cy="1733014"/>
            <wp:effectExtent l="0" t="0" r="0" b="635"/>
            <wp:docPr id="30" name="Picture 30" descr="IMG20990505003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2099050500395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67000" cy="1733014"/>
                    </a:xfrm>
                    <a:prstGeom prst="rect">
                      <a:avLst/>
                    </a:prstGeom>
                    <a:noFill/>
                    <a:ln>
                      <a:noFill/>
                    </a:ln>
                  </pic:spPr>
                </pic:pic>
              </a:graphicData>
            </a:graphic>
          </wp:inline>
        </w:drawing>
      </w:r>
    </w:p>
    <w:p w14:paraId="5F65C1A8" w14:textId="77777777" w:rsidR="003E39D4" w:rsidRPr="00E66107" w:rsidRDefault="003E39D4" w:rsidP="003E39D4">
      <w:pPr>
        <w:spacing w:after="0" w:line="360" w:lineRule="auto"/>
        <w:jc w:val="both"/>
        <w:outlineLvl w:val="2"/>
        <w:rPr>
          <w:rFonts w:ascii="Times New Roman" w:hAnsi="Times New Roman" w:cs="Times New Roman"/>
          <w:noProof/>
          <w:sz w:val="24"/>
          <w:szCs w:val="24"/>
        </w:rPr>
      </w:pPr>
      <w:r w:rsidRPr="00E66107">
        <w:rPr>
          <w:rFonts w:ascii="Times New Roman" w:hAnsi="Times New Roman" w:cs="Times New Roman"/>
          <w:noProof/>
          <w:sz w:val="24"/>
          <w:szCs w:val="24"/>
        </w:rPr>
        <w:lastRenderedPageBreak/>
        <mc:AlternateContent>
          <mc:Choice Requires="wps">
            <w:drawing>
              <wp:anchor distT="0" distB="0" distL="114300" distR="114300" simplePos="0" relativeHeight="251680768" behindDoc="0" locked="0" layoutInCell="1" allowOverlap="1" wp14:anchorId="1A96AE30" wp14:editId="21A53A89">
                <wp:simplePos x="0" y="0"/>
                <wp:positionH relativeFrom="column">
                  <wp:posOffset>200025</wp:posOffset>
                </wp:positionH>
                <wp:positionV relativeFrom="paragraph">
                  <wp:posOffset>109220</wp:posOffset>
                </wp:positionV>
                <wp:extent cx="276225" cy="295275"/>
                <wp:effectExtent l="0" t="0" r="28575" b="28575"/>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95275"/>
                        </a:xfrm>
                        <a:prstGeom prst="rect">
                          <a:avLst/>
                        </a:prstGeom>
                        <a:solidFill>
                          <a:srgbClr val="FFFFFF"/>
                        </a:solidFill>
                        <a:ln w="9525">
                          <a:solidFill>
                            <a:srgbClr val="000000"/>
                          </a:solidFill>
                          <a:miter lim="800000"/>
                          <a:headEnd/>
                          <a:tailEnd/>
                        </a:ln>
                      </wps:spPr>
                      <wps:txbx>
                        <w:txbxContent>
                          <w:p w14:paraId="2D60AC6C" w14:textId="77777777" w:rsidR="003E39D4" w:rsidRPr="00DE23C1" w:rsidRDefault="003E39D4" w:rsidP="003E39D4">
                            <w:pPr>
                              <w:rPr>
                                <w:rFonts w:ascii="Times New Roman" w:hAnsi="Times New Roman" w:cs="Times New Roman"/>
                                <w:b/>
                                <w:caps/>
                                <w:sz w:val="32"/>
                                <w:szCs w:val="32"/>
                              </w:rPr>
                            </w:pPr>
                            <w:r w:rsidRPr="00DE23C1">
                              <w:rPr>
                                <w:rFonts w:ascii="Times New Roman" w:hAnsi="Times New Roman" w:cs="Times New Roman"/>
                                <w:b/>
                                <w:caps/>
                                <w:sz w:val="32"/>
                                <w:szCs w:val="32"/>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96AE30" id="_x0000_s1033" type="#_x0000_t202" style="position:absolute;left:0;text-align:left;margin-left:15.75pt;margin-top:8.6pt;width:21.75pt;height:2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">
                <v:textbox>
                  <w:txbxContent>
                    <w:p w14:paraId="2D60AC6C" w14:textId="77777777" w:rsidR="003E39D4" w:rsidRPr="00DE23C1" w:rsidRDefault="003E39D4" w:rsidP="003E39D4">
                      <w:pPr>
                        <w:rPr>
                          <w:rFonts w:ascii="Times New Roman" w:hAnsi="Times New Roman" w:cs="Times New Roman"/>
                          <w:b/>
                          <w:caps/>
                          <w:sz w:val="32"/>
                          <w:szCs w:val="32"/>
                        </w:rPr>
                      </w:pPr>
                      <w:r w:rsidRPr="00DE23C1">
                        <w:rPr>
                          <w:rFonts w:ascii="Times New Roman" w:hAnsi="Times New Roman" w:cs="Times New Roman"/>
                          <w:b/>
                          <w:caps/>
                          <w:sz w:val="32"/>
                          <w:szCs w:val="32"/>
                        </w:rPr>
                        <w:t>E</w:t>
                      </w:r>
                    </w:p>
                  </w:txbxContent>
                </v:textbox>
              </v:shape>
            </w:pict>
          </mc:Fallback>
        </mc:AlternateContent>
      </w:r>
      <w:r w:rsidRPr="00E66107">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5AC35E1A" wp14:editId="13FDFE77">
                <wp:simplePos x="0" y="0"/>
                <wp:positionH relativeFrom="column">
                  <wp:posOffset>1266825</wp:posOffset>
                </wp:positionH>
                <wp:positionV relativeFrom="paragraph">
                  <wp:posOffset>880110</wp:posOffset>
                </wp:positionV>
                <wp:extent cx="1581150" cy="109220"/>
                <wp:effectExtent l="38100" t="0" r="19050" b="8128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81150" cy="10922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44186AC" id="Straight Arrow Connector 34" o:spid="_x0000_s1026" type="#_x0000_t32" style="position:absolute;margin-left:99.75pt;margin-top:69.3pt;width:124.5pt;height:8.6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">
                <v:stroke endarrow="block"/>
              </v:shape>
            </w:pict>
          </mc:Fallback>
        </mc:AlternateContent>
      </w:r>
      <w:r w:rsidRPr="00E66107">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1217C7BE" wp14:editId="35567374">
                <wp:simplePos x="0" y="0"/>
                <wp:positionH relativeFrom="column">
                  <wp:posOffset>1143000</wp:posOffset>
                </wp:positionH>
                <wp:positionV relativeFrom="paragraph">
                  <wp:posOffset>289560</wp:posOffset>
                </wp:positionV>
                <wp:extent cx="1581150" cy="109220"/>
                <wp:effectExtent l="38100" t="0" r="19050" b="8128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81150" cy="10922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7E4CC90" id="Straight Arrow Connector 33" o:spid="_x0000_s1026" type="#_x0000_t32" style="position:absolute;margin-left:90pt;margin-top:22.8pt;width:124.5pt;height:8.6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">
                <v:stroke endarrow="block"/>
              </v:shape>
            </w:pict>
          </mc:Fallback>
        </mc:AlternateContent>
      </w:r>
      <w:r w:rsidRPr="00E66107">
        <w:rPr>
          <w:rFonts w:ascii="Times New Roman" w:hAnsi="Times New Roman" w:cs="Times New Roman"/>
          <w:noProof/>
          <w:sz w:val="24"/>
          <w:szCs w:val="24"/>
        </w:rPr>
        <w:drawing>
          <wp:inline distT="0" distB="0" distL="0" distR="0" wp14:anchorId="50980228" wp14:editId="72978A46">
            <wp:extent cx="2942590" cy="1590675"/>
            <wp:effectExtent l="0" t="0" r="0" b="9525"/>
            <wp:docPr id="32" name="Picture 32" descr="IMG20990505004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209905050046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42590" cy="1590675"/>
                    </a:xfrm>
                    <a:prstGeom prst="rect">
                      <a:avLst/>
                    </a:prstGeom>
                    <a:noFill/>
                    <a:ln>
                      <a:noFill/>
                    </a:ln>
                  </pic:spPr>
                </pic:pic>
              </a:graphicData>
            </a:graphic>
          </wp:inline>
        </w:drawing>
      </w:r>
    </w:p>
    <w:p w14:paraId="5DC32A01" w14:textId="77777777" w:rsidR="003E39D4" w:rsidRPr="00E66107" w:rsidRDefault="003E39D4" w:rsidP="003E39D4">
      <w:pPr>
        <w:spacing w:after="0" w:line="240" w:lineRule="auto"/>
        <w:jc w:val="both"/>
        <w:outlineLvl w:val="2"/>
        <w:rPr>
          <w:rFonts w:ascii="Times New Roman" w:hAnsi="Times New Roman" w:cs="Times New Roman"/>
          <w:b/>
          <w:sz w:val="24"/>
          <w:szCs w:val="24"/>
        </w:rPr>
      </w:pPr>
      <w:r w:rsidRPr="00E66107">
        <w:rPr>
          <w:rFonts w:ascii="Times New Roman" w:hAnsi="Times New Roman" w:cs="Times New Roman"/>
          <w:b/>
          <w:noProof/>
          <w:sz w:val="24"/>
          <w:szCs w:val="24"/>
        </w:rPr>
        <w:t xml:space="preserve">Plate 2: Liver images of Wistar rats treated with </w:t>
      </w:r>
      <w:r w:rsidRPr="00E66107">
        <w:rPr>
          <w:rFonts w:ascii="Times New Roman" w:hAnsi="Times New Roman" w:cs="Times New Roman"/>
          <w:b/>
          <w:sz w:val="24"/>
          <w:szCs w:val="24"/>
        </w:rPr>
        <w:t xml:space="preserve">aqueous leaf extract of </w:t>
      </w:r>
      <w:r w:rsidRPr="00E66107">
        <w:rPr>
          <w:rFonts w:ascii="Times New Roman" w:hAnsi="Times New Roman" w:cs="Times New Roman"/>
          <w:b/>
          <w:i/>
          <w:sz w:val="24"/>
          <w:szCs w:val="24"/>
        </w:rPr>
        <w:t xml:space="preserve">Anogeissus leiocarpus </w:t>
      </w:r>
      <w:r w:rsidRPr="00E66107">
        <w:rPr>
          <w:rFonts w:ascii="Times New Roman" w:hAnsi="Times New Roman" w:cs="Times New Roman"/>
          <w:b/>
          <w:sz w:val="24"/>
          <w:szCs w:val="24"/>
        </w:rPr>
        <w:t>upon CCl</w:t>
      </w:r>
      <w:r w:rsidRPr="00E66107">
        <w:rPr>
          <w:rFonts w:ascii="Times New Roman" w:hAnsi="Times New Roman" w:cs="Times New Roman"/>
          <w:b/>
          <w:sz w:val="24"/>
          <w:szCs w:val="24"/>
          <w:vertAlign w:val="subscript"/>
        </w:rPr>
        <w:t>4</w:t>
      </w:r>
      <w:r w:rsidRPr="00E66107">
        <w:rPr>
          <w:rFonts w:ascii="Times New Roman" w:hAnsi="Times New Roman" w:cs="Times New Roman"/>
          <w:b/>
          <w:sz w:val="24"/>
          <w:szCs w:val="24"/>
        </w:rPr>
        <w:t xml:space="preserve"> toxicity (Bax protein stain 400X).</w:t>
      </w:r>
    </w:p>
    <w:p w14:paraId="232F4D12" w14:textId="77777777" w:rsidR="003E39D4" w:rsidRPr="00E66107" w:rsidRDefault="003E39D4" w:rsidP="003E39D4">
      <w:pPr>
        <w:spacing w:after="0" w:line="240" w:lineRule="auto"/>
        <w:jc w:val="both"/>
        <w:outlineLvl w:val="2"/>
        <w:rPr>
          <w:rFonts w:ascii="Times New Roman" w:hAnsi="Times New Roman" w:cs="Times New Roman"/>
          <w:sz w:val="24"/>
          <w:szCs w:val="24"/>
        </w:rPr>
      </w:pPr>
      <w:r w:rsidRPr="00E66107">
        <w:rPr>
          <w:rFonts w:ascii="Times New Roman" w:hAnsi="Times New Roman" w:cs="Times New Roman"/>
          <w:sz w:val="24"/>
          <w:szCs w:val="24"/>
        </w:rPr>
        <w:t>A (Normal Control), B (CCl</w:t>
      </w:r>
      <w:r w:rsidRPr="00E66107">
        <w:rPr>
          <w:rFonts w:ascii="Times New Roman" w:hAnsi="Times New Roman" w:cs="Times New Roman"/>
          <w:sz w:val="24"/>
          <w:szCs w:val="24"/>
          <w:vertAlign w:val="subscript"/>
        </w:rPr>
        <w:t>4</w:t>
      </w:r>
      <w:r w:rsidRPr="00E66107">
        <w:rPr>
          <w:rFonts w:ascii="Times New Roman" w:hAnsi="Times New Roman" w:cs="Times New Roman"/>
          <w:sz w:val="24"/>
          <w:szCs w:val="24"/>
        </w:rPr>
        <w:t xml:space="preserve"> only), C (CCl</w:t>
      </w:r>
      <w:r w:rsidRPr="00E66107">
        <w:rPr>
          <w:rFonts w:ascii="Times New Roman" w:hAnsi="Times New Roman" w:cs="Times New Roman"/>
          <w:sz w:val="24"/>
          <w:szCs w:val="24"/>
          <w:vertAlign w:val="subscript"/>
        </w:rPr>
        <w:t>4</w:t>
      </w:r>
      <w:r w:rsidRPr="00E66107">
        <w:rPr>
          <w:rFonts w:ascii="Times New Roman" w:hAnsi="Times New Roman" w:cs="Times New Roman"/>
          <w:sz w:val="24"/>
          <w:szCs w:val="24"/>
        </w:rPr>
        <w:t xml:space="preserve"> + Silymarin), D (CCl</w:t>
      </w:r>
      <w:r w:rsidRPr="00E66107">
        <w:rPr>
          <w:rFonts w:ascii="Times New Roman" w:hAnsi="Times New Roman" w:cs="Times New Roman"/>
          <w:sz w:val="24"/>
          <w:szCs w:val="24"/>
          <w:vertAlign w:val="subscript"/>
        </w:rPr>
        <w:t>4</w:t>
      </w:r>
      <w:r w:rsidRPr="00E66107">
        <w:rPr>
          <w:rFonts w:ascii="Times New Roman" w:hAnsi="Times New Roman" w:cs="Times New Roman"/>
          <w:sz w:val="24"/>
          <w:szCs w:val="24"/>
        </w:rPr>
        <w:t xml:space="preserve"> + AEAL 115 mg/kg body weight), E (CCl</w:t>
      </w:r>
      <w:r w:rsidRPr="00E66107">
        <w:rPr>
          <w:rFonts w:ascii="Times New Roman" w:hAnsi="Times New Roman" w:cs="Times New Roman"/>
          <w:sz w:val="24"/>
          <w:szCs w:val="24"/>
          <w:vertAlign w:val="subscript"/>
        </w:rPr>
        <w:t>4</w:t>
      </w:r>
      <w:r w:rsidRPr="00E66107">
        <w:rPr>
          <w:rFonts w:ascii="Times New Roman" w:hAnsi="Times New Roman" w:cs="Times New Roman"/>
          <w:sz w:val="24"/>
          <w:szCs w:val="24"/>
        </w:rPr>
        <w:t xml:space="preserve"> + AEAL 230 mg/kg body weight). </w:t>
      </w:r>
    </w:p>
    <w:p w14:paraId="68AC63CF" w14:textId="77777777" w:rsidR="003E39D4" w:rsidRPr="00E66107" w:rsidRDefault="003E39D4" w:rsidP="003E39D4">
      <w:pPr>
        <w:spacing w:after="0" w:line="240" w:lineRule="auto"/>
        <w:jc w:val="both"/>
        <w:outlineLvl w:val="2"/>
        <w:rPr>
          <w:rFonts w:ascii="Times New Roman" w:hAnsi="Times New Roman" w:cs="Times New Roman"/>
          <w:sz w:val="24"/>
          <w:szCs w:val="24"/>
        </w:rPr>
      </w:pPr>
      <w:r w:rsidRPr="00E66107">
        <w:rPr>
          <w:rFonts w:ascii="Times New Roman" w:hAnsi="Times New Roman" w:cs="Times New Roman"/>
          <w:sz w:val="24"/>
          <w:szCs w:val="24"/>
        </w:rPr>
        <w:t>CCl</w:t>
      </w:r>
      <w:r w:rsidRPr="00E66107">
        <w:rPr>
          <w:rFonts w:ascii="Times New Roman" w:hAnsi="Times New Roman" w:cs="Times New Roman"/>
          <w:sz w:val="24"/>
          <w:szCs w:val="24"/>
          <w:vertAlign w:val="subscript"/>
        </w:rPr>
        <w:t xml:space="preserve">4 </w:t>
      </w:r>
      <w:r w:rsidRPr="00E66107">
        <w:rPr>
          <w:rFonts w:ascii="Times New Roman" w:hAnsi="Times New Roman" w:cs="Times New Roman"/>
          <w:sz w:val="24"/>
          <w:szCs w:val="24"/>
        </w:rPr>
        <w:t xml:space="preserve">(Carbon tetrachloride), AEAL (Aqueous leaf extract of </w:t>
      </w:r>
      <w:r w:rsidRPr="00E66107">
        <w:rPr>
          <w:rFonts w:ascii="Times New Roman" w:hAnsi="Times New Roman" w:cs="Times New Roman"/>
          <w:i/>
          <w:sz w:val="24"/>
          <w:szCs w:val="24"/>
        </w:rPr>
        <w:t>Anogeissus leiocarpus</w:t>
      </w:r>
      <w:r w:rsidRPr="00E66107">
        <w:rPr>
          <w:rFonts w:ascii="Times New Roman" w:hAnsi="Times New Roman" w:cs="Times New Roman"/>
          <w:sz w:val="24"/>
          <w:szCs w:val="24"/>
        </w:rPr>
        <w:t>).</w:t>
      </w:r>
    </w:p>
    <w:p w14:paraId="387DE5D9" w14:textId="77777777" w:rsidR="003E39D4" w:rsidRPr="00E66107" w:rsidRDefault="003E39D4" w:rsidP="003E39D4">
      <w:pPr>
        <w:spacing w:after="0" w:line="240" w:lineRule="auto"/>
        <w:jc w:val="both"/>
        <w:outlineLvl w:val="2"/>
        <w:rPr>
          <w:rFonts w:ascii="Times New Roman" w:hAnsi="Times New Roman" w:cs="Times New Roman"/>
          <w:sz w:val="24"/>
          <w:szCs w:val="24"/>
        </w:rPr>
      </w:pPr>
    </w:p>
    <w:p w14:paraId="50E79404" w14:textId="77777777" w:rsidR="003E39D4" w:rsidRPr="00E66107" w:rsidRDefault="003E39D4" w:rsidP="003E39D4">
      <w:pPr>
        <w:spacing w:after="0" w:line="240" w:lineRule="auto"/>
        <w:jc w:val="both"/>
        <w:outlineLvl w:val="2"/>
        <w:rPr>
          <w:rFonts w:ascii="Times New Roman" w:hAnsi="Times New Roman" w:cs="Times New Roman"/>
          <w:sz w:val="24"/>
          <w:szCs w:val="24"/>
        </w:rPr>
      </w:pPr>
    </w:p>
    <w:p w14:paraId="5F2643A7" w14:textId="77777777" w:rsidR="003E39D4" w:rsidRPr="00E66107" w:rsidRDefault="003E39D4" w:rsidP="003E39D4">
      <w:pPr>
        <w:spacing w:after="0" w:line="360" w:lineRule="auto"/>
        <w:jc w:val="both"/>
        <w:outlineLvl w:val="2"/>
        <w:rPr>
          <w:rFonts w:ascii="Times New Roman" w:hAnsi="Times New Roman" w:cs="Times New Roman"/>
          <w:sz w:val="24"/>
          <w:szCs w:val="24"/>
        </w:rPr>
      </w:pPr>
      <w:r w:rsidRPr="00E66107">
        <w:rPr>
          <w:rFonts w:ascii="Times New Roman" w:hAnsi="Times New Roman" w:cs="Times New Roman"/>
          <w:noProof/>
          <w:sz w:val="24"/>
          <w:szCs w:val="24"/>
        </w:rPr>
        <w:drawing>
          <wp:inline distT="0" distB="0" distL="0" distR="0" wp14:anchorId="3AA0A627" wp14:editId="4012F06C">
            <wp:extent cx="5229225" cy="280987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28624" cy="2809552"/>
                    </a:xfrm>
                    <a:prstGeom prst="rect">
                      <a:avLst/>
                    </a:prstGeom>
                    <a:noFill/>
                  </pic:spPr>
                </pic:pic>
              </a:graphicData>
            </a:graphic>
          </wp:inline>
        </w:drawing>
      </w:r>
    </w:p>
    <w:p w14:paraId="59FE5494" w14:textId="77777777" w:rsidR="003E39D4" w:rsidRPr="00E66107" w:rsidRDefault="003E39D4" w:rsidP="003E39D4">
      <w:pPr>
        <w:spacing w:after="0" w:line="360" w:lineRule="auto"/>
        <w:jc w:val="both"/>
        <w:rPr>
          <w:rFonts w:ascii="Times New Roman" w:hAnsi="Times New Roman" w:cs="Times New Roman"/>
          <w:b/>
          <w:sz w:val="24"/>
          <w:szCs w:val="24"/>
          <w:vertAlign w:val="subscript"/>
        </w:rPr>
      </w:pPr>
      <w:r w:rsidRPr="00E66107">
        <w:rPr>
          <w:rFonts w:ascii="Times New Roman" w:hAnsi="Times New Roman" w:cs="Times New Roman"/>
          <w:b/>
          <w:sz w:val="24"/>
          <w:szCs w:val="24"/>
        </w:rPr>
        <w:t xml:space="preserve">Figure 3: Effects of aqueous leaf extract of </w:t>
      </w:r>
      <w:r w:rsidRPr="00E66107">
        <w:rPr>
          <w:rFonts w:ascii="Times New Roman" w:hAnsi="Times New Roman" w:cs="Times New Roman"/>
          <w:b/>
          <w:i/>
          <w:sz w:val="24"/>
          <w:szCs w:val="24"/>
        </w:rPr>
        <w:t xml:space="preserve">Anogeissus leiocarpus </w:t>
      </w:r>
      <w:r w:rsidRPr="00E66107">
        <w:rPr>
          <w:rFonts w:ascii="Times New Roman" w:hAnsi="Times New Roman" w:cs="Times New Roman"/>
          <w:b/>
          <w:sz w:val="24"/>
          <w:szCs w:val="24"/>
        </w:rPr>
        <w:t>and Carbon tetrachloride administration on Bax Protein Expression.</w:t>
      </w:r>
    </w:p>
    <w:p w14:paraId="0CFF95B9" w14:textId="77777777" w:rsidR="003E39D4" w:rsidRPr="00E66107" w:rsidRDefault="003E39D4" w:rsidP="003E39D4">
      <w:pPr>
        <w:spacing w:after="0" w:line="360" w:lineRule="auto"/>
        <w:jc w:val="both"/>
        <w:rPr>
          <w:rFonts w:ascii="Times New Roman" w:hAnsi="Times New Roman" w:cs="Times New Roman"/>
          <w:sz w:val="24"/>
          <w:szCs w:val="24"/>
        </w:rPr>
      </w:pPr>
      <w:r w:rsidRPr="00E66107">
        <w:rPr>
          <w:rFonts w:ascii="Times New Roman" w:hAnsi="Times New Roman" w:cs="Times New Roman"/>
          <w:sz w:val="24"/>
          <w:szCs w:val="24"/>
        </w:rPr>
        <w:t xml:space="preserve">Values were expressed as mean ±SEM (n=3), Different alphabet superscripts indicate significant difference at </w:t>
      </w:r>
      <w:r w:rsidRPr="00E66107">
        <w:rPr>
          <w:rFonts w:ascii="Times New Roman" w:hAnsi="Times New Roman" w:cs="Times New Roman"/>
          <w:i/>
          <w:sz w:val="24"/>
          <w:szCs w:val="24"/>
        </w:rPr>
        <w:t>P</w:t>
      </w:r>
      <w:r w:rsidRPr="00E66107">
        <w:rPr>
          <w:rFonts w:ascii="Times New Roman" w:hAnsi="Times New Roman" w:cs="Times New Roman"/>
          <w:sz w:val="24"/>
          <w:szCs w:val="24"/>
        </w:rPr>
        <w:t>&lt;0.05, CCl</w:t>
      </w:r>
      <w:r w:rsidRPr="00E66107">
        <w:rPr>
          <w:rFonts w:ascii="Times New Roman" w:hAnsi="Times New Roman" w:cs="Times New Roman"/>
          <w:sz w:val="24"/>
          <w:szCs w:val="24"/>
          <w:vertAlign w:val="subscript"/>
        </w:rPr>
        <w:t xml:space="preserve">4 </w:t>
      </w:r>
      <w:r w:rsidRPr="00E66107">
        <w:rPr>
          <w:rFonts w:ascii="Times New Roman" w:hAnsi="Times New Roman" w:cs="Times New Roman"/>
          <w:sz w:val="24"/>
          <w:szCs w:val="24"/>
        </w:rPr>
        <w:softHyphen/>
        <w:t xml:space="preserve">(Carbon tetrachloride), AL 1 (Aqueous leaf extract of </w:t>
      </w:r>
      <w:r w:rsidRPr="00E66107">
        <w:rPr>
          <w:rFonts w:ascii="Times New Roman" w:hAnsi="Times New Roman" w:cs="Times New Roman"/>
          <w:i/>
          <w:sz w:val="24"/>
          <w:szCs w:val="24"/>
        </w:rPr>
        <w:t xml:space="preserve">Anogeissus leiocarpus </w:t>
      </w:r>
      <w:r w:rsidRPr="00E66107">
        <w:rPr>
          <w:rFonts w:ascii="Times New Roman" w:hAnsi="Times New Roman" w:cs="Times New Roman"/>
          <w:sz w:val="24"/>
          <w:szCs w:val="24"/>
        </w:rPr>
        <w:t xml:space="preserve">115 mg/kg body weight), AL 2 (Aqueous leaf extract of </w:t>
      </w:r>
      <w:r w:rsidRPr="00E66107">
        <w:rPr>
          <w:rFonts w:ascii="Times New Roman" w:hAnsi="Times New Roman" w:cs="Times New Roman"/>
          <w:i/>
          <w:sz w:val="24"/>
          <w:szCs w:val="24"/>
        </w:rPr>
        <w:t xml:space="preserve">Anogeissus leiocarpus </w:t>
      </w:r>
      <w:r w:rsidRPr="00E66107">
        <w:rPr>
          <w:rFonts w:ascii="Times New Roman" w:hAnsi="Times New Roman" w:cs="Times New Roman"/>
          <w:sz w:val="24"/>
          <w:szCs w:val="24"/>
        </w:rPr>
        <w:t>230 mg/kg body weight).</w:t>
      </w:r>
    </w:p>
    <w:p w14:paraId="441F9986" w14:textId="77777777" w:rsidR="003E39D4" w:rsidRPr="00E66107" w:rsidRDefault="003E39D4" w:rsidP="003E39D4">
      <w:pPr>
        <w:spacing w:after="0" w:line="240" w:lineRule="auto"/>
        <w:jc w:val="both"/>
        <w:outlineLvl w:val="2"/>
        <w:rPr>
          <w:rFonts w:ascii="Times New Roman" w:hAnsi="Times New Roman" w:cs="Times New Roman"/>
          <w:sz w:val="24"/>
          <w:szCs w:val="24"/>
        </w:rPr>
      </w:pPr>
    </w:p>
    <w:p w14:paraId="0B516FD1" w14:textId="77777777" w:rsidR="003E39D4" w:rsidRPr="00E66107" w:rsidRDefault="003E39D4" w:rsidP="003E39D4">
      <w:pPr>
        <w:spacing w:after="0" w:line="360" w:lineRule="auto"/>
        <w:jc w:val="both"/>
        <w:outlineLvl w:val="2"/>
        <w:rPr>
          <w:rFonts w:ascii="Times New Roman" w:eastAsia="Times New Roman" w:hAnsi="Times New Roman" w:cs="Times New Roman"/>
          <w:b/>
          <w:bCs/>
          <w:sz w:val="24"/>
          <w:szCs w:val="24"/>
        </w:rPr>
      </w:pPr>
      <w:r w:rsidRPr="00E66107">
        <w:rPr>
          <w:rFonts w:ascii="Times New Roman" w:eastAsia="Times New Roman" w:hAnsi="Times New Roman" w:cs="Times New Roman"/>
          <w:b/>
          <w:bCs/>
          <w:sz w:val="24"/>
          <w:szCs w:val="24"/>
        </w:rPr>
        <w:t>Discussion</w:t>
      </w:r>
    </w:p>
    <w:p w14:paraId="4E3B5900" w14:textId="77777777" w:rsidR="003E39D4" w:rsidRPr="00E66107" w:rsidRDefault="003E39D4" w:rsidP="003E39D4">
      <w:pPr>
        <w:spacing w:after="0" w:line="360" w:lineRule="auto"/>
        <w:jc w:val="both"/>
        <w:rPr>
          <w:rFonts w:ascii="Times New Roman" w:hAnsi="Times New Roman" w:cs="Times New Roman"/>
          <w:sz w:val="24"/>
          <w:szCs w:val="24"/>
        </w:rPr>
      </w:pPr>
      <w:r w:rsidRPr="00E66107">
        <w:rPr>
          <w:rFonts w:ascii="Times New Roman" w:hAnsi="Times New Roman" w:cs="Times New Roman"/>
          <w:sz w:val="24"/>
          <w:szCs w:val="24"/>
        </w:rPr>
        <w:lastRenderedPageBreak/>
        <w:t xml:space="preserve">Carbon tetrachloride a well-known chemical compound has various uses and exposure to it in a quantified amount can induce severe liver injury which can signify a serious health threat to human beings and animals (Unsal </w:t>
      </w:r>
      <w:r w:rsidRPr="00E66107">
        <w:rPr>
          <w:rFonts w:ascii="Times New Roman" w:hAnsi="Times New Roman" w:cs="Times New Roman"/>
          <w:i/>
          <w:sz w:val="24"/>
          <w:szCs w:val="24"/>
        </w:rPr>
        <w:t xml:space="preserve">et al., </w:t>
      </w:r>
      <w:r w:rsidRPr="00E66107">
        <w:rPr>
          <w:rFonts w:ascii="Times New Roman" w:hAnsi="Times New Roman" w:cs="Times New Roman"/>
          <w:sz w:val="24"/>
          <w:szCs w:val="24"/>
        </w:rPr>
        <w:t xml:space="preserve">2022). </w:t>
      </w:r>
    </w:p>
    <w:p w14:paraId="55D2380E" w14:textId="77777777" w:rsidR="003E39D4" w:rsidRPr="00E66107" w:rsidRDefault="003E39D4" w:rsidP="003E39D4">
      <w:pPr>
        <w:spacing w:after="0" w:line="360" w:lineRule="auto"/>
        <w:jc w:val="both"/>
        <w:rPr>
          <w:rFonts w:ascii="Times New Roman" w:hAnsi="Times New Roman" w:cs="Times New Roman"/>
          <w:sz w:val="24"/>
          <w:szCs w:val="24"/>
        </w:rPr>
      </w:pPr>
    </w:p>
    <w:p w14:paraId="7CBD4FDE" w14:textId="57DFE760" w:rsidR="003E39D4" w:rsidRPr="00E66107" w:rsidRDefault="003E39D4" w:rsidP="003E39D4">
      <w:pPr>
        <w:spacing w:after="0" w:line="360" w:lineRule="auto"/>
        <w:jc w:val="both"/>
        <w:rPr>
          <w:rFonts w:ascii="Times New Roman" w:hAnsi="Times New Roman" w:cs="Times New Roman"/>
          <w:sz w:val="24"/>
          <w:szCs w:val="24"/>
        </w:rPr>
      </w:pPr>
      <w:r w:rsidRPr="00E66107">
        <w:rPr>
          <w:rFonts w:ascii="Times New Roman" w:hAnsi="Times New Roman" w:cs="Times New Roman"/>
          <w:sz w:val="24"/>
          <w:szCs w:val="24"/>
        </w:rPr>
        <w:t>The effectiveness of any hepatoprotective drug depends on its ability to either restore normal hepatic functions impaired by hepatotoxins or minimize its harmful effects</w:t>
      </w:r>
      <w:r w:rsidR="00987708" w:rsidRPr="00987708">
        <w:rPr>
          <w:rFonts w:ascii="Times New Roman" w:eastAsia="Times New Roman" w:hAnsi="Times New Roman" w:cs="Times New Roman"/>
          <w:sz w:val="24"/>
          <w:szCs w:val="24"/>
        </w:rPr>
        <w:t xml:space="preserve"> </w:t>
      </w:r>
      <w:r w:rsidR="00987708">
        <w:rPr>
          <w:rFonts w:ascii="Times New Roman" w:eastAsia="Times New Roman" w:hAnsi="Times New Roman" w:cs="Times New Roman"/>
          <w:sz w:val="24"/>
          <w:szCs w:val="24"/>
        </w:rPr>
        <w:t>(</w:t>
      </w:r>
      <w:r w:rsidR="00987708" w:rsidRPr="00E66107">
        <w:rPr>
          <w:rFonts w:ascii="Times New Roman" w:eastAsia="Times New Roman" w:hAnsi="Times New Roman" w:cs="Times New Roman"/>
          <w:sz w:val="24"/>
          <w:szCs w:val="24"/>
        </w:rPr>
        <w:t>Patrick-Iwuanyanwu</w:t>
      </w:r>
      <w:r w:rsidR="00987708">
        <w:rPr>
          <w:rFonts w:ascii="Times New Roman" w:eastAsia="Times New Roman" w:hAnsi="Times New Roman" w:cs="Times New Roman"/>
          <w:sz w:val="24"/>
          <w:szCs w:val="24"/>
        </w:rPr>
        <w:t xml:space="preserve"> et al., 2010)</w:t>
      </w:r>
      <w:r w:rsidRPr="00E66107">
        <w:rPr>
          <w:rFonts w:ascii="Times New Roman" w:hAnsi="Times New Roman" w:cs="Times New Roman"/>
          <w:sz w:val="24"/>
          <w:szCs w:val="24"/>
        </w:rPr>
        <w:t xml:space="preserve">. The most common plant portion utilized in traditional medicine is the leaf, which is also the most abundant part of the plant (Priyadarshi and Ram, 2018). The frequency of using leaves rather than other plant components in Saudi Arabian traditional medicine was documented by Ullah </w:t>
      </w:r>
      <w:r w:rsidRPr="00E66107">
        <w:rPr>
          <w:rFonts w:ascii="Times New Roman" w:hAnsi="Times New Roman" w:cs="Times New Roman"/>
          <w:i/>
          <w:sz w:val="24"/>
          <w:szCs w:val="24"/>
        </w:rPr>
        <w:t xml:space="preserve">et </w:t>
      </w:r>
      <w:r w:rsidRPr="00E66107">
        <w:rPr>
          <w:rFonts w:ascii="Times New Roman" w:hAnsi="Times New Roman" w:cs="Times New Roman"/>
          <w:sz w:val="24"/>
          <w:szCs w:val="24"/>
        </w:rPr>
        <w:t xml:space="preserve">al., (2020). This could </w:t>
      </w:r>
      <w:r w:rsidRPr="000A4404">
        <w:rPr>
          <w:rFonts w:ascii="Times New Roman" w:hAnsi="Times New Roman" w:cs="Times New Roman"/>
          <w:sz w:val="24"/>
          <w:szCs w:val="24"/>
          <w:highlight w:val="yellow"/>
        </w:rPr>
        <w:t>be a re</w:t>
      </w:r>
      <w:r w:rsidRPr="00E66107">
        <w:rPr>
          <w:rFonts w:ascii="Times New Roman" w:hAnsi="Times New Roman" w:cs="Times New Roman"/>
          <w:sz w:val="24"/>
          <w:szCs w:val="24"/>
        </w:rPr>
        <w:t xml:space="preserve">sult of leaves having more phytochemicals than </w:t>
      </w:r>
      <w:r w:rsidR="008F30AD" w:rsidRPr="000A4404">
        <w:rPr>
          <w:rFonts w:ascii="Times New Roman" w:hAnsi="Times New Roman" w:cs="Times New Roman"/>
          <w:sz w:val="24"/>
          <w:szCs w:val="24"/>
          <w:highlight w:val="yellow"/>
        </w:rPr>
        <w:t>an</w:t>
      </w:r>
      <w:r w:rsidRPr="000A4404">
        <w:rPr>
          <w:rFonts w:ascii="Times New Roman" w:hAnsi="Times New Roman" w:cs="Times New Roman"/>
          <w:sz w:val="24"/>
          <w:szCs w:val="24"/>
          <w:highlight w:val="yellow"/>
        </w:rPr>
        <w:t>other plant component</w:t>
      </w:r>
      <w:r w:rsidR="008F30AD">
        <w:rPr>
          <w:rFonts w:ascii="Times New Roman" w:hAnsi="Times New Roman" w:cs="Times New Roman"/>
          <w:sz w:val="24"/>
          <w:szCs w:val="24"/>
          <w:highlight w:val="yellow"/>
        </w:rPr>
        <w:t>s</w:t>
      </w:r>
      <w:r w:rsidRPr="000A4404">
        <w:rPr>
          <w:rFonts w:ascii="Times New Roman" w:hAnsi="Times New Roman" w:cs="Times New Roman"/>
          <w:sz w:val="24"/>
          <w:szCs w:val="24"/>
          <w:highlight w:val="yellow"/>
        </w:rPr>
        <w:t xml:space="preserve">. Among </w:t>
      </w:r>
      <w:r w:rsidRPr="00E66107">
        <w:rPr>
          <w:rFonts w:ascii="Times New Roman" w:hAnsi="Times New Roman" w:cs="Times New Roman"/>
          <w:sz w:val="24"/>
          <w:szCs w:val="24"/>
        </w:rPr>
        <w:t xml:space="preserve">other plant parts, leaves are simple to evaluate and harvest. Furthermore, rapid leaf regeneration guarantees the maintenance of floristic richness. Plant compound containing saponnin, flavonoid, phenols and tannin are crucial for scavenging reactive oxygen species (ROS) and also reduce systemic inflammation that may arise as a result of hepatotoxins (Ebe </w:t>
      </w:r>
      <w:r w:rsidRPr="00E66107">
        <w:rPr>
          <w:rFonts w:ascii="Times New Roman" w:hAnsi="Times New Roman" w:cs="Times New Roman"/>
          <w:i/>
          <w:sz w:val="24"/>
          <w:szCs w:val="24"/>
        </w:rPr>
        <w:t xml:space="preserve">et </w:t>
      </w:r>
      <w:r w:rsidRPr="00E66107">
        <w:rPr>
          <w:rFonts w:ascii="Times New Roman" w:hAnsi="Times New Roman" w:cs="Times New Roman"/>
          <w:sz w:val="24"/>
          <w:szCs w:val="24"/>
        </w:rPr>
        <w:t xml:space="preserve">al., 2021; Adewole </w:t>
      </w:r>
      <w:r w:rsidRPr="00E66107">
        <w:rPr>
          <w:rFonts w:ascii="Times New Roman" w:hAnsi="Times New Roman" w:cs="Times New Roman"/>
          <w:i/>
          <w:iCs/>
          <w:sz w:val="24"/>
          <w:szCs w:val="24"/>
        </w:rPr>
        <w:t>et al</w:t>
      </w:r>
      <w:r w:rsidRPr="00E66107">
        <w:rPr>
          <w:rFonts w:ascii="Times New Roman" w:hAnsi="Times New Roman" w:cs="Times New Roman"/>
          <w:sz w:val="24"/>
          <w:szCs w:val="24"/>
        </w:rPr>
        <w:t xml:space="preserve">., 2022). Plants that contain polyphenolic compounds have the potentials </w:t>
      </w:r>
      <w:r w:rsidR="0050333B" w:rsidRPr="000A4404">
        <w:rPr>
          <w:rFonts w:ascii="Times New Roman" w:hAnsi="Times New Roman" w:cs="Times New Roman"/>
          <w:sz w:val="24"/>
          <w:szCs w:val="24"/>
          <w:highlight w:val="yellow"/>
        </w:rPr>
        <w:t>to prevent</w:t>
      </w:r>
      <w:r w:rsidRPr="000A4404">
        <w:rPr>
          <w:rFonts w:ascii="Times New Roman" w:hAnsi="Times New Roman" w:cs="Times New Roman"/>
          <w:sz w:val="24"/>
          <w:szCs w:val="24"/>
          <w:highlight w:val="yellow"/>
        </w:rPr>
        <w:t xml:space="preserve"> diseases </w:t>
      </w:r>
      <w:r w:rsidRPr="00E66107">
        <w:rPr>
          <w:rFonts w:ascii="Times New Roman" w:hAnsi="Times New Roman" w:cs="Times New Roman"/>
          <w:sz w:val="24"/>
          <w:szCs w:val="24"/>
        </w:rPr>
        <w:t>related to oxidative</w:t>
      </w:r>
      <w:r w:rsidR="0050333B">
        <w:rPr>
          <w:rFonts w:ascii="Times New Roman" w:hAnsi="Times New Roman" w:cs="Times New Roman"/>
          <w:sz w:val="24"/>
          <w:szCs w:val="24"/>
        </w:rPr>
        <w:t xml:space="preserve"> </w:t>
      </w:r>
      <w:r w:rsidRPr="00E66107">
        <w:rPr>
          <w:rFonts w:ascii="Times New Roman" w:hAnsi="Times New Roman" w:cs="Times New Roman"/>
          <w:sz w:val="24"/>
          <w:szCs w:val="24"/>
        </w:rPr>
        <w:t xml:space="preserve">damage mechanism such as cancer.  </w:t>
      </w:r>
    </w:p>
    <w:p w14:paraId="05ADEF3D"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p>
    <w:p w14:paraId="7CBFA6BC" w14:textId="2800FE7A" w:rsidR="003E39D4" w:rsidRPr="00AE0742"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Aqueous leaf extract of </w:t>
      </w:r>
      <w:r w:rsidRPr="00E66107">
        <w:rPr>
          <w:rFonts w:ascii="Times New Roman" w:eastAsia="Times New Roman" w:hAnsi="Times New Roman" w:cs="Times New Roman"/>
          <w:i/>
          <w:sz w:val="24"/>
          <w:szCs w:val="24"/>
        </w:rPr>
        <w:t>Anogeissus leiocarpus</w:t>
      </w:r>
      <w:r w:rsidRPr="00E66107">
        <w:rPr>
          <w:rFonts w:ascii="Times New Roman" w:eastAsia="Times New Roman" w:hAnsi="Times New Roman" w:cs="Times New Roman"/>
          <w:sz w:val="24"/>
          <w:szCs w:val="24"/>
        </w:rPr>
        <w:t xml:space="preserve"> (ALEAL) contains some known phytochemicals which enable it to prevent reactive oxygen </w:t>
      </w:r>
      <w:r w:rsidR="0050333B" w:rsidRPr="000A4404">
        <w:rPr>
          <w:rFonts w:ascii="Times New Roman" w:eastAsia="Times New Roman" w:hAnsi="Times New Roman" w:cs="Times New Roman"/>
          <w:sz w:val="24"/>
          <w:szCs w:val="24"/>
          <w:highlight w:val="yellow"/>
        </w:rPr>
        <w:t>species-</w:t>
      </w:r>
      <w:r w:rsidRPr="000A4404">
        <w:rPr>
          <w:rFonts w:ascii="Times New Roman" w:eastAsia="Times New Roman" w:hAnsi="Times New Roman" w:cs="Times New Roman"/>
          <w:sz w:val="24"/>
          <w:szCs w:val="24"/>
          <w:highlight w:val="yellow"/>
        </w:rPr>
        <w:t xml:space="preserve">related </w:t>
      </w:r>
      <w:r w:rsidRPr="00E66107">
        <w:rPr>
          <w:rFonts w:ascii="Times New Roman" w:eastAsia="Times New Roman" w:hAnsi="Times New Roman" w:cs="Times New Roman"/>
          <w:sz w:val="24"/>
          <w:szCs w:val="24"/>
        </w:rPr>
        <w:t xml:space="preserve">diseases and thus, it’s examined for in vivo hepatoprotective potentials in rats. In this study, the biochemical assay shows the reduction in systemic inflammation supports protein synthesis in hepatocytes, promoting recovery and maintaining homeostasis. The extract's ability to mitigate weight loss suggests its potential to counteract cachexia and improve overall metabolic function, which has clinical implications for managing liver disease-induced wasting syndromes. The tannin content may also reduce vascular leakage and inflammation, helping maintain systemic energy balance (Nwidu </w:t>
      </w:r>
      <w:r w:rsidRPr="00E66107">
        <w:rPr>
          <w:rFonts w:ascii="Times New Roman" w:eastAsia="Times New Roman" w:hAnsi="Times New Roman" w:cs="Times New Roman"/>
          <w:i/>
          <w:sz w:val="24"/>
          <w:szCs w:val="24"/>
        </w:rPr>
        <w:t>et al</w:t>
      </w:r>
      <w:r w:rsidRPr="00E66107">
        <w:rPr>
          <w:rFonts w:ascii="Times New Roman" w:eastAsia="Times New Roman" w:hAnsi="Times New Roman" w:cs="Times New Roman"/>
          <w:sz w:val="24"/>
          <w:szCs w:val="24"/>
        </w:rPr>
        <w:t>., 2023).</w:t>
      </w:r>
    </w:p>
    <w:p w14:paraId="5F6C879C" w14:textId="28415FCD" w:rsidR="003E39D4" w:rsidRPr="00E66107" w:rsidRDefault="003E39D4" w:rsidP="003E39D4">
      <w:pPr>
        <w:spacing w:after="0" w:line="360" w:lineRule="auto"/>
        <w:jc w:val="both"/>
        <w:rPr>
          <w:rFonts w:ascii="Times New Roman" w:hAnsi="Times New Roman" w:cs="Times New Roman"/>
          <w:sz w:val="24"/>
          <w:szCs w:val="24"/>
        </w:rPr>
      </w:pPr>
      <w:r w:rsidRPr="00E66107">
        <w:rPr>
          <w:rFonts w:ascii="Times New Roman" w:hAnsi="Times New Roman" w:cs="Times New Roman"/>
          <w:sz w:val="24"/>
          <w:szCs w:val="24"/>
        </w:rPr>
        <w:t xml:space="preserve">The serum aminotransferases; Alanine transaminase (ALT) and Aspartate transaminase (AST) serve as widely recognized biomarkers for liver necrosis. ALT and AST are confined to liver cell (Cytoplasm) thus once there </w:t>
      </w:r>
      <w:r w:rsidRPr="000A4404">
        <w:rPr>
          <w:rFonts w:ascii="Times New Roman" w:hAnsi="Times New Roman" w:cs="Times New Roman"/>
          <w:sz w:val="24"/>
          <w:szCs w:val="24"/>
          <w:highlight w:val="yellow"/>
        </w:rPr>
        <w:t xml:space="preserve">is </w:t>
      </w:r>
      <w:r w:rsidR="009A47C8" w:rsidRPr="000A4404">
        <w:rPr>
          <w:rFonts w:ascii="Times New Roman" w:hAnsi="Times New Roman" w:cs="Times New Roman"/>
          <w:sz w:val="24"/>
          <w:szCs w:val="24"/>
          <w:highlight w:val="yellow"/>
        </w:rPr>
        <w:t xml:space="preserve">an </w:t>
      </w:r>
      <w:r w:rsidRPr="000A4404">
        <w:rPr>
          <w:rFonts w:ascii="Times New Roman" w:hAnsi="Times New Roman" w:cs="Times New Roman"/>
          <w:sz w:val="24"/>
          <w:szCs w:val="24"/>
          <w:highlight w:val="yellow"/>
        </w:rPr>
        <w:t xml:space="preserve">increase in </w:t>
      </w:r>
      <w:r w:rsidRPr="00E66107">
        <w:rPr>
          <w:rFonts w:ascii="Times New Roman" w:hAnsi="Times New Roman" w:cs="Times New Roman"/>
          <w:sz w:val="24"/>
          <w:szCs w:val="24"/>
        </w:rPr>
        <w:t xml:space="preserve">their serum concentration, it’s an indication that the liver membrane is damaged or has </w:t>
      </w:r>
      <w:r w:rsidRPr="000A4404">
        <w:rPr>
          <w:rFonts w:ascii="Times New Roman" w:hAnsi="Times New Roman" w:cs="Times New Roman"/>
          <w:sz w:val="24"/>
          <w:szCs w:val="24"/>
          <w:highlight w:val="yellow"/>
        </w:rPr>
        <w:t>experience</w:t>
      </w:r>
      <w:r w:rsidR="009A47C8" w:rsidRPr="000A4404">
        <w:rPr>
          <w:rFonts w:ascii="Times New Roman" w:hAnsi="Times New Roman" w:cs="Times New Roman"/>
          <w:sz w:val="24"/>
          <w:szCs w:val="24"/>
          <w:highlight w:val="yellow"/>
        </w:rPr>
        <w:t>d</w:t>
      </w:r>
      <w:r w:rsidRPr="000A4404">
        <w:rPr>
          <w:rFonts w:ascii="Times New Roman" w:hAnsi="Times New Roman" w:cs="Times New Roman"/>
          <w:sz w:val="24"/>
          <w:szCs w:val="24"/>
          <w:highlight w:val="yellow"/>
        </w:rPr>
        <w:t xml:space="preserve"> inflamma</w:t>
      </w:r>
      <w:r w:rsidRPr="00E66107">
        <w:rPr>
          <w:rFonts w:ascii="Times New Roman" w:hAnsi="Times New Roman" w:cs="Times New Roman"/>
          <w:sz w:val="24"/>
          <w:szCs w:val="24"/>
        </w:rPr>
        <w:t xml:space="preserve">tion or the integrity of the cell membranes has been compromised or </w:t>
      </w:r>
      <w:r w:rsidRPr="000A4404">
        <w:rPr>
          <w:rFonts w:ascii="Times New Roman" w:hAnsi="Times New Roman" w:cs="Times New Roman"/>
          <w:sz w:val="24"/>
          <w:szCs w:val="24"/>
          <w:highlight w:val="yellow"/>
        </w:rPr>
        <w:t>is in infective co</w:t>
      </w:r>
      <w:r w:rsidRPr="00E66107">
        <w:rPr>
          <w:rFonts w:ascii="Times New Roman" w:hAnsi="Times New Roman" w:cs="Times New Roman"/>
          <w:sz w:val="24"/>
          <w:szCs w:val="24"/>
        </w:rPr>
        <w:t xml:space="preserve">nditions such as viral hepatitis. When </w:t>
      </w:r>
      <w:r w:rsidRPr="00E66107">
        <w:rPr>
          <w:rFonts w:ascii="Times New Roman" w:hAnsi="Times New Roman" w:cs="Times New Roman"/>
          <w:sz w:val="24"/>
          <w:szCs w:val="24"/>
        </w:rPr>
        <w:lastRenderedPageBreak/>
        <w:t xml:space="preserve">AST is also present in extra-hepatic tissues such as </w:t>
      </w:r>
      <w:r w:rsidR="009A47C8" w:rsidRPr="000A4404">
        <w:rPr>
          <w:rFonts w:ascii="Times New Roman" w:hAnsi="Times New Roman" w:cs="Times New Roman"/>
          <w:sz w:val="24"/>
          <w:szCs w:val="24"/>
          <w:highlight w:val="yellow"/>
        </w:rPr>
        <w:t xml:space="preserve">the </w:t>
      </w:r>
      <w:r w:rsidRPr="000A4404">
        <w:rPr>
          <w:rFonts w:ascii="Times New Roman" w:hAnsi="Times New Roman" w:cs="Times New Roman"/>
          <w:sz w:val="24"/>
          <w:szCs w:val="24"/>
          <w:highlight w:val="yellow"/>
        </w:rPr>
        <w:t>kidney and hea</w:t>
      </w:r>
      <w:r w:rsidRPr="00E66107">
        <w:rPr>
          <w:rFonts w:ascii="Times New Roman" w:hAnsi="Times New Roman" w:cs="Times New Roman"/>
          <w:sz w:val="24"/>
          <w:szCs w:val="24"/>
        </w:rPr>
        <w:t xml:space="preserve">rt with a simultaneous elevation in serum AST levels in conjunction with ALT level this may indicate hepatic injury (Tala </w:t>
      </w:r>
      <w:r w:rsidRPr="00E66107">
        <w:rPr>
          <w:rFonts w:ascii="Times New Roman" w:hAnsi="Times New Roman" w:cs="Times New Roman"/>
          <w:i/>
          <w:sz w:val="24"/>
          <w:szCs w:val="24"/>
        </w:rPr>
        <w:t>et al</w:t>
      </w:r>
      <w:r w:rsidRPr="00E66107">
        <w:rPr>
          <w:rFonts w:ascii="Times New Roman" w:hAnsi="Times New Roman" w:cs="Times New Roman"/>
          <w:sz w:val="24"/>
          <w:szCs w:val="24"/>
        </w:rPr>
        <w:t xml:space="preserve">., 2015).  An increased serum AST and ALT concentration signifies inflammation of the hepatocytes due to the buildup of reactive NAPQI radicals from increased carbon tetrachloride metabolism. </w:t>
      </w:r>
      <w:r w:rsidRPr="00E66107">
        <w:rPr>
          <w:rFonts w:ascii="Times New Roman" w:eastAsia="Times New Roman" w:hAnsi="Times New Roman" w:cs="Times New Roman"/>
          <w:sz w:val="24"/>
          <w:szCs w:val="24"/>
        </w:rPr>
        <w:t xml:space="preserve">The elevated levels of ALT, AST, and ALP in untreated groups indicate hepatocellular damage and biliary dysfunction, both hallmarks of liver toxicity. These enzymes were significantly normalized in ALEAL-treated groups, highlighting the extract's hepatoprotective effects. Phytochemicals present in the plant such as Flavonoids stabilize cell membranes and inhibit lipid peroxidation by reducing reactive oxygen species (ROS), while tannins and alkaloids chelate metal ions and prevent ROS-mediated enzyme leakage (Oyedemi </w:t>
      </w:r>
      <w:r w:rsidRPr="00E66107">
        <w:rPr>
          <w:rFonts w:ascii="Times New Roman" w:eastAsia="Times New Roman" w:hAnsi="Times New Roman" w:cs="Times New Roman"/>
          <w:i/>
          <w:sz w:val="24"/>
          <w:szCs w:val="24"/>
        </w:rPr>
        <w:t>et al</w:t>
      </w:r>
      <w:r w:rsidRPr="00E66107">
        <w:rPr>
          <w:rFonts w:ascii="Times New Roman" w:eastAsia="Times New Roman" w:hAnsi="Times New Roman" w:cs="Times New Roman"/>
          <w:sz w:val="24"/>
          <w:szCs w:val="24"/>
        </w:rPr>
        <w:t xml:space="preserve">., 2022). </w:t>
      </w:r>
      <w:r w:rsidRPr="00E66107">
        <w:rPr>
          <w:rFonts w:ascii="Times New Roman" w:hAnsi="Times New Roman" w:cs="Times New Roman"/>
          <w:sz w:val="24"/>
          <w:szCs w:val="24"/>
        </w:rPr>
        <w:t>The enzymes ALT in particular is increased which is an indication of liver damage. Its increase in the mitochondrial serves as a sensitive indicator of damage to cytoplasmic and /or the mitochondrial membranes suggesting liver injury caused by hepatotoxins. The group administered with CCl</w:t>
      </w:r>
      <w:r w:rsidRPr="00E66107">
        <w:rPr>
          <w:rFonts w:ascii="Times New Roman" w:hAnsi="Times New Roman" w:cs="Times New Roman"/>
          <w:sz w:val="24"/>
          <w:szCs w:val="24"/>
          <w:vertAlign w:val="subscript"/>
        </w:rPr>
        <w:t>4</w:t>
      </w:r>
      <w:r w:rsidRPr="00E66107">
        <w:rPr>
          <w:rFonts w:ascii="Times New Roman" w:hAnsi="Times New Roman" w:cs="Times New Roman"/>
          <w:sz w:val="24"/>
          <w:szCs w:val="24"/>
        </w:rPr>
        <w:t xml:space="preserve"> only experienced and elevated serum liver marker enzymes which is an indication of cellular leakage and loss of liver functional integrity. The groups pretreated with ALEAL (115mg/kg and 230mg/kg body weight) </w:t>
      </w:r>
      <w:r w:rsidRPr="000A4404">
        <w:rPr>
          <w:rFonts w:ascii="Times New Roman" w:hAnsi="Times New Roman" w:cs="Times New Roman"/>
          <w:sz w:val="24"/>
          <w:szCs w:val="24"/>
          <w:highlight w:val="yellow"/>
        </w:rPr>
        <w:t>experience</w:t>
      </w:r>
      <w:r w:rsidR="009A47C8" w:rsidRPr="000A4404">
        <w:rPr>
          <w:rFonts w:ascii="Times New Roman" w:hAnsi="Times New Roman" w:cs="Times New Roman"/>
          <w:sz w:val="24"/>
          <w:szCs w:val="24"/>
          <w:highlight w:val="yellow"/>
        </w:rPr>
        <w:t>d</w:t>
      </w:r>
      <w:r w:rsidRPr="000A4404">
        <w:rPr>
          <w:rFonts w:ascii="Times New Roman" w:hAnsi="Times New Roman" w:cs="Times New Roman"/>
          <w:sz w:val="24"/>
          <w:szCs w:val="24"/>
          <w:highlight w:val="yellow"/>
        </w:rPr>
        <w:t xml:space="preserve"> a significant red</w:t>
      </w:r>
      <w:r w:rsidRPr="00E66107">
        <w:rPr>
          <w:rFonts w:ascii="Times New Roman" w:hAnsi="Times New Roman" w:cs="Times New Roman"/>
          <w:sz w:val="24"/>
          <w:szCs w:val="24"/>
        </w:rPr>
        <w:t>uction (</w:t>
      </w:r>
      <w:r w:rsidRPr="00E66107">
        <w:rPr>
          <w:rFonts w:ascii="Times New Roman" w:hAnsi="Times New Roman" w:cs="Times New Roman"/>
          <w:i/>
          <w:sz w:val="24"/>
          <w:szCs w:val="24"/>
        </w:rPr>
        <w:t>P</w:t>
      </w:r>
      <w:r w:rsidRPr="00E66107">
        <w:rPr>
          <w:rFonts w:ascii="Times New Roman" w:hAnsi="Times New Roman" w:cs="Times New Roman"/>
          <w:sz w:val="24"/>
          <w:szCs w:val="24"/>
        </w:rPr>
        <w:t xml:space="preserve">&lt;0.05) in the level of liver enzyme markers concentration when compared with the </w:t>
      </w:r>
      <w:r w:rsidR="009A47C8" w:rsidRPr="000A4404">
        <w:rPr>
          <w:rFonts w:ascii="Times New Roman" w:hAnsi="Times New Roman" w:cs="Times New Roman"/>
          <w:sz w:val="24"/>
          <w:szCs w:val="24"/>
          <w:highlight w:val="yellow"/>
        </w:rPr>
        <w:t>CCl</w:t>
      </w:r>
      <w:r w:rsidR="009A47C8" w:rsidRPr="000A4404">
        <w:rPr>
          <w:rFonts w:ascii="Times New Roman" w:hAnsi="Times New Roman" w:cs="Times New Roman"/>
          <w:sz w:val="24"/>
          <w:szCs w:val="24"/>
          <w:highlight w:val="yellow"/>
          <w:vertAlign w:val="subscript"/>
        </w:rPr>
        <w:t>4-</w:t>
      </w:r>
      <w:r w:rsidR="00F63DDA" w:rsidRPr="000A4404">
        <w:rPr>
          <w:rFonts w:ascii="Times New Roman" w:hAnsi="Times New Roman" w:cs="Times New Roman"/>
          <w:sz w:val="24"/>
          <w:szCs w:val="24"/>
          <w:highlight w:val="yellow"/>
        </w:rPr>
        <w:t xml:space="preserve">induced </w:t>
      </w:r>
      <w:r w:rsidR="00F63DDA">
        <w:rPr>
          <w:rFonts w:ascii="Times New Roman" w:hAnsi="Times New Roman" w:cs="Times New Roman"/>
          <w:sz w:val="24"/>
          <w:szCs w:val="24"/>
        </w:rPr>
        <w:t>group</w:t>
      </w:r>
      <w:r w:rsidRPr="00E66107">
        <w:rPr>
          <w:rFonts w:ascii="Times New Roman" w:hAnsi="Times New Roman" w:cs="Times New Roman"/>
          <w:sz w:val="24"/>
          <w:szCs w:val="24"/>
        </w:rPr>
        <w:t xml:space="preserve">, this correlate with the facts that serum levels of aminotransminase usually return to normal when hepatocytes are been regenerated as well as healing of hepatic parenchyma (Adewale </w:t>
      </w:r>
      <w:r w:rsidRPr="00E66107">
        <w:rPr>
          <w:rFonts w:ascii="Times New Roman" w:hAnsi="Times New Roman" w:cs="Times New Roman"/>
          <w:i/>
          <w:sz w:val="24"/>
          <w:szCs w:val="24"/>
        </w:rPr>
        <w:t>et al</w:t>
      </w:r>
      <w:r w:rsidRPr="00E66107">
        <w:rPr>
          <w:rFonts w:ascii="Times New Roman" w:hAnsi="Times New Roman" w:cs="Times New Roman"/>
          <w:sz w:val="24"/>
          <w:szCs w:val="24"/>
        </w:rPr>
        <w:t xml:space="preserve">., 2014). </w:t>
      </w:r>
      <w:r w:rsidRPr="00E66107">
        <w:rPr>
          <w:rFonts w:ascii="Times New Roman" w:eastAsia="Times New Roman" w:hAnsi="Times New Roman" w:cs="Times New Roman"/>
          <w:sz w:val="24"/>
          <w:szCs w:val="24"/>
        </w:rPr>
        <w:t xml:space="preserve">The biochemical principle involves the preservation of hepatocyte integrity by neutralizing oxidative stress, which otherwise disrupts membrane-bound enzymes. Saponins (identified in ALEAL) might also regulate bile acid secretion, alleviating cholestasis observed in the untreated groups (Abdullahi </w:t>
      </w:r>
      <w:r w:rsidRPr="00E66107">
        <w:rPr>
          <w:rFonts w:ascii="Times New Roman" w:eastAsia="Times New Roman" w:hAnsi="Times New Roman" w:cs="Times New Roman"/>
          <w:i/>
          <w:sz w:val="24"/>
          <w:szCs w:val="24"/>
        </w:rPr>
        <w:t>et al</w:t>
      </w:r>
      <w:r w:rsidRPr="00E66107">
        <w:rPr>
          <w:rFonts w:ascii="Times New Roman" w:eastAsia="Times New Roman" w:hAnsi="Times New Roman" w:cs="Times New Roman"/>
          <w:sz w:val="24"/>
          <w:szCs w:val="24"/>
        </w:rPr>
        <w:t xml:space="preserve">., 2023). Clinical applications could include managing drug-induced liver injuries and chronic liver diseases, where enzymes elevation serves as a diagnostic marker of damage. Any activity alteration of these enzymes results </w:t>
      </w:r>
      <w:r w:rsidRPr="000A4404">
        <w:rPr>
          <w:rFonts w:ascii="Times New Roman" w:eastAsia="Times New Roman" w:hAnsi="Times New Roman" w:cs="Times New Roman"/>
          <w:sz w:val="24"/>
          <w:szCs w:val="24"/>
          <w:highlight w:val="yellow"/>
        </w:rPr>
        <w:t>in cellu</w:t>
      </w:r>
      <w:r w:rsidRPr="00E66107">
        <w:rPr>
          <w:rFonts w:ascii="Times New Roman" w:eastAsia="Times New Roman" w:hAnsi="Times New Roman" w:cs="Times New Roman"/>
          <w:sz w:val="24"/>
          <w:szCs w:val="24"/>
        </w:rPr>
        <w:t xml:space="preserve">lar impairment, tissue lesion and dysfunction. </w:t>
      </w:r>
      <w:r w:rsidRPr="00E66107">
        <w:rPr>
          <w:rFonts w:ascii="Times New Roman" w:hAnsi="Times New Roman" w:cs="Times New Roman"/>
          <w:sz w:val="24"/>
          <w:szCs w:val="24"/>
        </w:rPr>
        <w:t>This healing process could be linked to the liver</w:t>
      </w:r>
      <w:r w:rsidR="009A47C8">
        <w:rPr>
          <w:rFonts w:ascii="Times New Roman" w:hAnsi="Times New Roman" w:cs="Times New Roman"/>
          <w:sz w:val="24"/>
          <w:szCs w:val="24"/>
        </w:rPr>
        <w:t>'</w:t>
      </w:r>
      <w:r w:rsidRPr="00E66107">
        <w:rPr>
          <w:rFonts w:ascii="Times New Roman" w:hAnsi="Times New Roman" w:cs="Times New Roman"/>
          <w:sz w:val="24"/>
          <w:szCs w:val="24"/>
        </w:rPr>
        <w:t xml:space="preserve">s remarkable capacity for regeneration and rejuvenation following injury or damage. Thus the ALEAL demonstrated the ability to </w:t>
      </w:r>
      <w:r w:rsidRPr="000A4404">
        <w:rPr>
          <w:rFonts w:ascii="Times New Roman" w:hAnsi="Times New Roman" w:cs="Times New Roman"/>
          <w:sz w:val="24"/>
          <w:szCs w:val="24"/>
          <w:highlight w:val="yellow"/>
        </w:rPr>
        <w:t xml:space="preserve">alleviate </w:t>
      </w:r>
      <w:r w:rsidR="009A47C8" w:rsidRPr="000A4404">
        <w:rPr>
          <w:rFonts w:ascii="Times New Roman" w:hAnsi="Times New Roman" w:cs="Times New Roman"/>
          <w:sz w:val="24"/>
          <w:szCs w:val="24"/>
          <w:highlight w:val="yellow"/>
        </w:rPr>
        <w:t>CCl</w:t>
      </w:r>
      <w:r w:rsidR="009A47C8" w:rsidRPr="000A4404">
        <w:rPr>
          <w:rFonts w:ascii="Times New Roman" w:hAnsi="Times New Roman" w:cs="Times New Roman"/>
          <w:sz w:val="24"/>
          <w:szCs w:val="24"/>
          <w:highlight w:val="yellow"/>
          <w:vertAlign w:val="subscript"/>
        </w:rPr>
        <w:t>4</w:t>
      </w:r>
      <w:r w:rsidR="009A47C8" w:rsidRPr="000A4404">
        <w:rPr>
          <w:rFonts w:ascii="Times New Roman" w:hAnsi="Times New Roman" w:cs="Times New Roman"/>
          <w:sz w:val="24"/>
          <w:szCs w:val="24"/>
          <w:highlight w:val="yellow"/>
        </w:rPr>
        <w:t>-</w:t>
      </w:r>
      <w:r w:rsidRPr="000A4404">
        <w:rPr>
          <w:rFonts w:ascii="Times New Roman" w:hAnsi="Times New Roman" w:cs="Times New Roman"/>
          <w:sz w:val="24"/>
          <w:szCs w:val="24"/>
          <w:highlight w:val="yellow"/>
        </w:rPr>
        <w:t xml:space="preserve">induced </w:t>
      </w:r>
      <w:r w:rsidRPr="00E66107">
        <w:rPr>
          <w:rFonts w:ascii="Times New Roman" w:hAnsi="Times New Roman" w:cs="Times New Roman"/>
          <w:sz w:val="24"/>
          <w:szCs w:val="24"/>
        </w:rPr>
        <w:t xml:space="preserve">hepatotoxicity. These results align with the findings of sa’id </w:t>
      </w:r>
      <w:r w:rsidRPr="00E66107">
        <w:rPr>
          <w:rFonts w:ascii="Times New Roman" w:hAnsi="Times New Roman" w:cs="Times New Roman"/>
          <w:i/>
          <w:sz w:val="24"/>
          <w:szCs w:val="24"/>
        </w:rPr>
        <w:t>et al.,</w:t>
      </w:r>
      <w:r w:rsidRPr="00E66107">
        <w:rPr>
          <w:rFonts w:ascii="Times New Roman" w:hAnsi="Times New Roman" w:cs="Times New Roman"/>
          <w:sz w:val="24"/>
          <w:szCs w:val="24"/>
        </w:rPr>
        <w:t xml:space="preserve"> (2020).</w:t>
      </w:r>
    </w:p>
    <w:p w14:paraId="619B5BB0" w14:textId="77777777" w:rsidR="003E39D4" w:rsidRPr="00E66107" w:rsidRDefault="003E39D4" w:rsidP="003E39D4">
      <w:pPr>
        <w:spacing w:after="0" w:line="360" w:lineRule="auto"/>
        <w:jc w:val="both"/>
        <w:rPr>
          <w:rFonts w:ascii="Times New Roman" w:hAnsi="Times New Roman" w:cs="Times New Roman"/>
          <w:sz w:val="24"/>
          <w:szCs w:val="24"/>
        </w:rPr>
      </w:pPr>
    </w:p>
    <w:p w14:paraId="20195DFC" w14:textId="6F04F5EA"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lastRenderedPageBreak/>
        <w:t xml:space="preserve">The elevated levels of IL-6 and TNF-α </w:t>
      </w:r>
      <w:r w:rsidRPr="000A4404">
        <w:rPr>
          <w:rFonts w:ascii="Times New Roman" w:eastAsia="Times New Roman" w:hAnsi="Times New Roman" w:cs="Times New Roman"/>
          <w:sz w:val="24"/>
          <w:szCs w:val="24"/>
          <w:highlight w:val="yellow"/>
        </w:rPr>
        <w:t xml:space="preserve">in </w:t>
      </w:r>
      <w:r w:rsidR="009A47C8" w:rsidRPr="000A4404">
        <w:rPr>
          <w:rFonts w:ascii="Times New Roman" w:eastAsia="Times New Roman" w:hAnsi="Times New Roman" w:cs="Times New Roman"/>
          <w:sz w:val="24"/>
          <w:szCs w:val="24"/>
          <w:highlight w:val="yellow"/>
        </w:rPr>
        <w:t xml:space="preserve">the </w:t>
      </w:r>
      <w:r w:rsidRPr="000A4404">
        <w:rPr>
          <w:rFonts w:ascii="Times New Roman" w:eastAsia="Times New Roman" w:hAnsi="Times New Roman" w:cs="Times New Roman"/>
          <w:sz w:val="24"/>
          <w:szCs w:val="24"/>
          <w:highlight w:val="yellow"/>
        </w:rPr>
        <w:t xml:space="preserve">untreated </w:t>
      </w:r>
      <w:r w:rsidRPr="00E66107">
        <w:rPr>
          <w:rFonts w:ascii="Times New Roman" w:eastAsia="Times New Roman" w:hAnsi="Times New Roman" w:cs="Times New Roman"/>
          <w:sz w:val="24"/>
          <w:szCs w:val="24"/>
        </w:rPr>
        <w:t xml:space="preserve">group indicate a robust inflammatory response. ALEAL significantly reduced these markers, possibly due to its flavonoid and tannin content, which inhibits NF-κB activation, a key pathway in cytokine production. Saponins further reduce inflammation by modulating macrophage activity and cytokine release (Nwidu </w:t>
      </w:r>
      <w:r w:rsidRPr="00E66107">
        <w:rPr>
          <w:rFonts w:ascii="Times New Roman" w:eastAsia="Times New Roman" w:hAnsi="Times New Roman" w:cs="Times New Roman"/>
          <w:i/>
          <w:sz w:val="24"/>
          <w:szCs w:val="24"/>
        </w:rPr>
        <w:t>et al</w:t>
      </w:r>
      <w:r w:rsidRPr="00E66107">
        <w:rPr>
          <w:rFonts w:ascii="Times New Roman" w:eastAsia="Times New Roman" w:hAnsi="Times New Roman" w:cs="Times New Roman"/>
          <w:sz w:val="24"/>
          <w:szCs w:val="24"/>
        </w:rPr>
        <w:t xml:space="preserve">., 2023). Ellagic acid has also been shown to suppress pro-inflammatory mediators through downregulation of COX-2 and inducible nitric oxide synthase (iNOS). It was reported by Eltahire </w:t>
      </w:r>
      <w:r w:rsidRPr="00E66107">
        <w:rPr>
          <w:rFonts w:ascii="Times New Roman" w:eastAsia="Times New Roman" w:hAnsi="Times New Roman" w:cs="Times New Roman"/>
          <w:i/>
          <w:sz w:val="24"/>
          <w:szCs w:val="24"/>
        </w:rPr>
        <w:t>et al</w:t>
      </w:r>
      <w:r w:rsidRPr="00E66107">
        <w:rPr>
          <w:rFonts w:ascii="Times New Roman" w:eastAsia="Times New Roman" w:hAnsi="Times New Roman" w:cs="Times New Roman"/>
          <w:sz w:val="24"/>
          <w:szCs w:val="24"/>
        </w:rPr>
        <w:t xml:space="preserve">., (2020) </w:t>
      </w:r>
      <w:r w:rsidRPr="000A4404">
        <w:rPr>
          <w:rFonts w:ascii="Times New Roman" w:eastAsia="Times New Roman" w:hAnsi="Times New Roman" w:cs="Times New Roman"/>
          <w:sz w:val="24"/>
          <w:szCs w:val="24"/>
          <w:highlight w:val="yellow"/>
        </w:rPr>
        <w:t xml:space="preserve">that </w:t>
      </w:r>
      <w:r w:rsidR="009A47C8" w:rsidRPr="000A4404">
        <w:rPr>
          <w:rFonts w:ascii="Times New Roman" w:eastAsia="Times New Roman" w:hAnsi="Times New Roman" w:cs="Times New Roman"/>
          <w:sz w:val="24"/>
          <w:szCs w:val="24"/>
          <w:highlight w:val="yellow"/>
        </w:rPr>
        <w:t xml:space="preserve">an </w:t>
      </w:r>
      <w:r w:rsidRPr="000A4404">
        <w:rPr>
          <w:rFonts w:ascii="Times New Roman" w:eastAsia="Times New Roman" w:hAnsi="Times New Roman" w:cs="Times New Roman"/>
          <w:sz w:val="24"/>
          <w:szCs w:val="24"/>
          <w:highlight w:val="yellow"/>
        </w:rPr>
        <w:t xml:space="preserve">increase </w:t>
      </w:r>
      <w:r w:rsidRPr="00E66107">
        <w:rPr>
          <w:rFonts w:ascii="Times New Roman" w:eastAsia="Times New Roman" w:hAnsi="Times New Roman" w:cs="Times New Roman"/>
          <w:sz w:val="24"/>
          <w:szCs w:val="24"/>
        </w:rPr>
        <w:t>in the expression of several inflammatory cytokine genes such as IL-6, TNF-α, mRNA expression, transforming growth factor- β (TGF-β), xCOX-2, necrosis factor-kappa B (NF-kB</w:t>
      </w:r>
      <w:r w:rsidRPr="000A4404">
        <w:rPr>
          <w:rFonts w:ascii="Times New Roman" w:eastAsia="Times New Roman" w:hAnsi="Times New Roman" w:cs="Times New Roman"/>
          <w:sz w:val="24"/>
          <w:szCs w:val="24"/>
          <w:highlight w:val="yellow"/>
        </w:rPr>
        <w:t xml:space="preserve">) </w:t>
      </w:r>
      <w:r w:rsidR="009A47C8" w:rsidRPr="000A4404">
        <w:rPr>
          <w:rFonts w:ascii="Times New Roman" w:eastAsia="Times New Roman" w:hAnsi="Times New Roman" w:cs="Times New Roman"/>
          <w:sz w:val="24"/>
          <w:szCs w:val="24"/>
          <w:highlight w:val="yellow"/>
        </w:rPr>
        <w:t xml:space="preserve">was </w:t>
      </w:r>
      <w:r w:rsidRPr="000A4404">
        <w:rPr>
          <w:rFonts w:ascii="Times New Roman" w:eastAsia="Times New Roman" w:hAnsi="Times New Roman" w:cs="Times New Roman"/>
          <w:sz w:val="24"/>
          <w:szCs w:val="24"/>
          <w:highlight w:val="yellow"/>
        </w:rPr>
        <w:t xml:space="preserve">associated </w:t>
      </w:r>
      <w:r w:rsidRPr="00E66107">
        <w:rPr>
          <w:rFonts w:ascii="Times New Roman" w:eastAsia="Times New Roman" w:hAnsi="Times New Roman" w:cs="Times New Roman"/>
          <w:sz w:val="24"/>
          <w:szCs w:val="24"/>
        </w:rPr>
        <w:t>with the administration of CCl</w:t>
      </w:r>
      <w:r w:rsidRPr="00E66107">
        <w:rPr>
          <w:rFonts w:ascii="Times New Roman" w:eastAsia="Times New Roman" w:hAnsi="Times New Roman" w:cs="Times New Roman"/>
          <w:sz w:val="24"/>
          <w:szCs w:val="24"/>
          <w:vertAlign w:val="subscript"/>
        </w:rPr>
        <w:t>4</w:t>
      </w:r>
      <w:r w:rsidRPr="00E66107">
        <w:rPr>
          <w:rFonts w:ascii="Times New Roman" w:eastAsia="Times New Roman" w:hAnsi="Times New Roman" w:cs="Times New Roman"/>
          <w:sz w:val="24"/>
          <w:szCs w:val="24"/>
        </w:rPr>
        <w:t xml:space="preserve"> in rats. </w:t>
      </w:r>
    </w:p>
    <w:p w14:paraId="0837475F" w14:textId="4935CBFF"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The biochemical principle involves disrupting pro-inflammatory </w:t>
      </w:r>
      <w:r w:rsidRPr="000A4404">
        <w:rPr>
          <w:rFonts w:ascii="Times New Roman" w:eastAsia="Times New Roman" w:hAnsi="Times New Roman" w:cs="Times New Roman"/>
          <w:sz w:val="24"/>
          <w:szCs w:val="24"/>
          <w:highlight w:val="yellow"/>
        </w:rPr>
        <w:t>signa</w:t>
      </w:r>
      <w:r w:rsidR="009A47C8" w:rsidRPr="000A4404">
        <w:rPr>
          <w:rFonts w:ascii="Times New Roman" w:eastAsia="Times New Roman" w:hAnsi="Times New Roman" w:cs="Times New Roman"/>
          <w:sz w:val="24"/>
          <w:szCs w:val="24"/>
          <w:highlight w:val="yellow"/>
        </w:rPr>
        <w:t>l</w:t>
      </w:r>
      <w:r w:rsidRPr="000A4404">
        <w:rPr>
          <w:rFonts w:ascii="Times New Roman" w:eastAsia="Times New Roman" w:hAnsi="Times New Roman" w:cs="Times New Roman"/>
          <w:sz w:val="24"/>
          <w:szCs w:val="24"/>
          <w:highlight w:val="yellow"/>
        </w:rPr>
        <w:t>ling c</w:t>
      </w:r>
      <w:r w:rsidRPr="00E66107">
        <w:rPr>
          <w:rFonts w:ascii="Times New Roman" w:eastAsia="Times New Roman" w:hAnsi="Times New Roman" w:cs="Times New Roman"/>
          <w:sz w:val="24"/>
          <w:szCs w:val="24"/>
        </w:rPr>
        <w:t xml:space="preserve">ascades, thereby preventing liver inflammation and fibrosis. This suggests that ALEAL could be a potential therapeutic for chronic liver inflammation and related conditions. Similar findings were reported by Oyedemi </w:t>
      </w:r>
      <w:r w:rsidRPr="00E66107">
        <w:rPr>
          <w:rFonts w:ascii="Times New Roman" w:eastAsia="Times New Roman" w:hAnsi="Times New Roman" w:cs="Times New Roman"/>
          <w:i/>
          <w:sz w:val="24"/>
          <w:szCs w:val="24"/>
        </w:rPr>
        <w:t>et al</w:t>
      </w:r>
      <w:r w:rsidRPr="00E66107">
        <w:rPr>
          <w:rFonts w:ascii="Times New Roman" w:eastAsia="Times New Roman" w:hAnsi="Times New Roman" w:cs="Times New Roman"/>
          <w:sz w:val="24"/>
          <w:szCs w:val="24"/>
        </w:rPr>
        <w:t>., (2022), where flavonoids suppressed pro-inflammatory cytokines in inflammatory models.</w:t>
      </w:r>
    </w:p>
    <w:p w14:paraId="4BB9AB2D"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However, the cellular antioxidant response is enhanced by the presence of dietary antioxidants. Antioxidants and anti-inflammatory agents play a crucial role in protecting against CCl</w:t>
      </w:r>
      <w:r w:rsidRPr="00E66107">
        <w:rPr>
          <w:rFonts w:ascii="Times New Roman" w:eastAsia="Times New Roman" w:hAnsi="Times New Roman" w:cs="Times New Roman"/>
          <w:sz w:val="24"/>
          <w:szCs w:val="24"/>
        </w:rPr>
        <w:softHyphen/>
      </w:r>
      <w:r w:rsidRPr="00E66107">
        <w:rPr>
          <w:rFonts w:ascii="Times New Roman" w:eastAsia="Times New Roman" w:hAnsi="Times New Roman" w:cs="Times New Roman"/>
          <w:sz w:val="24"/>
          <w:szCs w:val="24"/>
          <w:vertAlign w:val="subscript"/>
        </w:rPr>
        <w:t xml:space="preserve">4  </w:t>
      </w:r>
      <w:r w:rsidRPr="00E66107">
        <w:rPr>
          <w:rFonts w:ascii="Times New Roman" w:eastAsia="Times New Roman" w:hAnsi="Times New Roman" w:cs="Times New Roman"/>
          <w:sz w:val="24"/>
          <w:szCs w:val="24"/>
        </w:rPr>
        <w:t xml:space="preserve">toxicity by scavenging reactive oxygen species and free radicals as well as neutralizing lipid peroxides. Histological analysis revealed preserved liver architecture in ALEAL-treated groups, with reduced steatosis, necrosis, and fibrosis. The protective effects are attributed to the combined action of flavonoids (quercetin, kaempferol), tannins, and alkaloids, which prevent lipid accumulation and promote hepatocyte regeneration. Polyphenols in the extract (ALEAL) likely inhibit the activation of hepatic stellate cells, reducing fibrogenesis (Oluwole </w:t>
      </w:r>
      <w:r w:rsidRPr="00E66107">
        <w:rPr>
          <w:rFonts w:ascii="Times New Roman" w:eastAsia="Times New Roman" w:hAnsi="Times New Roman" w:cs="Times New Roman"/>
          <w:i/>
          <w:sz w:val="24"/>
          <w:szCs w:val="24"/>
        </w:rPr>
        <w:t>et al</w:t>
      </w:r>
      <w:r w:rsidRPr="00E66107">
        <w:rPr>
          <w:rFonts w:ascii="Times New Roman" w:eastAsia="Times New Roman" w:hAnsi="Times New Roman" w:cs="Times New Roman"/>
          <w:sz w:val="24"/>
          <w:szCs w:val="24"/>
        </w:rPr>
        <w:t>., 2023).</w:t>
      </w:r>
    </w:p>
    <w:p w14:paraId="2CE8C8DF"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p>
    <w:p w14:paraId="796EDF96" w14:textId="2C5B05EC"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Apoptosis activation is linked to mitochondria degeneration (Ahmadian </w:t>
      </w:r>
      <w:r w:rsidRPr="00E66107">
        <w:rPr>
          <w:rFonts w:ascii="Times New Roman" w:eastAsia="Times New Roman" w:hAnsi="Times New Roman" w:cs="Times New Roman"/>
          <w:i/>
          <w:sz w:val="24"/>
          <w:szCs w:val="24"/>
        </w:rPr>
        <w:t>et al</w:t>
      </w:r>
      <w:r w:rsidRPr="00E66107">
        <w:rPr>
          <w:rFonts w:ascii="Times New Roman" w:eastAsia="Times New Roman" w:hAnsi="Times New Roman" w:cs="Times New Roman"/>
          <w:sz w:val="24"/>
          <w:szCs w:val="24"/>
        </w:rPr>
        <w:t xml:space="preserve">., 2020). The activation of pro-apoptotic genes like Bax leads to increased mitochondrial permeabilization leading to the release of cytochrome c which further trigger hepatocyte apoptosis and caspase-3 activation (Liuet </w:t>
      </w:r>
      <w:r w:rsidRPr="00E66107">
        <w:rPr>
          <w:rFonts w:ascii="Times New Roman" w:eastAsia="Times New Roman" w:hAnsi="Times New Roman" w:cs="Times New Roman"/>
          <w:i/>
          <w:sz w:val="24"/>
          <w:szCs w:val="24"/>
        </w:rPr>
        <w:t>et al</w:t>
      </w:r>
      <w:r w:rsidRPr="00E66107">
        <w:rPr>
          <w:rFonts w:ascii="Times New Roman" w:eastAsia="Times New Roman" w:hAnsi="Times New Roman" w:cs="Times New Roman"/>
          <w:sz w:val="24"/>
          <w:szCs w:val="24"/>
        </w:rPr>
        <w:t>., 2018).  Analysis of the immunohistochemistry results revealed that the expression levels of Bax protein were quantified in Wistar rats exposed to carbon tetrachloride (CCl</w:t>
      </w:r>
      <w:r w:rsidRPr="00E66107">
        <w:rPr>
          <w:rFonts w:ascii="Times New Roman" w:eastAsia="Times New Roman" w:hAnsi="Times New Roman" w:cs="Times New Roman"/>
          <w:sz w:val="24"/>
          <w:szCs w:val="24"/>
          <w:vertAlign w:val="subscript"/>
        </w:rPr>
        <w:t>4</w:t>
      </w:r>
      <w:r w:rsidRPr="00E66107">
        <w:rPr>
          <w:rFonts w:ascii="Times New Roman" w:eastAsia="Times New Roman" w:hAnsi="Times New Roman" w:cs="Times New Roman"/>
          <w:sz w:val="24"/>
          <w:szCs w:val="24"/>
        </w:rPr>
        <w:t xml:space="preserve">) and treated with aqueous leaf extract of </w:t>
      </w:r>
      <w:r w:rsidRPr="00E66107">
        <w:rPr>
          <w:rFonts w:ascii="Times New Roman" w:eastAsia="Times New Roman" w:hAnsi="Times New Roman" w:cs="Times New Roman"/>
          <w:i/>
          <w:sz w:val="24"/>
          <w:szCs w:val="24"/>
        </w:rPr>
        <w:t>Anogeissus leiocarpus</w:t>
      </w:r>
      <w:r w:rsidRPr="00E66107">
        <w:rPr>
          <w:rFonts w:ascii="Times New Roman" w:eastAsia="Times New Roman" w:hAnsi="Times New Roman" w:cs="Times New Roman"/>
          <w:sz w:val="24"/>
          <w:szCs w:val="24"/>
        </w:rPr>
        <w:t xml:space="preserve"> (ALEAL). ALEAL treatment showed a dose-dependent reduction in Bax levels compared to the untreated CCl</w:t>
      </w:r>
      <w:r w:rsidRPr="00E66107">
        <w:rPr>
          <w:rFonts w:ascii="Times New Roman" w:eastAsia="Times New Roman" w:hAnsi="Times New Roman" w:cs="Times New Roman"/>
          <w:sz w:val="24"/>
          <w:szCs w:val="24"/>
          <w:vertAlign w:val="subscript"/>
        </w:rPr>
        <w:t>4</w:t>
      </w:r>
      <w:r w:rsidRPr="00E66107">
        <w:rPr>
          <w:rFonts w:ascii="Times New Roman" w:eastAsia="Times New Roman" w:hAnsi="Times New Roman" w:cs="Times New Roman"/>
          <w:sz w:val="24"/>
          <w:szCs w:val="24"/>
        </w:rPr>
        <w:t xml:space="preserve"> group, suggesting its potential protective or anti-apoptotic effects. The results indicate that </w:t>
      </w:r>
      <w:r w:rsidRPr="00E66107">
        <w:rPr>
          <w:rFonts w:ascii="Times New Roman" w:eastAsia="Times New Roman" w:hAnsi="Times New Roman" w:cs="Times New Roman"/>
          <w:sz w:val="24"/>
          <w:szCs w:val="24"/>
        </w:rPr>
        <w:lastRenderedPageBreak/>
        <w:t>ALEAL mitigates oxidative stress-induced apoptosis associated with CCl</w:t>
      </w:r>
      <w:r w:rsidRPr="00E66107">
        <w:rPr>
          <w:rFonts w:ascii="Times New Roman" w:eastAsia="Times New Roman" w:hAnsi="Times New Roman" w:cs="Times New Roman"/>
          <w:sz w:val="24"/>
          <w:szCs w:val="24"/>
          <w:vertAlign w:val="subscript"/>
        </w:rPr>
        <w:t>4</w:t>
      </w:r>
      <w:r w:rsidRPr="00E66107">
        <w:rPr>
          <w:rFonts w:ascii="Times New Roman" w:eastAsia="Times New Roman" w:hAnsi="Times New Roman" w:cs="Times New Roman"/>
          <w:sz w:val="24"/>
          <w:szCs w:val="24"/>
        </w:rPr>
        <w:t xml:space="preserve"> toxicity. </w:t>
      </w:r>
      <w:r w:rsidRPr="00E66107">
        <w:rPr>
          <w:rFonts w:ascii="Times New Roman" w:eastAsia="Times New Roman" w:hAnsi="Times New Roman" w:cs="Times New Roman"/>
          <w:i/>
          <w:sz w:val="24"/>
          <w:szCs w:val="24"/>
        </w:rPr>
        <w:t>Anogeissus leiocarpus</w:t>
      </w:r>
      <w:r w:rsidRPr="00E66107">
        <w:rPr>
          <w:rFonts w:ascii="Times New Roman" w:eastAsia="Times New Roman" w:hAnsi="Times New Roman" w:cs="Times New Roman"/>
          <w:sz w:val="24"/>
          <w:szCs w:val="24"/>
        </w:rPr>
        <w:t>, a medicinal plant with recognized anti-inflammatory and antioxidant properties, present</w:t>
      </w:r>
      <w:r w:rsidR="007A4610">
        <w:rPr>
          <w:rFonts w:ascii="Times New Roman" w:eastAsia="Times New Roman" w:hAnsi="Times New Roman" w:cs="Times New Roman"/>
          <w:sz w:val="24"/>
          <w:szCs w:val="24"/>
        </w:rPr>
        <w:t>s</w:t>
      </w:r>
      <w:r w:rsidRPr="00E66107">
        <w:rPr>
          <w:rFonts w:ascii="Times New Roman" w:eastAsia="Times New Roman" w:hAnsi="Times New Roman" w:cs="Times New Roman"/>
          <w:sz w:val="24"/>
          <w:szCs w:val="24"/>
        </w:rPr>
        <w:t xml:space="preserve"> itself as a promising candidate for mitigating the harmful effects of CCl</w:t>
      </w:r>
      <w:r w:rsidRPr="00E66107">
        <w:rPr>
          <w:rFonts w:ascii="Times New Roman" w:eastAsia="Times New Roman" w:hAnsi="Times New Roman" w:cs="Times New Roman"/>
          <w:sz w:val="24"/>
          <w:szCs w:val="24"/>
          <w:vertAlign w:val="subscript"/>
        </w:rPr>
        <w:t xml:space="preserve">4 </w:t>
      </w:r>
      <w:r w:rsidRPr="00E66107">
        <w:rPr>
          <w:rFonts w:ascii="Times New Roman" w:eastAsia="Times New Roman" w:hAnsi="Times New Roman" w:cs="Times New Roman"/>
          <w:sz w:val="24"/>
          <w:szCs w:val="24"/>
        </w:rPr>
        <w:t xml:space="preserve">on the liver (Motto </w:t>
      </w:r>
      <w:r w:rsidRPr="00E66107">
        <w:rPr>
          <w:rFonts w:ascii="Times New Roman" w:eastAsia="Times New Roman" w:hAnsi="Times New Roman" w:cs="Times New Roman"/>
          <w:i/>
          <w:sz w:val="24"/>
          <w:szCs w:val="24"/>
        </w:rPr>
        <w:t>et al.</w:t>
      </w:r>
      <w:r w:rsidRPr="00E66107">
        <w:rPr>
          <w:rFonts w:ascii="Times New Roman" w:eastAsia="Times New Roman" w:hAnsi="Times New Roman" w:cs="Times New Roman"/>
          <w:sz w:val="24"/>
          <w:szCs w:val="24"/>
        </w:rPr>
        <w:t xml:space="preserve">, 2021).Biochemically, this preservation of liver structure supports normal metabolic and detoxification processes, highlighting ALEAL’s potential in preventing progression to cirrhosis. These findings align with studies by Abdullahi </w:t>
      </w:r>
      <w:r w:rsidRPr="00E66107">
        <w:rPr>
          <w:rFonts w:ascii="Times New Roman" w:eastAsia="Times New Roman" w:hAnsi="Times New Roman" w:cs="Times New Roman"/>
          <w:i/>
          <w:sz w:val="24"/>
          <w:szCs w:val="24"/>
        </w:rPr>
        <w:t>et al</w:t>
      </w:r>
      <w:r w:rsidRPr="00E66107">
        <w:rPr>
          <w:rFonts w:ascii="Times New Roman" w:eastAsia="Times New Roman" w:hAnsi="Times New Roman" w:cs="Times New Roman"/>
          <w:sz w:val="24"/>
          <w:szCs w:val="24"/>
        </w:rPr>
        <w:t>., (2023), demonstrating the antifibrotic effects of tannin-rich extracts.</w:t>
      </w:r>
    </w:p>
    <w:p w14:paraId="2D846FC2"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b/>
          <w:bCs/>
          <w:sz w:val="24"/>
          <w:szCs w:val="24"/>
        </w:rPr>
        <w:t>Conclusion</w:t>
      </w:r>
    </w:p>
    <w:p w14:paraId="4CC03F77"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This study highlights the hepatoprotective potential of </w:t>
      </w:r>
      <w:r w:rsidRPr="00E66107">
        <w:rPr>
          <w:rFonts w:ascii="Times New Roman" w:eastAsia="Times New Roman" w:hAnsi="Times New Roman" w:cs="Times New Roman"/>
          <w:i/>
          <w:iCs/>
          <w:sz w:val="24"/>
          <w:szCs w:val="24"/>
        </w:rPr>
        <w:t>Anogeissus leiocarpus</w:t>
      </w:r>
      <w:r w:rsidRPr="00E66107">
        <w:rPr>
          <w:rFonts w:ascii="Times New Roman" w:eastAsia="Times New Roman" w:hAnsi="Times New Roman" w:cs="Times New Roman"/>
          <w:sz w:val="24"/>
          <w:szCs w:val="24"/>
        </w:rPr>
        <w:t xml:space="preserve"> aqueous leaf extract (ALEAL) against carbon tetrachloride (CCl</w:t>
      </w:r>
      <w:r w:rsidRPr="00E66107">
        <w:rPr>
          <w:rFonts w:ascii="Times New Roman" w:eastAsia="Times New Roman" w:hAnsi="Times New Roman" w:cs="Times New Roman"/>
          <w:sz w:val="24"/>
          <w:szCs w:val="24"/>
          <w:vertAlign w:val="subscript"/>
        </w:rPr>
        <w:t>4</w:t>
      </w:r>
      <w:r w:rsidRPr="00E66107">
        <w:rPr>
          <w:rFonts w:ascii="Times New Roman" w:eastAsia="Times New Roman" w:hAnsi="Times New Roman" w:cs="Times New Roman"/>
          <w:sz w:val="24"/>
          <w:szCs w:val="24"/>
        </w:rPr>
        <w:t xml:space="preserve">)-induced hepatotoxicity. The extract demonstrated significant antioxidant, and anti-inflammatory, as evidenced by the normalization of hepatic enzyme levels, along with a reduction in inflammatory cytokines. Histopathological evaluations further confirmed its ability to preserve liver architecture and mitigate tissue damage. These effects are attributed to the phytochemical constituents of </w:t>
      </w:r>
      <w:r w:rsidRPr="00E66107">
        <w:rPr>
          <w:rFonts w:ascii="Times New Roman" w:eastAsia="Times New Roman" w:hAnsi="Times New Roman" w:cs="Times New Roman"/>
          <w:i/>
          <w:iCs/>
          <w:sz w:val="24"/>
          <w:szCs w:val="24"/>
        </w:rPr>
        <w:t>A. leiocarpus</w:t>
      </w:r>
      <w:r w:rsidRPr="00E66107">
        <w:rPr>
          <w:rFonts w:ascii="Times New Roman" w:eastAsia="Times New Roman" w:hAnsi="Times New Roman" w:cs="Times New Roman"/>
          <w:sz w:val="24"/>
          <w:szCs w:val="24"/>
        </w:rPr>
        <w:t xml:space="preserve">, such as flavonoids, tannins, and saponins, which act through various biochemical mechanisms to protect and restore liver function. These findings underscore the potential of </w:t>
      </w:r>
      <w:r w:rsidRPr="00E66107">
        <w:rPr>
          <w:rFonts w:ascii="Times New Roman" w:eastAsia="Times New Roman" w:hAnsi="Times New Roman" w:cs="Times New Roman"/>
          <w:i/>
          <w:iCs/>
          <w:sz w:val="24"/>
          <w:szCs w:val="24"/>
        </w:rPr>
        <w:t>A. leiocarpus</w:t>
      </w:r>
      <w:r w:rsidRPr="00E66107">
        <w:rPr>
          <w:rFonts w:ascii="Times New Roman" w:eastAsia="Times New Roman" w:hAnsi="Times New Roman" w:cs="Times New Roman"/>
          <w:sz w:val="24"/>
          <w:szCs w:val="24"/>
        </w:rPr>
        <w:t xml:space="preserve"> as a natural, safe, and effective therapeutic agent for the prevention and management of liver diseases.</w:t>
      </w:r>
    </w:p>
    <w:p w14:paraId="53D934FA" w14:textId="77777777" w:rsidR="00B568DD" w:rsidRPr="00B568DD" w:rsidRDefault="00B568DD" w:rsidP="00B568DD">
      <w:pPr>
        <w:rPr>
          <w:rFonts w:ascii="Calibri" w:eastAsia="Calibri" w:hAnsi="Calibri" w:cs="Times New Roman"/>
          <w:b/>
          <w:sz w:val="28"/>
        </w:rPr>
      </w:pPr>
      <w:r w:rsidRPr="00B568DD">
        <w:rPr>
          <w:rFonts w:ascii="Calibri" w:eastAsia="Calibri" w:hAnsi="Calibri" w:cs="Times New Roman"/>
          <w:b/>
          <w:sz w:val="28"/>
        </w:rPr>
        <w:t>Ethical Approval</w:t>
      </w:r>
    </w:p>
    <w:p w14:paraId="4ED24DAF" w14:textId="77777777" w:rsidR="00B568DD" w:rsidRPr="00B568DD" w:rsidRDefault="00B568DD" w:rsidP="00B568DD">
      <w:pPr>
        <w:rPr>
          <w:rFonts w:ascii="Calibri" w:eastAsia="Calibri" w:hAnsi="Calibri" w:cs="Times New Roman"/>
        </w:rPr>
      </w:pPr>
      <w:r w:rsidRPr="00B568DD">
        <w:rPr>
          <w:rFonts w:ascii="Calibri" w:eastAsia="Calibri" w:hAnsi="Calibri" w:cs="Times New Roman"/>
        </w:rPr>
        <w:t>Animal Ethic committee approval has been collected and preserved by the author(s)</w:t>
      </w:r>
    </w:p>
    <w:p w14:paraId="0D1FB27E" w14:textId="77777777" w:rsidR="00B568DD" w:rsidRDefault="00B568DD" w:rsidP="003E39D4">
      <w:pPr>
        <w:spacing w:after="0" w:line="240" w:lineRule="auto"/>
        <w:jc w:val="both"/>
        <w:rPr>
          <w:rFonts w:ascii="Times New Roman" w:eastAsia="Times New Roman" w:hAnsi="Times New Roman" w:cs="Times New Roman"/>
          <w:b/>
          <w:bCs/>
          <w:sz w:val="24"/>
          <w:szCs w:val="24"/>
        </w:rPr>
      </w:pPr>
    </w:p>
    <w:p w14:paraId="275C3309" w14:textId="77777777" w:rsidR="00B568DD" w:rsidRDefault="00B568DD" w:rsidP="003E39D4">
      <w:pPr>
        <w:spacing w:after="0" w:line="240" w:lineRule="auto"/>
        <w:jc w:val="both"/>
        <w:rPr>
          <w:rFonts w:ascii="Times New Roman" w:eastAsia="Times New Roman" w:hAnsi="Times New Roman" w:cs="Times New Roman"/>
          <w:b/>
          <w:bCs/>
          <w:sz w:val="24"/>
          <w:szCs w:val="24"/>
        </w:rPr>
      </w:pPr>
    </w:p>
    <w:p w14:paraId="064F97D8" w14:textId="140F3B22" w:rsidR="003E39D4" w:rsidRPr="00E66107" w:rsidRDefault="003E39D4" w:rsidP="003E39D4">
      <w:pPr>
        <w:spacing w:after="0" w:line="240" w:lineRule="auto"/>
        <w:jc w:val="both"/>
        <w:rPr>
          <w:rFonts w:ascii="Times New Roman" w:eastAsia="Times New Roman" w:hAnsi="Times New Roman" w:cs="Times New Roman"/>
          <w:b/>
          <w:bCs/>
          <w:sz w:val="24"/>
          <w:szCs w:val="24"/>
        </w:rPr>
      </w:pPr>
      <w:r w:rsidRPr="00E66107">
        <w:rPr>
          <w:rFonts w:ascii="Times New Roman" w:eastAsia="Times New Roman" w:hAnsi="Times New Roman" w:cs="Times New Roman"/>
          <w:b/>
          <w:bCs/>
          <w:sz w:val="24"/>
          <w:szCs w:val="24"/>
        </w:rPr>
        <w:t xml:space="preserve">List of abbreviations </w:t>
      </w:r>
    </w:p>
    <w:p w14:paraId="3680E441" w14:textId="77777777" w:rsidR="003E39D4" w:rsidRPr="00E66107" w:rsidRDefault="003E39D4" w:rsidP="003E39D4">
      <w:pPr>
        <w:numPr>
          <w:ilvl w:val="0"/>
          <w:numId w:val="3"/>
        </w:numPr>
        <w:spacing w:after="0" w:line="24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b/>
          <w:bCs/>
          <w:sz w:val="24"/>
          <w:szCs w:val="24"/>
        </w:rPr>
        <w:t>ALP</w:t>
      </w:r>
      <w:r w:rsidRPr="00E66107">
        <w:rPr>
          <w:rFonts w:ascii="Times New Roman" w:eastAsia="Times New Roman" w:hAnsi="Times New Roman" w:cs="Times New Roman"/>
          <w:sz w:val="24"/>
          <w:szCs w:val="24"/>
        </w:rPr>
        <w:t>: Alkaline Phosphatase</w:t>
      </w:r>
    </w:p>
    <w:p w14:paraId="09C16097" w14:textId="77777777" w:rsidR="003E39D4" w:rsidRPr="00E66107" w:rsidRDefault="003E39D4" w:rsidP="003E39D4">
      <w:pPr>
        <w:numPr>
          <w:ilvl w:val="0"/>
          <w:numId w:val="3"/>
        </w:numPr>
        <w:spacing w:after="0" w:line="24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b/>
          <w:bCs/>
          <w:sz w:val="24"/>
          <w:szCs w:val="24"/>
        </w:rPr>
        <w:t>ALT</w:t>
      </w:r>
      <w:r w:rsidRPr="00E66107">
        <w:rPr>
          <w:rFonts w:ascii="Times New Roman" w:eastAsia="Times New Roman" w:hAnsi="Times New Roman" w:cs="Times New Roman"/>
          <w:sz w:val="24"/>
          <w:szCs w:val="24"/>
        </w:rPr>
        <w:t>: Alanine Aminotransferase</w:t>
      </w:r>
    </w:p>
    <w:p w14:paraId="5AA34590" w14:textId="77777777" w:rsidR="003E39D4" w:rsidRPr="00E66107" w:rsidRDefault="003E39D4" w:rsidP="003E39D4">
      <w:pPr>
        <w:numPr>
          <w:ilvl w:val="0"/>
          <w:numId w:val="3"/>
        </w:numPr>
        <w:spacing w:after="0" w:line="24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b/>
          <w:bCs/>
          <w:sz w:val="24"/>
          <w:szCs w:val="24"/>
        </w:rPr>
        <w:t>AST</w:t>
      </w:r>
      <w:r w:rsidRPr="00E66107">
        <w:rPr>
          <w:rFonts w:ascii="Times New Roman" w:eastAsia="Times New Roman" w:hAnsi="Times New Roman" w:cs="Times New Roman"/>
          <w:sz w:val="24"/>
          <w:szCs w:val="24"/>
        </w:rPr>
        <w:t>: Aspartate Aminotransferase</w:t>
      </w:r>
    </w:p>
    <w:p w14:paraId="44B094CE" w14:textId="77777777" w:rsidR="003E39D4" w:rsidRPr="00E66107" w:rsidRDefault="003E39D4" w:rsidP="003E39D4">
      <w:pPr>
        <w:numPr>
          <w:ilvl w:val="0"/>
          <w:numId w:val="3"/>
        </w:numPr>
        <w:spacing w:after="0" w:line="24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b/>
          <w:bCs/>
          <w:sz w:val="24"/>
          <w:szCs w:val="24"/>
        </w:rPr>
        <w:t>BAX</w:t>
      </w:r>
      <w:r w:rsidRPr="00E66107">
        <w:rPr>
          <w:rFonts w:ascii="Times New Roman" w:eastAsia="Times New Roman" w:hAnsi="Times New Roman" w:cs="Times New Roman"/>
          <w:sz w:val="24"/>
          <w:szCs w:val="24"/>
        </w:rPr>
        <w:t>: Bcl-2-associated X protein</w:t>
      </w:r>
    </w:p>
    <w:p w14:paraId="45498777" w14:textId="77777777" w:rsidR="003E39D4" w:rsidRPr="00E66107" w:rsidRDefault="003E39D4" w:rsidP="003E39D4">
      <w:pPr>
        <w:numPr>
          <w:ilvl w:val="0"/>
          <w:numId w:val="3"/>
        </w:numPr>
        <w:spacing w:after="0" w:line="24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b/>
          <w:bCs/>
          <w:sz w:val="24"/>
          <w:szCs w:val="24"/>
        </w:rPr>
        <w:t>IL-6</w:t>
      </w:r>
      <w:r w:rsidRPr="00E66107">
        <w:rPr>
          <w:rFonts w:ascii="Times New Roman" w:eastAsia="Times New Roman" w:hAnsi="Times New Roman" w:cs="Times New Roman"/>
          <w:sz w:val="24"/>
          <w:szCs w:val="24"/>
        </w:rPr>
        <w:t>: Interleukin-6</w:t>
      </w:r>
    </w:p>
    <w:p w14:paraId="30DEB7E6" w14:textId="77777777" w:rsidR="003E39D4" w:rsidRPr="00E66107" w:rsidRDefault="003E39D4" w:rsidP="003E39D4">
      <w:pPr>
        <w:numPr>
          <w:ilvl w:val="0"/>
          <w:numId w:val="3"/>
        </w:numPr>
        <w:spacing w:after="0" w:line="24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b/>
          <w:bCs/>
          <w:sz w:val="24"/>
          <w:szCs w:val="24"/>
        </w:rPr>
        <w:t>LD50</w:t>
      </w:r>
      <w:r w:rsidRPr="00E66107">
        <w:rPr>
          <w:rFonts w:ascii="Times New Roman" w:eastAsia="Times New Roman" w:hAnsi="Times New Roman" w:cs="Times New Roman"/>
          <w:sz w:val="24"/>
          <w:szCs w:val="24"/>
        </w:rPr>
        <w:t>: Median Lethal Dose</w:t>
      </w:r>
    </w:p>
    <w:p w14:paraId="6B41B9F6" w14:textId="77777777" w:rsidR="003E39D4" w:rsidRPr="00E66107" w:rsidRDefault="003E39D4" w:rsidP="003E39D4">
      <w:pPr>
        <w:numPr>
          <w:ilvl w:val="0"/>
          <w:numId w:val="3"/>
        </w:numPr>
        <w:spacing w:after="0" w:line="24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b/>
          <w:bCs/>
          <w:sz w:val="24"/>
          <w:szCs w:val="24"/>
        </w:rPr>
        <w:t>ROS</w:t>
      </w:r>
      <w:r w:rsidRPr="00E66107">
        <w:rPr>
          <w:rFonts w:ascii="Times New Roman" w:eastAsia="Times New Roman" w:hAnsi="Times New Roman" w:cs="Times New Roman"/>
          <w:sz w:val="24"/>
          <w:szCs w:val="24"/>
        </w:rPr>
        <w:t>: Reactive Oxygen Species</w:t>
      </w:r>
    </w:p>
    <w:p w14:paraId="5387F02D" w14:textId="77777777" w:rsidR="003E39D4" w:rsidRPr="00E66107" w:rsidRDefault="003E39D4" w:rsidP="003E39D4">
      <w:pPr>
        <w:numPr>
          <w:ilvl w:val="0"/>
          <w:numId w:val="3"/>
        </w:numPr>
        <w:spacing w:after="0" w:line="24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b/>
          <w:bCs/>
          <w:sz w:val="24"/>
          <w:szCs w:val="24"/>
        </w:rPr>
        <w:t>TNF-α</w:t>
      </w:r>
      <w:r w:rsidRPr="00E66107">
        <w:rPr>
          <w:rFonts w:ascii="Times New Roman" w:eastAsia="Times New Roman" w:hAnsi="Times New Roman" w:cs="Times New Roman"/>
          <w:sz w:val="24"/>
          <w:szCs w:val="24"/>
        </w:rPr>
        <w:t>: Tumor Necrosis Factor-Alpha</w:t>
      </w:r>
    </w:p>
    <w:p w14:paraId="2115D813" w14:textId="460E53BE" w:rsidR="003E39D4" w:rsidRDefault="003E39D4" w:rsidP="003E39D4">
      <w:pPr>
        <w:spacing w:after="0" w:line="360" w:lineRule="auto"/>
        <w:jc w:val="both"/>
        <w:rPr>
          <w:rFonts w:ascii="Times New Roman" w:eastAsia="Times New Roman" w:hAnsi="Times New Roman" w:cs="Times New Roman"/>
          <w:b/>
          <w:bCs/>
          <w:sz w:val="24"/>
          <w:szCs w:val="24"/>
        </w:rPr>
      </w:pPr>
    </w:p>
    <w:p w14:paraId="2EAF870D" w14:textId="1EDCCE33" w:rsidR="008A0D76" w:rsidRDefault="008A0D76" w:rsidP="003E39D4">
      <w:pPr>
        <w:spacing w:after="0" w:line="360" w:lineRule="auto"/>
        <w:jc w:val="both"/>
        <w:rPr>
          <w:rFonts w:ascii="Times New Roman" w:eastAsia="Times New Roman" w:hAnsi="Times New Roman" w:cs="Times New Roman"/>
          <w:b/>
          <w:bCs/>
          <w:sz w:val="24"/>
          <w:szCs w:val="24"/>
        </w:rPr>
      </w:pPr>
    </w:p>
    <w:p w14:paraId="17DF3127" w14:textId="686D689A" w:rsidR="008A0D76" w:rsidRDefault="008A0D76" w:rsidP="003E39D4">
      <w:pPr>
        <w:spacing w:after="0" w:line="360" w:lineRule="auto"/>
        <w:jc w:val="both"/>
        <w:rPr>
          <w:rFonts w:ascii="Times New Roman" w:eastAsia="Times New Roman" w:hAnsi="Times New Roman" w:cs="Times New Roman"/>
          <w:b/>
          <w:bCs/>
          <w:sz w:val="24"/>
          <w:szCs w:val="24"/>
        </w:rPr>
      </w:pPr>
    </w:p>
    <w:p w14:paraId="4852C811" w14:textId="2AD21223" w:rsidR="008A0D76" w:rsidRDefault="008A0D76" w:rsidP="003E39D4">
      <w:pPr>
        <w:spacing w:after="0" w:line="360" w:lineRule="auto"/>
        <w:jc w:val="both"/>
        <w:rPr>
          <w:rFonts w:ascii="Times New Roman" w:eastAsia="Times New Roman" w:hAnsi="Times New Roman" w:cs="Times New Roman"/>
          <w:b/>
          <w:bCs/>
          <w:sz w:val="24"/>
          <w:szCs w:val="24"/>
        </w:rPr>
      </w:pPr>
    </w:p>
    <w:p w14:paraId="43374200" w14:textId="77777777" w:rsidR="008A0D76" w:rsidRPr="0002489D" w:rsidRDefault="008A0D76" w:rsidP="008A0D76">
      <w:pPr>
        <w:rPr>
          <w:rFonts w:ascii="Calibri" w:eastAsia="Calibri" w:hAnsi="Calibri" w:cs="Times New Roman"/>
          <w:kern w:val="2"/>
          <w:highlight w:val="yellow"/>
        </w:rPr>
      </w:pPr>
      <w:r w:rsidRPr="0002489D">
        <w:rPr>
          <w:rFonts w:ascii="Calibri" w:eastAsia="Calibri" w:hAnsi="Calibri" w:cs="Times New Roman"/>
          <w:kern w:val="2"/>
          <w:highlight w:val="yellow"/>
        </w:rPr>
        <w:lastRenderedPageBreak/>
        <w:t>Disclaimer (Artificial intelligence)</w:t>
      </w:r>
    </w:p>
    <w:p w14:paraId="39EBDCD5" w14:textId="77777777" w:rsidR="008A0D76" w:rsidRPr="0002489D" w:rsidRDefault="008A0D76" w:rsidP="008A0D76">
      <w:pPr>
        <w:rPr>
          <w:rFonts w:ascii="Calibri" w:eastAsia="Calibri" w:hAnsi="Calibri" w:cs="Times New Roman"/>
          <w:kern w:val="2"/>
          <w:highlight w:val="yellow"/>
        </w:rPr>
      </w:pPr>
      <w:r w:rsidRPr="0002489D">
        <w:rPr>
          <w:rFonts w:ascii="Calibri" w:eastAsia="Calibri" w:hAnsi="Calibri" w:cs="Times New Roman"/>
          <w:kern w:val="2"/>
          <w:highlight w:val="yellow"/>
        </w:rPr>
        <w:t xml:space="preserve">Option 1: </w:t>
      </w:r>
    </w:p>
    <w:p w14:paraId="2883A143" w14:textId="77777777" w:rsidR="008A0D76" w:rsidRPr="0002489D" w:rsidRDefault="008A0D76" w:rsidP="008A0D76">
      <w:pPr>
        <w:rPr>
          <w:rFonts w:ascii="Calibri" w:eastAsia="Calibri" w:hAnsi="Calibri" w:cs="Times New Roman"/>
          <w:kern w:val="2"/>
          <w:highlight w:val="yellow"/>
        </w:rPr>
      </w:pPr>
      <w:r w:rsidRPr="0002489D">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14:paraId="5CCE3E90" w14:textId="77777777" w:rsidR="008A0D76" w:rsidRPr="0002489D" w:rsidRDefault="008A0D76" w:rsidP="008A0D76">
      <w:pPr>
        <w:rPr>
          <w:rFonts w:ascii="Calibri" w:eastAsia="Calibri" w:hAnsi="Calibri" w:cs="Times New Roman"/>
          <w:kern w:val="2"/>
          <w:highlight w:val="yellow"/>
        </w:rPr>
      </w:pPr>
      <w:r w:rsidRPr="0002489D">
        <w:rPr>
          <w:rFonts w:ascii="Calibri" w:eastAsia="Calibri" w:hAnsi="Calibri" w:cs="Times New Roman"/>
          <w:kern w:val="2"/>
          <w:highlight w:val="yellow"/>
        </w:rPr>
        <w:t xml:space="preserve">Option 2: </w:t>
      </w:r>
    </w:p>
    <w:p w14:paraId="6F42EF21" w14:textId="77777777" w:rsidR="008A0D76" w:rsidRPr="0002489D" w:rsidRDefault="008A0D76" w:rsidP="008A0D76">
      <w:pPr>
        <w:rPr>
          <w:rFonts w:ascii="Calibri" w:eastAsia="Calibri" w:hAnsi="Calibri" w:cs="Times New Roman"/>
          <w:kern w:val="2"/>
          <w:highlight w:val="yellow"/>
        </w:rPr>
      </w:pPr>
      <w:r w:rsidRPr="0002489D">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5DCB680" w14:textId="77777777" w:rsidR="008A0D76" w:rsidRPr="0002489D" w:rsidRDefault="008A0D76" w:rsidP="008A0D76">
      <w:pPr>
        <w:rPr>
          <w:rFonts w:ascii="Calibri" w:eastAsia="Calibri" w:hAnsi="Calibri" w:cs="Times New Roman"/>
          <w:kern w:val="2"/>
          <w:highlight w:val="yellow"/>
        </w:rPr>
      </w:pPr>
      <w:r w:rsidRPr="0002489D">
        <w:rPr>
          <w:rFonts w:ascii="Calibri" w:eastAsia="Calibri" w:hAnsi="Calibri" w:cs="Times New Roman"/>
          <w:kern w:val="2"/>
          <w:highlight w:val="yellow"/>
        </w:rPr>
        <w:t>Details of the AI usage are given below:</w:t>
      </w:r>
    </w:p>
    <w:p w14:paraId="2F5253E6" w14:textId="77777777" w:rsidR="008A0D76" w:rsidRPr="0002489D" w:rsidRDefault="008A0D76" w:rsidP="008A0D76">
      <w:pPr>
        <w:rPr>
          <w:rFonts w:ascii="Calibri" w:eastAsia="Calibri" w:hAnsi="Calibri" w:cs="Times New Roman"/>
          <w:kern w:val="2"/>
          <w:highlight w:val="yellow"/>
        </w:rPr>
      </w:pPr>
      <w:r w:rsidRPr="0002489D">
        <w:rPr>
          <w:rFonts w:ascii="Calibri" w:eastAsia="Calibri" w:hAnsi="Calibri" w:cs="Times New Roman"/>
          <w:kern w:val="2"/>
          <w:highlight w:val="yellow"/>
        </w:rPr>
        <w:t>1.</w:t>
      </w:r>
    </w:p>
    <w:p w14:paraId="04695ABA" w14:textId="77777777" w:rsidR="008A0D76" w:rsidRPr="0002489D" w:rsidRDefault="008A0D76" w:rsidP="008A0D76">
      <w:pPr>
        <w:rPr>
          <w:rFonts w:ascii="Calibri" w:eastAsia="Calibri" w:hAnsi="Calibri" w:cs="Times New Roman"/>
          <w:kern w:val="2"/>
          <w:highlight w:val="yellow"/>
        </w:rPr>
      </w:pPr>
      <w:r w:rsidRPr="0002489D">
        <w:rPr>
          <w:rFonts w:ascii="Calibri" w:eastAsia="Calibri" w:hAnsi="Calibri" w:cs="Times New Roman"/>
          <w:kern w:val="2"/>
          <w:highlight w:val="yellow"/>
        </w:rPr>
        <w:t>2.</w:t>
      </w:r>
    </w:p>
    <w:p w14:paraId="58CA3F93" w14:textId="77777777" w:rsidR="008A0D76" w:rsidRPr="0002489D" w:rsidRDefault="008A0D76" w:rsidP="008A0D76">
      <w:pPr>
        <w:rPr>
          <w:rFonts w:ascii="Calibri" w:eastAsia="Calibri" w:hAnsi="Calibri" w:cs="Times New Roman"/>
          <w:kern w:val="2"/>
        </w:rPr>
      </w:pPr>
      <w:r w:rsidRPr="0002489D">
        <w:rPr>
          <w:rFonts w:ascii="Calibri" w:eastAsia="Calibri" w:hAnsi="Calibri" w:cs="Times New Roman"/>
          <w:kern w:val="2"/>
          <w:highlight w:val="yellow"/>
        </w:rPr>
        <w:t>3.</w:t>
      </w:r>
    </w:p>
    <w:p w14:paraId="580E9A03" w14:textId="77777777" w:rsidR="008A0D76" w:rsidRPr="00E66107" w:rsidRDefault="008A0D76" w:rsidP="003E39D4">
      <w:pPr>
        <w:spacing w:after="0" w:line="360" w:lineRule="auto"/>
        <w:jc w:val="both"/>
        <w:rPr>
          <w:rFonts w:ascii="Times New Roman" w:eastAsia="Times New Roman" w:hAnsi="Times New Roman" w:cs="Times New Roman"/>
          <w:b/>
          <w:bCs/>
          <w:sz w:val="24"/>
          <w:szCs w:val="24"/>
        </w:rPr>
      </w:pPr>
    </w:p>
    <w:p w14:paraId="5E0F0FB1" w14:textId="77777777" w:rsidR="003E39D4" w:rsidRPr="00E66107" w:rsidRDefault="003E39D4" w:rsidP="003E39D4">
      <w:pPr>
        <w:spacing w:after="0" w:line="360" w:lineRule="auto"/>
        <w:jc w:val="both"/>
        <w:rPr>
          <w:rFonts w:ascii="Times New Roman" w:eastAsia="Times New Roman" w:hAnsi="Times New Roman" w:cs="Times New Roman"/>
          <w:b/>
          <w:sz w:val="24"/>
          <w:szCs w:val="24"/>
        </w:rPr>
      </w:pPr>
      <w:r w:rsidRPr="00E66107">
        <w:rPr>
          <w:rFonts w:ascii="Times New Roman" w:eastAsia="Times New Roman" w:hAnsi="Times New Roman" w:cs="Times New Roman"/>
          <w:b/>
          <w:sz w:val="24"/>
          <w:szCs w:val="24"/>
        </w:rPr>
        <w:t>REFERENCES</w:t>
      </w:r>
    </w:p>
    <w:p w14:paraId="02D9DB63"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Abdullah, A., Phern, T. C., Rahim, N. F. H. M., Zaharuddin, N. I., Salihin, N. M., Yusof, A. H. (2017). The effects of cosmos caudatus (ulam Raja) on the levels of expression of Nrf2 target genes in mice liver. J. Pharm. Nutr. Sci. </w:t>
      </w:r>
      <w:r w:rsidRPr="00E66107">
        <w:rPr>
          <w:rFonts w:ascii="Times New Roman" w:eastAsia="Times New Roman" w:hAnsi="Times New Roman" w:cs="Times New Roman"/>
          <w:b/>
          <w:sz w:val="24"/>
          <w:szCs w:val="24"/>
        </w:rPr>
        <w:t>7</w:t>
      </w:r>
      <w:r w:rsidRPr="00E66107">
        <w:rPr>
          <w:rFonts w:ascii="Times New Roman" w:eastAsia="Times New Roman" w:hAnsi="Times New Roman" w:cs="Times New Roman"/>
          <w:sz w:val="24"/>
          <w:szCs w:val="24"/>
        </w:rPr>
        <w:t xml:space="preserve">, 147–157. </w:t>
      </w:r>
    </w:p>
    <w:p w14:paraId="7AC20F85"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Abenavoli, L., Capasso, R., Milic, N., and Capasso, F. (2010). Milk thistle in liver diseases: Past, present, future. Phytother. Res. </w:t>
      </w:r>
      <w:r w:rsidRPr="00E66107">
        <w:rPr>
          <w:rFonts w:ascii="Times New Roman" w:eastAsia="Times New Roman" w:hAnsi="Times New Roman" w:cs="Times New Roman"/>
          <w:b/>
          <w:sz w:val="24"/>
          <w:szCs w:val="24"/>
        </w:rPr>
        <w:t>24</w:t>
      </w:r>
      <w:r w:rsidRPr="00E66107">
        <w:rPr>
          <w:rFonts w:ascii="Times New Roman" w:eastAsia="Times New Roman" w:hAnsi="Times New Roman" w:cs="Times New Roman"/>
          <w:sz w:val="24"/>
          <w:szCs w:val="24"/>
        </w:rPr>
        <w:t>, 1423–1432.s</w:t>
      </w:r>
    </w:p>
    <w:p w14:paraId="01DA681E"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Abenavoli, L., Izzo, A. A., Milić, N., Cicala, C., Santini, A., and Capasso, R. (2018). Milk thistle (Silybum marianum): A concise overview on its chemistry, pharmacological, and nutraceutical uses in liver diseases. Phytother. Res </w:t>
      </w:r>
      <w:r w:rsidRPr="00E66107">
        <w:rPr>
          <w:rFonts w:ascii="Times New Roman" w:eastAsia="Times New Roman" w:hAnsi="Times New Roman" w:cs="Times New Roman"/>
          <w:b/>
          <w:sz w:val="24"/>
          <w:szCs w:val="24"/>
        </w:rPr>
        <w:t>32</w:t>
      </w:r>
      <w:r w:rsidRPr="00E66107">
        <w:rPr>
          <w:rFonts w:ascii="Times New Roman" w:eastAsia="Times New Roman" w:hAnsi="Times New Roman" w:cs="Times New Roman"/>
          <w:sz w:val="24"/>
          <w:szCs w:val="24"/>
        </w:rPr>
        <w:t xml:space="preserve">, 2202–2213. </w:t>
      </w:r>
    </w:p>
    <w:p w14:paraId="32D9089D"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Adewole, O. A.,. (2022). Antioxidant mechanisms in medicinal plants. </w:t>
      </w:r>
      <w:r w:rsidRPr="00E66107">
        <w:rPr>
          <w:rFonts w:ascii="Times New Roman" w:eastAsia="Times New Roman" w:hAnsi="Times New Roman" w:cs="Times New Roman"/>
          <w:i/>
          <w:sz w:val="24"/>
          <w:szCs w:val="24"/>
        </w:rPr>
        <w:t>Journal of Ethnopharmacology</w:t>
      </w:r>
      <w:r w:rsidRPr="00E66107">
        <w:rPr>
          <w:rFonts w:ascii="Times New Roman" w:eastAsia="Times New Roman" w:hAnsi="Times New Roman" w:cs="Times New Roman"/>
          <w:sz w:val="24"/>
          <w:szCs w:val="24"/>
        </w:rPr>
        <w:t xml:space="preserve">, </w:t>
      </w:r>
      <w:r w:rsidRPr="00E66107">
        <w:rPr>
          <w:rFonts w:ascii="Times New Roman" w:eastAsia="Times New Roman" w:hAnsi="Times New Roman" w:cs="Times New Roman"/>
          <w:b/>
          <w:sz w:val="24"/>
          <w:szCs w:val="24"/>
        </w:rPr>
        <w:t>290</w:t>
      </w:r>
      <w:r w:rsidRPr="00E66107">
        <w:rPr>
          <w:rFonts w:ascii="Times New Roman" w:eastAsia="Times New Roman" w:hAnsi="Times New Roman" w:cs="Times New Roman"/>
          <w:sz w:val="24"/>
          <w:szCs w:val="24"/>
        </w:rPr>
        <w:t xml:space="preserve">, 115123. </w:t>
      </w:r>
    </w:p>
    <w:p w14:paraId="4B2C2DFA"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Agaie B.M., Onyeyili P.A., Muhammad B.Y., Ladan M.J., (2007b). Acute toxicity effects of the aqueous leaf extract of Anogeissus leiocarpus in rats. African Journal of Biotechnology </w:t>
      </w:r>
      <w:r w:rsidRPr="00E66107">
        <w:rPr>
          <w:rFonts w:ascii="Times New Roman" w:eastAsia="Times New Roman" w:hAnsi="Times New Roman" w:cs="Times New Roman"/>
          <w:b/>
          <w:sz w:val="24"/>
          <w:szCs w:val="24"/>
        </w:rPr>
        <w:t>6</w:t>
      </w:r>
      <w:r w:rsidRPr="00E66107">
        <w:rPr>
          <w:rFonts w:ascii="Times New Roman" w:eastAsia="Times New Roman" w:hAnsi="Times New Roman" w:cs="Times New Roman"/>
          <w:sz w:val="24"/>
          <w:szCs w:val="24"/>
        </w:rPr>
        <w:t xml:space="preserve">(7), 886-889.  </w:t>
      </w:r>
    </w:p>
    <w:p w14:paraId="78ECB07A"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Ahmad, A. H. (2014). Review on </w:t>
      </w:r>
      <w:r w:rsidRPr="00E66107">
        <w:rPr>
          <w:rFonts w:ascii="Times New Roman" w:eastAsia="Times New Roman" w:hAnsi="Times New Roman" w:cs="Times New Roman"/>
          <w:i/>
          <w:sz w:val="24"/>
          <w:szCs w:val="24"/>
        </w:rPr>
        <w:t>Anogeissus leiocarpus</w:t>
      </w:r>
      <w:r w:rsidRPr="00E66107">
        <w:rPr>
          <w:rFonts w:ascii="Times New Roman" w:eastAsia="Times New Roman" w:hAnsi="Times New Roman" w:cs="Times New Roman"/>
          <w:sz w:val="24"/>
          <w:szCs w:val="24"/>
        </w:rPr>
        <w:t xml:space="preserve">: A Potent African Traditional Drug. </w:t>
      </w:r>
    </w:p>
    <w:p w14:paraId="2B3B1E4D"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lastRenderedPageBreak/>
        <w:t xml:space="preserve">International Journal of Research in Pharmacy and Chemistry. </w:t>
      </w:r>
      <w:r w:rsidRPr="00E66107">
        <w:rPr>
          <w:rFonts w:ascii="Times New Roman" w:eastAsia="Times New Roman" w:hAnsi="Times New Roman" w:cs="Times New Roman"/>
          <w:b/>
          <w:sz w:val="24"/>
          <w:szCs w:val="24"/>
        </w:rPr>
        <w:t>4</w:t>
      </w:r>
      <w:r w:rsidRPr="00E66107">
        <w:rPr>
          <w:rFonts w:ascii="Times New Roman" w:eastAsia="Times New Roman" w:hAnsi="Times New Roman" w:cs="Times New Roman"/>
          <w:sz w:val="24"/>
          <w:szCs w:val="24"/>
        </w:rPr>
        <w:t xml:space="preserve">(3): 496-500. </w:t>
      </w:r>
    </w:p>
    <w:p w14:paraId="16062BB2"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Ahmad, A., and Ahmad, R. (2014). Resveratrol mitigate structural changes and hepatic stellate cell activation in N'-nitrosodimethylamine-induced liver fibrosis via restraining oxidative damage. Chem. Biol. Interact. </w:t>
      </w:r>
      <w:r w:rsidRPr="00E66107">
        <w:rPr>
          <w:rFonts w:ascii="Times New Roman" w:eastAsia="Times New Roman" w:hAnsi="Times New Roman" w:cs="Times New Roman"/>
          <w:b/>
          <w:sz w:val="24"/>
          <w:szCs w:val="24"/>
        </w:rPr>
        <w:t>221</w:t>
      </w:r>
      <w:r w:rsidRPr="00E66107">
        <w:rPr>
          <w:rFonts w:ascii="Times New Roman" w:eastAsia="Times New Roman" w:hAnsi="Times New Roman" w:cs="Times New Roman"/>
          <w:sz w:val="24"/>
          <w:szCs w:val="24"/>
        </w:rPr>
        <w:t xml:space="preserve">, 1–12. </w:t>
      </w:r>
    </w:p>
    <w:p w14:paraId="05C6F63A"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Aithal G. P., Ramsay L., Daly A. K., Sonchit N., Leathart J. B. S., Alexander G., (2004). Hepatic adducts, circulating antibodies, and cytokine polymorphisms in patients with diclofenac hepatotoxicity. Hepatol. Baltim. Md. </w:t>
      </w:r>
      <w:r w:rsidRPr="00E66107">
        <w:rPr>
          <w:rFonts w:ascii="Times New Roman" w:eastAsia="Times New Roman" w:hAnsi="Times New Roman" w:cs="Times New Roman"/>
          <w:b/>
          <w:sz w:val="24"/>
          <w:szCs w:val="24"/>
        </w:rPr>
        <w:t xml:space="preserve">39 </w:t>
      </w:r>
      <w:r w:rsidRPr="00E66107">
        <w:rPr>
          <w:rFonts w:ascii="Times New Roman" w:eastAsia="Times New Roman" w:hAnsi="Times New Roman" w:cs="Times New Roman"/>
          <w:sz w:val="24"/>
          <w:szCs w:val="24"/>
        </w:rPr>
        <w:t xml:space="preserve">(5), 1430–1440. 10.1002/hep.20205 </w:t>
      </w:r>
    </w:p>
    <w:p w14:paraId="3CE0C924"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Aithal G. P., Watkins P. B., Andrade R. J., Larrey D., Molokhia M., Takikawa H., et al. (2011). Case definition and phenotype standardization in drug-induced liver injury. Clin. Pharmacol. Ther. </w:t>
      </w:r>
      <w:r w:rsidRPr="00E66107">
        <w:rPr>
          <w:rFonts w:ascii="Times New Roman" w:eastAsia="Times New Roman" w:hAnsi="Times New Roman" w:cs="Times New Roman"/>
          <w:b/>
          <w:sz w:val="24"/>
          <w:szCs w:val="24"/>
        </w:rPr>
        <w:t>89</w:t>
      </w:r>
      <w:r w:rsidRPr="00E66107">
        <w:rPr>
          <w:rFonts w:ascii="Times New Roman" w:eastAsia="Times New Roman" w:hAnsi="Times New Roman" w:cs="Times New Roman"/>
          <w:sz w:val="24"/>
          <w:szCs w:val="24"/>
        </w:rPr>
        <w:t xml:space="preserve"> (6), 806–815. 10.1038/clpt.2011.58 Allain (1974). Allain C.C Poon L.S, Chan C.S.G, Richmond, W and Fu, P.C Clinical Chemistry; </w:t>
      </w:r>
      <w:r w:rsidRPr="00E66107">
        <w:rPr>
          <w:rFonts w:ascii="Times New Roman" w:eastAsia="Times New Roman" w:hAnsi="Times New Roman" w:cs="Times New Roman"/>
          <w:b/>
          <w:sz w:val="24"/>
          <w:szCs w:val="24"/>
        </w:rPr>
        <w:t>20</w:t>
      </w:r>
      <w:r w:rsidRPr="00E66107">
        <w:rPr>
          <w:rFonts w:ascii="Times New Roman" w:eastAsia="Times New Roman" w:hAnsi="Times New Roman" w:cs="Times New Roman"/>
          <w:sz w:val="24"/>
          <w:szCs w:val="24"/>
        </w:rPr>
        <w:t>: 470-475</w:t>
      </w:r>
    </w:p>
    <w:p w14:paraId="16913B27"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Allen S.E., (2002). The liver: Anatomy, Physiology, Disease and Treatment. North Eastern  University Press, USA.</w:t>
      </w:r>
    </w:p>
    <w:p w14:paraId="5C970F2C"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Andrade R. J., Robles M., Ulzurrun E., Lucena M. I. (2009). Drug-induced liver injury: insights from genetic studies. Pharmacogenomics </w:t>
      </w:r>
      <w:r w:rsidRPr="00E66107">
        <w:rPr>
          <w:rFonts w:ascii="Times New Roman" w:eastAsia="Times New Roman" w:hAnsi="Times New Roman" w:cs="Times New Roman"/>
          <w:b/>
          <w:sz w:val="24"/>
          <w:szCs w:val="24"/>
        </w:rPr>
        <w:t>10</w:t>
      </w:r>
      <w:r w:rsidRPr="00E66107">
        <w:rPr>
          <w:rFonts w:ascii="Times New Roman" w:eastAsia="Times New Roman" w:hAnsi="Times New Roman" w:cs="Times New Roman"/>
          <w:sz w:val="24"/>
          <w:szCs w:val="24"/>
        </w:rPr>
        <w:t xml:space="preserve"> (9), 1467–1487. 10.2217/pgs.09.111</w:t>
      </w:r>
    </w:p>
    <w:p w14:paraId="2A2DFA2E"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Arbab A.H. 2014. Review on </w:t>
      </w:r>
      <w:r w:rsidRPr="00FE6178">
        <w:rPr>
          <w:rFonts w:ascii="Times New Roman" w:eastAsia="Times New Roman" w:hAnsi="Times New Roman" w:cs="Times New Roman"/>
          <w:i/>
          <w:sz w:val="24"/>
          <w:szCs w:val="24"/>
        </w:rPr>
        <w:t>Anogeissus leiocarpus</w:t>
      </w:r>
      <w:r w:rsidRPr="00E66107">
        <w:rPr>
          <w:rFonts w:ascii="Times New Roman" w:eastAsia="Times New Roman" w:hAnsi="Times New Roman" w:cs="Times New Roman"/>
          <w:sz w:val="24"/>
          <w:szCs w:val="24"/>
        </w:rPr>
        <w:t xml:space="preserve"> a potent African traditional drug. International Journal of Research in Pharmacy and Chemistry </w:t>
      </w:r>
      <w:r w:rsidRPr="00E66107">
        <w:rPr>
          <w:rFonts w:ascii="Times New Roman" w:eastAsia="Times New Roman" w:hAnsi="Times New Roman" w:cs="Times New Roman"/>
          <w:b/>
          <w:sz w:val="24"/>
          <w:szCs w:val="24"/>
        </w:rPr>
        <w:t>4</w:t>
      </w:r>
      <w:r w:rsidRPr="00E66107">
        <w:rPr>
          <w:rFonts w:ascii="Times New Roman" w:eastAsia="Times New Roman" w:hAnsi="Times New Roman" w:cs="Times New Roman"/>
          <w:sz w:val="24"/>
          <w:szCs w:val="24"/>
        </w:rPr>
        <w:t>(3), 496500.</w:t>
      </w:r>
    </w:p>
    <w:p w14:paraId="40E37F77"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Atawodi, S.E., Adekunle, O.O. and Bala, I. (2011). Antioxidant, organ protective and ameliorative properties of methanol extract of </w:t>
      </w:r>
      <w:r w:rsidR="00FE6178">
        <w:rPr>
          <w:rFonts w:ascii="Times New Roman" w:eastAsia="Times New Roman" w:hAnsi="Times New Roman" w:cs="Times New Roman"/>
          <w:i/>
          <w:sz w:val="24"/>
          <w:szCs w:val="24"/>
        </w:rPr>
        <w:t>A</w:t>
      </w:r>
      <w:r w:rsidRPr="00FE6178">
        <w:rPr>
          <w:rFonts w:ascii="Times New Roman" w:eastAsia="Times New Roman" w:hAnsi="Times New Roman" w:cs="Times New Roman"/>
          <w:i/>
          <w:sz w:val="24"/>
          <w:szCs w:val="24"/>
        </w:rPr>
        <w:t>nogeissus leiocarpus</w:t>
      </w:r>
      <w:r w:rsidRPr="00E66107">
        <w:rPr>
          <w:rFonts w:ascii="Times New Roman" w:eastAsia="Times New Roman" w:hAnsi="Times New Roman" w:cs="Times New Roman"/>
          <w:sz w:val="24"/>
          <w:szCs w:val="24"/>
        </w:rPr>
        <w:t xml:space="preserve"> stem bark against carbon tetrachloride- induced liver injury. International Journal of Pharmaceutical Sciences Research, </w:t>
      </w:r>
      <w:r w:rsidRPr="00E66107">
        <w:rPr>
          <w:rFonts w:ascii="Times New Roman" w:eastAsia="Times New Roman" w:hAnsi="Times New Roman" w:cs="Times New Roman"/>
          <w:b/>
          <w:sz w:val="24"/>
          <w:szCs w:val="24"/>
        </w:rPr>
        <w:t>2</w:t>
      </w:r>
      <w:r w:rsidRPr="00E66107">
        <w:rPr>
          <w:rFonts w:ascii="Times New Roman" w:eastAsia="Times New Roman" w:hAnsi="Times New Roman" w:cs="Times New Roman"/>
          <w:sz w:val="24"/>
          <w:szCs w:val="24"/>
        </w:rPr>
        <w:t>: 1443-1448.</w:t>
      </w:r>
    </w:p>
    <w:p w14:paraId="729DE061" w14:textId="77777777" w:rsidR="003E39D4" w:rsidRPr="00FE6178" w:rsidRDefault="003E39D4" w:rsidP="00FE6178">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Belemnaba L, Ouedraogo S, Auger C, Chataigneau T, Traore A, Guissou IP, Lugnier C, Schini-Kerth VB, Bucher B. 2013. Endothelium-independent and endothelium dependent vasorelaxation by a dichloromethane fraction from </w:t>
      </w:r>
      <w:r w:rsidRPr="00E66107">
        <w:rPr>
          <w:rFonts w:ascii="Times New Roman" w:eastAsia="Times New Roman" w:hAnsi="Times New Roman" w:cs="Times New Roman"/>
          <w:i/>
          <w:sz w:val="24"/>
          <w:szCs w:val="24"/>
        </w:rPr>
        <w:t>Anogeissus</w:t>
      </w:r>
      <w:r w:rsidRPr="00E66107">
        <w:rPr>
          <w:rFonts w:ascii="Times New Roman" w:eastAsia="Times New Roman" w:hAnsi="Times New Roman" w:cs="Times New Roman"/>
          <w:sz w:val="24"/>
          <w:szCs w:val="24"/>
        </w:rPr>
        <w:t xml:space="preserve"> </w:t>
      </w:r>
      <w:r w:rsidRPr="00E66107">
        <w:rPr>
          <w:rFonts w:ascii="Times New Roman" w:eastAsia="Times New Roman" w:hAnsi="Times New Roman" w:cs="Times New Roman"/>
          <w:i/>
          <w:sz w:val="24"/>
          <w:szCs w:val="24"/>
        </w:rPr>
        <w:t>leiocarpus</w:t>
      </w:r>
      <w:r w:rsidRPr="00E66107">
        <w:rPr>
          <w:rFonts w:ascii="Times New Roman" w:eastAsia="Times New Roman" w:hAnsi="Times New Roman" w:cs="Times New Roman"/>
          <w:sz w:val="24"/>
          <w:szCs w:val="24"/>
        </w:rPr>
        <w:t xml:space="preserve"> (DC) Guill. Et Perr. (Combretaceae): possible involvement of cyclic nucleotide phosphodiesterase inhibition. African Journal of Traditional, Complementary and Alternative Medecine </w:t>
      </w:r>
      <w:r w:rsidRPr="00E66107">
        <w:rPr>
          <w:rFonts w:ascii="Times New Roman" w:eastAsia="Times New Roman" w:hAnsi="Times New Roman" w:cs="Times New Roman"/>
          <w:b/>
          <w:sz w:val="24"/>
          <w:szCs w:val="24"/>
        </w:rPr>
        <w:t>10</w:t>
      </w:r>
      <w:r w:rsidRPr="00E66107">
        <w:rPr>
          <w:rFonts w:ascii="Times New Roman" w:eastAsia="Times New Roman" w:hAnsi="Times New Roman" w:cs="Times New Roman"/>
          <w:sz w:val="24"/>
          <w:szCs w:val="24"/>
        </w:rPr>
        <w:t xml:space="preserve">(2), 173-179.  </w:t>
      </w:r>
    </w:p>
    <w:p w14:paraId="2DB5D583"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Black, D.D. (2014). Structure, Functional Assessment, and Blood Flow of the Liver. In: Leung, P. (eds) The Gastrointestinal System. Springer, Dordrecht.</w:t>
      </w:r>
    </w:p>
    <w:p w14:paraId="33CCC833" w14:textId="77777777" w:rsidR="003E39D4" w:rsidRPr="00E66107" w:rsidRDefault="003E39D4" w:rsidP="003E39D4">
      <w:pPr>
        <w:spacing w:before="240"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Burke Z.D., Thowfeequ S., Tosh D., (2006). Liver specification: a new role for rats in </w:t>
      </w:r>
      <w:r w:rsidR="00FE6178" w:rsidRPr="00E66107">
        <w:rPr>
          <w:rFonts w:ascii="Times New Roman" w:eastAsia="Times New Roman" w:hAnsi="Times New Roman" w:cs="Times New Roman"/>
          <w:sz w:val="24"/>
          <w:szCs w:val="24"/>
        </w:rPr>
        <w:t>liver development</w:t>
      </w:r>
      <w:r w:rsidRPr="00E66107">
        <w:rPr>
          <w:rFonts w:ascii="Times New Roman" w:eastAsia="Times New Roman" w:hAnsi="Times New Roman" w:cs="Times New Roman"/>
          <w:sz w:val="24"/>
          <w:szCs w:val="24"/>
        </w:rPr>
        <w:t xml:space="preserve">. Current Biology, </w:t>
      </w:r>
      <w:r w:rsidRPr="00E66107">
        <w:rPr>
          <w:rFonts w:ascii="Times New Roman" w:eastAsia="Times New Roman" w:hAnsi="Times New Roman" w:cs="Times New Roman"/>
          <w:b/>
          <w:sz w:val="24"/>
          <w:szCs w:val="24"/>
        </w:rPr>
        <w:t>16</w:t>
      </w:r>
      <w:r w:rsidRPr="00E66107">
        <w:rPr>
          <w:rFonts w:ascii="Times New Roman" w:eastAsia="Times New Roman" w:hAnsi="Times New Roman" w:cs="Times New Roman"/>
          <w:sz w:val="24"/>
          <w:szCs w:val="24"/>
        </w:rPr>
        <w:t xml:space="preserve">(17): 688 - 690.  </w:t>
      </w:r>
    </w:p>
    <w:p w14:paraId="52291C8D"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lastRenderedPageBreak/>
        <w:t xml:space="preserve">Cummings, A. J., King, M. L., and Martin, B. K. (1967). A kinetic study of drug elimination: the excretion of paracetamol and its metabolites in man. Br. J. Pharmacol. Chemother. </w:t>
      </w:r>
      <w:r w:rsidRPr="00E66107">
        <w:rPr>
          <w:rFonts w:ascii="Times New Roman" w:eastAsia="Times New Roman" w:hAnsi="Times New Roman" w:cs="Times New Roman"/>
          <w:b/>
          <w:sz w:val="24"/>
          <w:szCs w:val="24"/>
        </w:rPr>
        <w:t>29</w:t>
      </w:r>
      <w:r w:rsidRPr="00E66107">
        <w:rPr>
          <w:rFonts w:ascii="Times New Roman" w:eastAsia="Times New Roman" w:hAnsi="Times New Roman" w:cs="Times New Roman"/>
          <w:sz w:val="24"/>
          <w:szCs w:val="24"/>
        </w:rPr>
        <w:t xml:space="preserve">, 150–157. </w:t>
      </w:r>
    </w:p>
    <w:p w14:paraId="0E3926C4"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Dahiru, M. M., Abaka, A. M., and Musa, N. (2023). Phytochemical Analysis, In-vitro, and In-silico Antibacterial Activity of Stembark Extract of Anogeissus leiocarpus (DC) Guill and Perr. Sciences of Pharmacy, 2(3), 24-41.</w:t>
      </w:r>
    </w:p>
    <w:p w14:paraId="4190E300"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Dahiru, M.M., Badgal, E.B., Musa N. (2023). J.Fac.Pharm.Ankara/Ankara Ecz.Fak.Derg., </w:t>
      </w:r>
      <w:r w:rsidRPr="00E66107">
        <w:rPr>
          <w:rFonts w:ascii="Times New Roman" w:eastAsia="Times New Roman" w:hAnsi="Times New Roman" w:cs="Times New Roman"/>
          <w:b/>
          <w:sz w:val="24"/>
          <w:szCs w:val="24"/>
        </w:rPr>
        <w:t>47</w:t>
      </w:r>
      <w:r w:rsidRPr="00E66107">
        <w:rPr>
          <w:rFonts w:ascii="Times New Roman" w:eastAsia="Times New Roman" w:hAnsi="Times New Roman" w:cs="Times New Roman"/>
          <w:sz w:val="24"/>
          <w:szCs w:val="24"/>
        </w:rPr>
        <w:t>(2):311-323</w:t>
      </w:r>
    </w:p>
    <w:p w14:paraId="6E6160DF"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Dalaklioglu, S., Genc, G. E., Aksoy, N. H., Akcit, F., and Gumuslu, S. (2013). Resveratrol ameliorates methotrexate-induced hepatotoxicity in rats via inhibition of lipid peroxidation. Hum. Exp. Toxicol. </w:t>
      </w:r>
      <w:r w:rsidRPr="00E66107">
        <w:rPr>
          <w:rFonts w:ascii="Times New Roman" w:eastAsia="Times New Roman" w:hAnsi="Times New Roman" w:cs="Times New Roman"/>
          <w:b/>
          <w:sz w:val="24"/>
          <w:szCs w:val="24"/>
        </w:rPr>
        <w:t>32</w:t>
      </w:r>
      <w:r w:rsidRPr="00E66107">
        <w:rPr>
          <w:rFonts w:ascii="Times New Roman" w:eastAsia="Times New Roman" w:hAnsi="Times New Roman" w:cs="Times New Roman"/>
          <w:sz w:val="24"/>
          <w:szCs w:val="24"/>
        </w:rPr>
        <w:t>, 662–671.</w:t>
      </w:r>
    </w:p>
    <w:p w14:paraId="28CE3E1A"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Dara, L., Liu, Z. X., and Kaplowitz, N. (2016). Questions and controversies: the role of necroptosis in liver disease. Cell Death Discov. </w:t>
      </w:r>
      <w:r w:rsidRPr="00E66107">
        <w:rPr>
          <w:rFonts w:ascii="Times New Roman" w:eastAsia="Times New Roman" w:hAnsi="Times New Roman" w:cs="Times New Roman"/>
          <w:b/>
          <w:sz w:val="24"/>
          <w:szCs w:val="24"/>
        </w:rPr>
        <w:t>2</w:t>
      </w:r>
      <w:r w:rsidRPr="00E66107">
        <w:rPr>
          <w:rFonts w:ascii="Times New Roman" w:eastAsia="Times New Roman" w:hAnsi="Times New Roman" w:cs="Times New Roman"/>
          <w:sz w:val="24"/>
          <w:szCs w:val="24"/>
        </w:rPr>
        <w:t xml:space="preserve">:16089. </w:t>
      </w:r>
    </w:p>
    <w:p w14:paraId="0B31454A"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Dayok, O., Dawang, D.N. and Da’am, C.E. (2018). Antimicrobial Activity of Leaf Extract of Anogeissus leiocarpus (African Birch) On Some Selected Clinical Isolates. Journal of Pharmaceutical and Biological Sciences, </w:t>
      </w:r>
      <w:r w:rsidRPr="00E66107">
        <w:rPr>
          <w:rFonts w:ascii="Times New Roman" w:eastAsia="Times New Roman" w:hAnsi="Times New Roman" w:cs="Times New Roman"/>
          <w:b/>
          <w:sz w:val="24"/>
          <w:szCs w:val="24"/>
        </w:rPr>
        <w:t>13</w:t>
      </w:r>
      <w:r w:rsidRPr="00E66107">
        <w:rPr>
          <w:rFonts w:ascii="Times New Roman" w:eastAsia="Times New Roman" w:hAnsi="Times New Roman" w:cs="Times New Roman"/>
          <w:sz w:val="24"/>
          <w:szCs w:val="24"/>
        </w:rPr>
        <w:t>: 36-40.</w:t>
      </w:r>
    </w:p>
    <w:p w14:paraId="7C3BD330" w14:textId="77777777" w:rsidR="006056C3" w:rsidRPr="00E66107" w:rsidRDefault="003E39D4" w:rsidP="003E39D4">
      <w:pPr>
        <w:spacing w:before="240"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Devarbhavi H, Dierkhising R, Kremers WK, Sandeep M</w:t>
      </w:r>
      <w:r w:rsidR="006056C3">
        <w:rPr>
          <w:rFonts w:ascii="Times New Roman" w:eastAsia="Times New Roman" w:hAnsi="Times New Roman" w:cs="Times New Roman"/>
          <w:sz w:val="24"/>
          <w:szCs w:val="24"/>
        </w:rPr>
        <w:t>S, Karanth D, Adarsh CK, (2010).</w:t>
      </w:r>
      <w:r w:rsidRPr="00E66107">
        <w:rPr>
          <w:rFonts w:ascii="Times New Roman" w:eastAsia="Times New Roman" w:hAnsi="Times New Roman" w:cs="Times New Roman"/>
          <w:sz w:val="24"/>
          <w:szCs w:val="24"/>
        </w:rPr>
        <w:t xml:space="preserve"> Single-center experience with drug-induced liver injury from India: causes, outcome, prognosis, and predictors of mortality. Am J Gastroenterol; 105: 2396-404.</w:t>
      </w:r>
    </w:p>
    <w:p w14:paraId="1E21D831"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Elberry, A.A., Harraz, F.M., Ghareibetal., S.A. (2010). “Antihepatotoxic effect of Marrubium vulgare and with aniasomnifera extracts on carbon tetrachloride—induced hepatotoxicity in rats,” Journal of Basic and Clinical Pharmacy, vol.1, no.4, pp.247–254.</w:t>
      </w:r>
    </w:p>
    <w:p w14:paraId="136F9E1B"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Ezuruike, U.F., and Prieto, J.M., (2014). The use of plants in the traditional management of diabetes in Nigeria: pharmacological and toxicology considerations. </w:t>
      </w:r>
      <w:r w:rsidRPr="00E66107">
        <w:rPr>
          <w:rFonts w:ascii="Times New Roman" w:eastAsia="Times New Roman" w:hAnsi="Times New Roman" w:cs="Times New Roman"/>
          <w:i/>
          <w:sz w:val="24"/>
          <w:szCs w:val="24"/>
        </w:rPr>
        <w:t xml:space="preserve">J. Ethnopharmacol., </w:t>
      </w:r>
      <w:r w:rsidRPr="00E66107">
        <w:rPr>
          <w:rFonts w:ascii="Times New Roman" w:eastAsia="Times New Roman" w:hAnsi="Times New Roman" w:cs="Times New Roman"/>
          <w:b/>
          <w:sz w:val="24"/>
          <w:szCs w:val="24"/>
        </w:rPr>
        <w:t>155</w:t>
      </w:r>
      <w:r w:rsidRPr="00E66107">
        <w:rPr>
          <w:rFonts w:ascii="Times New Roman" w:eastAsia="Times New Roman" w:hAnsi="Times New Roman" w:cs="Times New Roman"/>
          <w:sz w:val="24"/>
          <w:szCs w:val="24"/>
        </w:rPr>
        <w:t>, pp. 857-924.</w:t>
      </w:r>
    </w:p>
    <w:p w14:paraId="3C111E2B"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Frank, D., Savir, S., Gruenbaum, B.F., Melamed, J., Grinshpun, R., Kuts, R., Knyazer, B., Zlotnik, A, Vinokur, M., Boyko, M., (2020). Inducing acute liver injury in rats via exposure through an orogastric tube. </w:t>
      </w:r>
      <w:r w:rsidRPr="00E66107">
        <w:rPr>
          <w:rFonts w:ascii="Times New Roman" w:eastAsia="Times New Roman" w:hAnsi="Times New Roman" w:cs="Times New Roman"/>
          <w:i/>
          <w:sz w:val="24"/>
          <w:szCs w:val="24"/>
        </w:rPr>
        <w:t>J. Vis. Exp. JoVE.S</w:t>
      </w:r>
      <w:r w:rsidRPr="00E66107">
        <w:rPr>
          <w:rFonts w:ascii="Times New Roman" w:eastAsia="Times New Roman" w:hAnsi="Times New Roman" w:cs="Times New Roman"/>
          <w:sz w:val="24"/>
          <w:szCs w:val="24"/>
        </w:rPr>
        <w:t xml:space="preserve"> </w:t>
      </w:r>
    </w:p>
    <w:p w14:paraId="77BF1F79"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Gbadamosi I.T., Ogunsuyi A.O., (2014). An appraisal of the potency of roots of </w:t>
      </w:r>
      <w:r w:rsidRPr="00E66107">
        <w:rPr>
          <w:rFonts w:ascii="Times New Roman" w:eastAsia="Times New Roman" w:hAnsi="Times New Roman" w:cs="Times New Roman"/>
          <w:i/>
          <w:sz w:val="24"/>
          <w:szCs w:val="24"/>
        </w:rPr>
        <w:t>Anogeissus</w:t>
      </w:r>
      <w:r w:rsidRPr="00E66107">
        <w:rPr>
          <w:rFonts w:ascii="Times New Roman" w:eastAsia="Times New Roman" w:hAnsi="Times New Roman" w:cs="Times New Roman"/>
          <w:sz w:val="24"/>
          <w:szCs w:val="24"/>
        </w:rPr>
        <w:t xml:space="preserve"> </w:t>
      </w:r>
      <w:r w:rsidRPr="00E66107">
        <w:rPr>
          <w:rFonts w:ascii="Times New Roman" w:eastAsia="Times New Roman" w:hAnsi="Times New Roman" w:cs="Times New Roman"/>
          <w:i/>
          <w:sz w:val="24"/>
          <w:szCs w:val="24"/>
        </w:rPr>
        <w:t>leiocarpus</w:t>
      </w:r>
      <w:r w:rsidRPr="00E66107">
        <w:rPr>
          <w:rFonts w:ascii="Times New Roman" w:eastAsia="Times New Roman" w:hAnsi="Times New Roman" w:cs="Times New Roman"/>
          <w:sz w:val="24"/>
          <w:szCs w:val="24"/>
        </w:rPr>
        <w:t xml:space="preserve"> (DC.) Guill. &amp; Perr. and </w:t>
      </w:r>
      <w:r w:rsidRPr="00E66107">
        <w:rPr>
          <w:rFonts w:ascii="Times New Roman" w:eastAsia="Times New Roman" w:hAnsi="Times New Roman" w:cs="Times New Roman"/>
          <w:i/>
          <w:sz w:val="24"/>
          <w:szCs w:val="24"/>
        </w:rPr>
        <w:t>Terminalia</w:t>
      </w:r>
      <w:r w:rsidRPr="00E66107">
        <w:rPr>
          <w:rFonts w:ascii="Times New Roman" w:eastAsia="Times New Roman" w:hAnsi="Times New Roman" w:cs="Times New Roman"/>
          <w:sz w:val="24"/>
          <w:szCs w:val="24"/>
        </w:rPr>
        <w:t xml:space="preserve"> </w:t>
      </w:r>
      <w:r w:rsidRPr="00E66107">
        <w:rPr>
          <w:rFonts w:ascii="Times New Roman" w:eastAsia="Times New Roman" w:hAnsi="Times New Roman" w:cs="Times New Roman"/>
          <w:i/>
          <w:sz w:val="24"/>
          <w:szCs w:val="24"/>
        </w:rPr>
        <w:t>glaucescens</w:t>
      </w:r>
      <w:r w:rsidRPr="00E66107">
        <w:rPr>
          <w:rFonts w:ascii="Times New Roman" w:eastAsia="Times New Roman" w:hAnsi="Times New Roman" w:cs="Times New Roman"/>
          <w:sz w:val="24"/>
          <w:szCs w:val="24"/>
        </w:rPr>
        <w:t xml:space="preserve"> Benth. in the management of E. coli related infections. Journal of Applied Biosciences </w:t>
      </w:r>
      <w:r w:rsidRPr="00E66107">
        <w:rPr>
          <w:rFonts w:ascii="Times New Roman" w:eastAsia="Times New Roman" w:hAnsi="Times New Roman" w:cs="Times New Roman"/>
          <w:b/>
          <w:sz w:val="24"/>
          <w:szCs w:val="24"/>
        </w:rPr>
        <w:t>78</w:t>
      </w:r>
      <w:r w:rsidRPr="00E66107">
        <w:rPr>
          <w:rFonts w:ascii="Times New Roman" w:eastAsia="Times New Roman" w:hAnsi="Times New Roman" w:cs="Times New Roman"/>
          <w:sz w:val="24"/>
          <w:szCs w:val="24"/>
        </w:rPr>
        <w:t>(1), 6646-6653.</w:t>
      </w:r>
    </w:p>
    <w:p w14:paraId="7A276C93"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lastRenderedPageBreak/>
        <w:t xml:space="preserve">Gbadamosi, I. T., Oyedemi, S. O., and Afolayan, A. J. (2018). Antimicrobial and antioxidant activities of Anogeissus leiocarpa and Terminalia glaucescens leaf extracts. BMC complementary and alternative medicine, </w:t>
      </w:r>
      <w:r w:rsidRPr="00E66107">
        <w:rPr>
          <w:rFonts w:ascii="Times New Roman" w:eastAsia="Times New Roman" w:hAnsi="Times New Roman" w:cs="Times New Roman"/>
          <w:b/>
          <w:sz w:val="24"/>
          <w:szCs w:val="24"/>
        </w:rPr>
        <w:t>18</w:t>
      </w:r>
      <w:r w:rsidRPr="00E66107">
        <w:rPr>
          <w:rFonts w:ascii="Times New Roman" w:eastAsia="Times New Roman" w:hAnsi="Times New Roman" w:cs="Times New Roman"/>
          <w:sz w:val="24"/>
          <w:szCs w:val="24"/>
        </w:rPr>
        <w:t>(1), 1-9.</w:t>
      </w:r>
    </w:p>
    <w:p w14:paraId="557D3AE9" w14:textId="77777777" w:rsidR="003E39D4" w:rsidRPr="00CD4915" w:rsidRDefault="003E39D4" w:rsidP="003E39D4">
      <w:pPr>
        <w:spacing w:after="0" w:line="360" w:lineRule="auto"/>
        <w:jc w:val="both"/>
        <w:rPr>
          <w:rFonts w:ascii="Times New Roman" w:eastAsia="Times New Roman" w:hAnsi="Times New Roman" w:cs="Times New Roman"/>
          <w:color w:val="0000FF" w:themeColor="hyperlink"/>
          <w:sz w:val="24"/>
          <w:szCs w:val="24"/>
          <w:u w:val="single"/>
        </w:rPr>
      </w:pPr>
      <w:r w:rsidRPr="00E66107">
        <w:rPr>
          <w:rFonts w:ascii="Times New Roman" w:eastAsia="Times New Roman" w:hAnsi="Times New Roman" w:cs="Times New Roman"/>
          <w:sz w:val="24"/>
          <w:szCs w:val="24"/>
        </w:rPr>
        <w:t xml:space="preserve">GLOBOCAN, 2020. New Global Cancer Data/UICC. </w:t>
      </w:r>
      <w:hyperlink r:id="rId22" w:history="1">
        <w:r w:rsidRPr="00B736E7">
          <w:rPr>
            <w:rStyle w:val="Hyperlink"/>
            <w:rFonts w:ascii="Times New Roman" w:eastAsia="Times New Roman" w:hAnsi="Times New Roman" w:cs="Times New Roman"/>
            <w:sz w:val="24"/>
            <w:szCs w:val="24"/>
          </w:rPr>
          <w:t>https://www.uicc.org/news/globocan new global-cancer-data</w:t>
        </w:r>
      </w:hyperlink>
    </w:p>
    <w:p w14:paraId="4049F20F"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Goldberg. S. Hussein, M., and Khan, R. (2022). CCL4-induccd hepatotoxicity: study in rats intoxicated with 26 Carbon tetrachloride and treated with camel milk and urine. Journal of Chemistry Studies, 1(1), 07-11.</w:t>
      </w:r>
    </w:p>
    <w:p w14:paraId="6FD7F520" w14:textId="77777777" w:rsidR="003E39D4"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Guengerich, F. P. (2020). Cytochrome P450 2E1 and its roles in disease. Chem. Biol. Interact. </w:t>
      </w:r>
      <w:r w:rsidRPr="00E66107">
        <w:rPr>
          <w:rFonts w:ascii="Times New Roman" w:eastAsia="Times New Roman" w:hAnsi="Times New Roman" w:cs="Times New Roman"/>
          <w:b/>
          <w:sz w:val="24"/>
          <w:szCs w:val="24"/>
        </w:rPr>
        <w:t>322</w:t>
      </w:r>
      <w:r w:rsidRPr="00E66107">
        <w:rPr>
          <w:rFonts w:ascii="Times New Roman" w:eastAsia="Times New Roman" w:hAnsi="Times New Roman" w:cs="Times New Roman"/>
          <w:sz w:val="24"/>
          <w:szCs w:val="24"/>
        </w:rPr>
        <w:t>, 109056.</w:t>
      </w:r>
    </w:p>
    <w:p w14:paraId="4AE3B7FF"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Guill and Perr (1832). </w:t>
      </w:r>
      <w:r w:rsidRPr="00E66107">
        <w:rPr>
          <w:rFonts w:ascii="Times New Roman" w:eastAsia="Times New Roman" w:hAnsi="Times New Roman" w:cs="Times New Roman"/>
          <w:i/>
          <w:sz w:val="24"/>
          <w:szCs w:val="24"/>
        </w:rPr>
        <w:t xml:space="preserve">Anogeissus leiocarpa </w:t>
      </w:r>
      <w:r w:rsidRPr="00E66107">
        <w:rPr>
          <w:rFonts w:ascii="Times New Roman" w:eastAsia="Times New Roman" w:hAnsi="Times New Roman" w:cs="Times New Roman"/>
          <w:sz w:val="24"/>
          <w:szCs w:val="24"/>
        </w:rPr>
        <w:t>(DC).</w:t>
      </w:r>
    </w:p>
    <w:p w14:paraId="1D1696B8"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Guyton A.C., Hall J.E., (2006). Textbook of Medical Physiology. 11th Edition, Saunder  Philadelphia, Pennsylvania. 1116 pp.  </w:t>
      </w:r>
    </w:p>
    <w:p w14:paraId="06A0C599"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Hong, J.Y., Lebofsky, M., Farhood, A., Jaeschke, H., (2009). Oxidant stress-induced liver injury in vivo: role of apoptosis, oncotic necrosis, and c-Jun NH</w:t>
      </w:r>
      <w:r w:rsidRPr="00E66107">
        <w:rPr>
          <w:rFonts w:ascii="Times New Roman" w:eastAsia="Times New Roman" w:hAnsi="Times New Roman" w:cs="Times New Roman"/>
          <w:sz w:val="24"/>
          <w:szCs w:val="24"/>
          <w:vertAlign w:val="subscript"/>
        </w:rPr>
        <w:t>2</w:t>
      </w:r>
      <w:r w:rsidRPr="00E66107">
        <w:rPr>
          <w:rFonts w:ascii="Times New Roman" w:eastAsia="Times New Roman" w:hAnsi="Times New Roman" w:cs="Times New Roman"/>
          <w:sz w:val="24"/>
          <w:szCs w:val="24"/>
        </w:rPr>
        <w:t xml:space="preserve">-terminal kinase activation. </w:t>
      </w:r>
      <w:r w:rsidRPr="00E66107">
        <w:rPr>
          <w:rFonts w:ascii="Times New Roman" w:eastAsia="Times New Roman" w:hAnsi="Times New Roman" w:cs="Times New Roman"/>
          <w:i/>
          <w:sz w:val="24"/>
          <w:szCs w:val="24"/>
        </w:rPr>
        <w:t>Am J Physiol</w:t>
      </w:r>
      <w:r w:rsidRPr="00E66107">
        <w:rPr>
          <w:rFonts w:ascii="Times New Roman" w:eastAsia="Times New Roman" w:hAnsi="Times New Roman" w:cs="Times New Roman"/>
          <w:sz w:val="24"/>
          <w:szCs w:val="24"/>
        </w:rPr>
        <w:t xml:space="preserve"> 296: G572-G581.</w:t>
      </w:r>
    </w:p>
    <w:p w14:paraId="60C92D43"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Idakwoji, P.A., Agatemor, U.M., Akuba, B.O., Oniemola, J.M. and Momoh, T.B. (2019). Effect of aqueous extract of </w:t>
      </w:r>
      <w:r w:rsidRPr="00E66107">
        <w:rPr>
          <w:rFonts w:ascii="Times New Roman" w:eastAsia="Times New Roman" w:hAnsi="Times New Roman" w:cs="Times New Roman"/>
          <w:i/>
          <w:sz w:val="24"/>
          <w:szCs w:val="24"/>
        </w:rPr>
        <w:t>Anogeissus leiocarpus</w:t>
      </w:r>
      <w:r w:rsidRPr="00E66107">
        <w:rPr>
          <w:rFonts w:ascii="Times New Roman" w:eastAsia="Times New Roman" w:hAnsi="Times New Roman" w:cs="Times New Roman"/>
          <w:sz w:val="24"/>
          <w:szCs w:val="24"/>
        </w:rPr>
        <w:t xml:space="preserve"> against experimental models of pain and pyrexia. International Journal Advanced Research in Biological Sciences, </w:t>
      </w:r>
      <w:r w:rsidRPr="00E66107">
        <w:rPr>
          <w:rFonts w:ascii="Times New Roman" w:eastAsia="Times New Roman" w:hAnsi="Times New Roman" w:cs="Times New Roman"/>
          <w:b/>
          <w:sz w:val="24"/>
          <w:szCs w:val="24"/>
        </w:rPr>
        <w:t>6</w:t>
      </w:r>
      <w:r w:rsidRPr="00E66107">
        <w:rPr>
          <w:rFonts w:ascii="Times New Roman" w:eastAsia="Times New Roman" w:hAnsi="Times New Roman" w:cs="Times New Roman"/>
          <w:sz w:val="24"/>
          <w:szCs w:val="24"/>
        </w:rPr>
        <w:t>: 181-188.</w:t>
      </w:r>
    </w:p>
    <w:p w14:paraId="20DA4366"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IFCC (1983). Method for the measurement of ALP. J. Clinical Chemistry Clinical Biochemistry 21:731-48.</w:t>
      </w:r>
    </w:p>
    <w:p w14:paraId="705874A5"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Ikram Mohamed, E.E., Abdul Khaliq, M., Hiba, A.A., Saad , M.A., A comparative study of antimicrobial activity of the extracts from root, leaf and stem of Anogeissus leiocarpus  growing in Sudan, Journal of Pharacognosy and Phytochemical, P. 107.</w:t>
      </w:r>
    </w:p>
    <w:p w14:paraId="0C7FE0EB"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Ilyas, U., Katare, D. P., Aeri, V., and Naseef, P. P. (2016). A review on hepatoprotective and immunomodulatory herbal plants. Pharmacogn. Rev. </w:t>
      </w:r>
      <w:r w:rsidRPr="00E66107">
        <w:rPr>
          <w:rFonts w:ascii="Times New Roman" w:eastAsia="Times New Roman" w:hAnsi="Times New Roman" w:cs="Times New Roman"/>
          <w:b/>
          <w:sz w:val="24"/>
          <w:szCs w:val="24"/>
        </w:rPr>
        <w:t>10</w:t>
      </w:r>
      <w:r w:rsidRPr="00E66107">
        <w:rPr>
          <w:rFonts w:ascii="Times New Roman" w:eastAsia="Times New Roman" w:hAnsi="Times New Roman" w:cs="Times New Roman"/>
          <w:sz w:val="24"/>
          <w:szCs w:val="24"/>
        </w:rPr>
        <w:t xml:space="preserve">, 66–70. </w:t>
      </w:r>
    </w:p>
    <w:p w14:paraId="20E45E55"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Kabore, A., Tamboura, H. H., Traore, A., Traore, A., M</w:t>
      </w:r>
      <w:r w:rsidR="003218EB">
        <w:rPr>
          <w:rFonts w:ascii="Times New Roman" w:eastAsia="Times New Roman" w:hAnsi="Times New Roman" w:cs="Times New Roman"/>
          <w:sz w:val="24"/>
          <w:szCs w:val="24"/>
        </w:rPr>
        <w:t xml:space="preserve">eda, R., Kiendrebeogo, M., and </w:t>
      </w:r>
      <w:r w:rsidRPr="00E66107">
        <w:rPr>
          <w:rFonts w:ascii="Times New Roman" w:eastAsia="Times New Roman" w:hAnsi="Times New Roman" w:cs="Times New Roman"/>
          <w:sz w:val="24"/>
          <w:szCs w:val="24"/>
        </w:rPr>
        <w:t>Sawadogo, L. (2010). Phytochemical analysis and acute toxicity of two medicinal plants (Anogeissus leiocarpus and Daniellia oliveri) used in traditional veterinary medicine in Burkina Faso. Arch Appl Sci Res, 2(6), 47-52.</w:t>
      </w:r>
    </w:p>
    <w:p w14:paraId="740396E0"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lastRenderedPageBreak/>
        <w:t xml:space="preserve">Kaiser, S. K., and Dart, R. C. (2022). The roles of antidotes in emergency situations. Emerg. Med. Clin. North Am. </w:t>
      </w:r>
      <w:r w:rsidRPr="00E66107">
        <w:rPr>
          <w:rFonts w:ascii="Times New Roman" w:eastAsia="Times New Roman" w:hAnsi="Times New Roman" w:cs="Times New Roman"/>
          <w:b/>
          <w:sz w:val="24"/>
          <w:szCs w:val="24"/>
        </w:rPr>
        <w:t>40</w:t>
      </w:r>
      <w:r w:rsidRPr="00E66107">
        <w:rPr>
          <w:rFonts w:ascii="Times New Roman" w:eastAsia="Times New Roman" w:hAnsi="Times New Roman" w:cs="Times New Roman"/>
          <w:sz w:val="24"/>
          <w:szCs w:val="24"/>
        </w:rPr>
        <w:t xml:space="preserve">, 381–394. </w:t>
      </w:r>
    </w:p>
    <w:p w14:paraId="48C011D3"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Karch, J., Kwong, J. Q., Burr, A. R., Sargent, M. A., Elrod, J. W., Peixoto, P. M., (2013). Bax and Bak function as the outer membrane component of the mitochondrial permeability pore in regulating necrotic cell death in mice. eLife </w:t>
      </w:r>
      <w:r w:rsidRPr="00E66107">
        <w:rPr>
          <w:rFonts w:ascii="Times New Roman" w:eastAsia="Times New Roman" w:hAnsi="Times New Roman" w:cs="Times New Roman"/>
          <w:b/>
          <w:sz w:val="24"/>
          <w:szCs w:val="24"/>
        </w:rPr>
        <w:t>2</w:t>
      </w:r>
      <w:r w:rsidRPr="00E66107">
        <w:rPr>
          <w:rFonts w:ascii="Times New Roman" w:eastAsia="Times New Roman" w:hAnsi="Times New Roman" w:cs="Times New Roman"/>
          <w:sz w:val="24"/>
          <w:szCs w:val="24"/>
        </w:rPr>
        <w:t xml:space="preserve">:e00772. </w:t>
      </w:r>
    </w:p>
    <w:p w14:paraId="0B78AEA3"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Khan, H., Ullah, H., and Nabavi, S. M. (2019). Mechanistic insights of hepatoprotective effects of curcumin: Therapeutic updates and future prospects. Food Chem. Toxicol. </w:t>
      </w:r>
      <w:r w:rsidRPr="00E66107">
        <w:rPr>
          <w:rFonts w:ascii="Times New Roman" w:eastAsia="Times New Roman" w:hAnsi="Times New Roman" w:cs="Times New Roman"/>
          <w:b/>
          <w:sz w:val="24"/>
          <w:szCs w:val="24"/>
        </w:rPr>
        <w:t>124</w:t>
      </w:r>
      <w:r w:rsidRPr="00E66107">
        <w:rPr>
          <w:rFonts w:ascii="Times New Roman" w:eastAsia="Times New Roman" w:hAnsi="Times New Roman" w:cs="Times New Roman"/>
          <w:sz w:val="24"/>
          <w:szCs w:val="24"/>
        </w:rPr>
        <w:t xml:space="preserve">, 182–191. </w:t>
      </w:r>
    </w:p>
    <w:p w14:paraId="2FD054AB"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Kim, D. H., Jung, Y. J., Lee, J. E., Lee, A. S., Kang, K. P., Lee, S., et al. (2011). SIRT1 activation by resveratrol ameliorates cisplatin-induced renal injury through deacetylation of p53. Am. J. Physiol. Ren. Physiol. </w:t>
      </w:r>
      <w:r w:rsidRPr="00E66107">
        <w:rPr>
          <w:rFonts w:ascii="Times New Roman" w:eastAsia="Times New Roman" w:hAnsi="Times New Roman" w:cs="Times New Roman"/>
          <w:b/>
          <w:sz w:val="24"/>
          <w:szCs w:val="24"/>
        </w:rPr>
        <w:t>301</w:t>
      </w:r>
      <w:r w:rsidRPr="00E66107">
        <w:rPr>
          <w:rFonts w:ascii="Times New Roman" w:eastAsia="Times New Roman" w:hAnsi="Times New Roman" w:cs="Times New Roman"/>
          <w:sz w:val="24"/>
          <w:szCs w:val="24"/>
        </w:rPr>
        <w:t xml:space="preserve">, F427–F435. </w:t>
      </w:r>
    </w:p>
    <w:p w14:paraId="664CF976" w14:textId="77777777" w:rsidR="003E39D4"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Kim, Y.-S., Hwang, J.-W., Sung, S.-H., Jeon, Y.-J., Jeong, J.-H., Jeon, B.-T. (2015). Antioxidant activity and protective effect of extract of Celosia cristata L. flower on tert-butyl hydroperoxide-induced oxidative hepatotoxicity. Food Chem. </w:t>
      </w:r>
      <w:r w:rsidRPr="00E66107">
        <w:rPr>
          <w:rFonts w:ascii="Times New Roman" w:eastAsia="Times New Roman" w:hAnsi="Times New Roman" w:cs="Times New Roman"/>
          <w:b/>
          <w:sz w:val="24"/>
          <w:szCs w:val="24"/>
        </w:rPr>
        <w:t>168</w:t>
      </w:r>
      <w:r w:rsidRPr="00E66107">
        <w:rPr>
          <w:rFonts w:ascii="Times New Roman" w:eastAsia="Times New Roman" w:hAnsi="Times New Roman" w:cs="Times New Roman"/>
          <w:sz w:val="24"/>
          <w:szCs w:val="24"/>
        </w:rPr>
        <w:t>, 572</w:t>
      </w:r>
    </w:p>
    <w:p w14:paraId="320B1FCD"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Kmieć Z (2001). Cooperation of liver cells in health and disease. pp. iii–xiii, 1–151579. </w:t>
      </w:r>
    </w:p>
    <w:p w14:paraId="6FCFBF94"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Krajka-Kuźniak, V., and Baer-Dubowska, W. (2003). The effects of tannic acid on cytochrome P450 and phase II enzymes in mouse liver and kidney. Toxicol. Lett. </w:t>
      </w:r>
      <w:r w:rsidRPr="00E66107">
        <w:rPr>
          <w:rFonts w:ascii="Times New Roman" w:eastAsia="Times New Roman" w:hAnsi="Times New Roman" w:cs="Times New Roman"/>
          <w:b/>
          <w:sz w:val="24"/>
          <w:szCs w:val="24"/>
        </w:rPr>
        <w:t>143</w:t>
      </w:r>
      <w:r w:rsidRPr="00E66107">
        <w:rPr>
          <w:rFonts w:ascii="Times New Roman" w:eastAsia="Times New Roman" w:hAnsi="Times New Roman" w:cs="Times New Roman"/>
          <w:sz w:val="24"/>
          <w:szCs w:val="24"/>
        </w:rPr>
        <w:t xml:space="preserve">, 209–216. </w:t>
      </w:r>
    </w:p>
    <w:p w14:paraId="0FF5953E"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Larrey D., Ursic-Bedoya J., Meunier L. (2017). “Drug-Induced hepatotoxicity,” in Schiff ’s diseases of the liver. Ed. Schiff E. R. (New York: Wiley- Blackwell;).</w:t>
      </w:r>
    </w:p>
    <w:p w14:paraId="5B6B2465"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Lawal, T.O., Bamiduro, T.B., Ofonmbuk, J.M., Elufioye, T.O., Adeniyi, B.A. and Mahady, G.B. (2017). Antibacterial effects of </w:t>
      </w:r>
      <w:r w:rsidRPr="00E66107">
        <w:rPr>
          <w:rFonts w:ascii="Times New Roman" w:eastAsia="Times New Roman" w:hAnsi="Times New Roman" w:cs="Times New Roman"/>
          <w:i/>
          <w:sz w:val="24"/>
          <w:szCs w:val="24"/>
        </w:rPr>
        <w:t>Anogeissus leiocarpus</w:t>
      </w:r>
      <w:r w:rsidR="003218EB">
        <w:rPr>
          <w:rFonts w:ascii="Times New Roman" w:eastAsia="Times New Roman" w:hAnsi="Times New Roman" w:cs="Times New Roman"/>
          <w:sz w:val="24"/>
          <w:szCs w:val="24"/>
        </w:rPr>
        <w:t xml:space="preserve"> (DC.) Guill. and</w:t>
      </w:r>
      <w:r w:rsidRPr="00E66107">
        <w:rPr>
          <w:rFonts w:ascii="Times New Roman" w:eastAsia="Times New Roman" w:hAnsi="Times New Roman" w:cs="Times New Roman"/>
          <w:sz w:val="24"/>
          <w:szCs w:val="24"/>
        </w:rPr>
        <w:t xml:space="preserve"> Perr. and Terminalia glaucescens Planch. Ex Benth on rapidly growing mycobacteria species. African Journal of Microbiology Research, </w:t>
      </w:r>
      <w:r w:rsidRPr="00E66107">
        <w:rPr>
          <w:rFonts w:ascii="Times New Roman" w:eastAsia="Times New Roman" w:hAnsi="Times New Roman" w:cs="Times New Roman"/>
          <w:b/>
          <w:sz w:val="24"/>
          <w:szCs w:val="24"/>
        </w:rPr>
        <w:t>11</w:t>
      </w:r>
      <w:r w:rsidRPr="00E66107">
        <w:rPr>
          <w:rFonts w:ascii="Times New Roman" w:eastAsia="Times New Roman" w:hAnsi="Times New Roman" w:cs="Times New Roman"/>
          <w:sz w:val="24"/>
          <w:szCs w:val="24"/>
        </w:rPr>
        <w:t>(12): 495-503.</w:t>
      </w:r>
    </w:p>
    <w:p w14:paraId="38600B5C"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Li, G., Chen, J. B., Wang, C., Xu, Z., Nie, H., Qin, X. Y. (2013). Curcumin protects against acetaminophen-induced apoptosis in hepatic injury. World J. Gastroenterol. </w:t>
      </w:r>
      <w:r w:rsidRPr="00E66107">
        <w:rPr>
          <w:rFonts w:ascii="Times New Roman" w:eastAsia="Times New Roman" w:hAnsi="Times New Roman" w:cs="Times New Roman"/>
          <w:b/>
          <w:sz w:val="24"/>
          <w:szCs w:val="24"/>
        </w:rPr>
        <w:t>19</w:t>
      </w:r>
      <w:r w:rsidRPr="00E66107">
        <w:rPr>
          <w:rFonts w:ascii="Times New Roman" w:eastAsia="Times New Roman" w:hAnsi="Times New Roman" w:cs="Times New Roman"/>
          <w:sz w:val="24"/>
          <w:szCs w:val="24"/>
        </w:rPr>
        <w:t xml:space="preserve">, 7440–7446. </w:t>
      </w:r>
    </w:p>
    <w:p w14:paraId="57A0AC00"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Li, J. P., Gao, Y., Chu, S. F., Zhang, Z., Xia, C. Y., Mou, Z. (2014). Nrf2 pathway activation contributes to anti-fibrosis effects of ginsenoside Rg1 in a rat model of alcohol- and CCl4-induced hepatic fibrosis. Acta Pharmacol. Sin. </w:t>
      </w:r>
      <w:r w:rsidRPr="00E66107">
        <w:rPr>
          <w:rFonts w:ascii="Times New Roman" w:eastAsia="Times New Roman" w:hAnsi="Times New Roman" w:cs="Times New Roman"/>
          <w:b/>
          <w:sz w:val="24"/>
          <w:szCs w:val="24"/>
        </w:rPr>
        <w:t>35</w:t>
      </w:r>
      <w:r w:rsidRPr="00E66107">
        <w:rPr>
          <w:rFonts w:ascii="Times New Roman" w:eastAsia="Times New Roman" w:hAnsi="Times New Roman" w:cs="Times New Roman"/>
          <w:sz w:val="24"/>
          <w:szCs w:val="24"/>
        </w:rPr>
        <w:t xml:space="preserve">, 1031–1044. </w:t>
      </w:r>
    </w:p>
    <w:p w14:paraId="49F36533"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Mann, A., Yahaya, A.Y., Banso, A. and Ajayi, G.O. (2008). Phytochemical and antibacterial screening of </w:t>
      </w:r>
      <w:r w:rsidRPr="00E66107">
        <w:rPr>
          <w:rFonts w:ascii="Times New Roman" w:eastAsia="Times New Roman" w:hAnsi="Times New Roman" w:cs="Times New Roman"/>
          <w:i/>
          <w:sz w:val="24"/>
          <w:szCs w:val="24"/>
        </w:rPr>
        <w:t>Anogeissus leiocarpus</w:t>
      </w:r>
      <w:r w:rsidRPr="00E66107">
        <w:rPr>
          <w:rFonts w:ascii="Times New Roman" w:eastAsia="Times New Roman" w:hAnsi="Times New Roman" w:cs="Times New Roman"/>
          <w:sz w:val="24"/>
          <w:szCs w:val="24"/>
        </w:rPr>
        <w:t xml:space="preserve"> against some microorganisms associated with infectious wounds. African Journal of Microbiology Research, </w:t>
      </w:r>
      <w:r w:rsidRPr="00E66107">
        <w:rPr>
          <w:rFonts w:ascii="Times New Roman" w:eastAsia="Times New Roman" w:hAnsi="Times New Roman" w:cs="Times New Roman"/>
          <w:b/>
          <w:sz w:val="24"/>
          <w:szCs w:val="24"/>
        </w:rPr>
        <w:t>2</w:t>
      </w:r>
      <w:r w:rsidRPr="00E66107">
        <w:rPr>
          <w:rFonts w:ascii="Times New Roman" w:eastAsia="Times New Roman" w:hAnsi="Times New Roman" w:cs="Times New Roman"/>
          <w:sz w:val="24"/>
          <w:szCs w:val="24"/>
        </w:rPr>
        <w:t>: 60-62.</w:t>
      </w:r>
    </w:p>
    <w:p w14:paraId="197E3045"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lastRenderedPageBreak/>
        <w:t xml:space="preserve">McCommis, K. S., and Baines, C. P. (2012). The role of VDAC in cell death: friend or foe? Biochim. Biophys. Acta 1818, 1444–1450. </w:t>
      </w:r>
    </w:p>
    <w:p w14:paraId="190E7945" w14:textId="77777777" w:rsidR="003E39D4"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Mcgill, M. R., Du, K., Weemhoff, J. L., and Jaeschke, H. (2015). Critical review of resveratrol in xenobiotic-induced hepatotoxicity. Food Chem. Toxicol. </w:t>
      </w:r>
      <w:r w:rsidRPr="00E66107">
        <w:rPr>
          <w:rFonts w:ascii="Times New Roman" w:eastAsia="Times New Roman" w:hAnsi="Times New Roman" w:cs="Times New Roman"/>
          <w:b/>
          <w:sz w:val="24"/>
          <w:szCs w:val="24"/>
        </w:rPr>
        <w:t>86</w:t>
      </w:r>
      <w:r w:rsidRPr="00E66107">
        <w:rPr>
          <w:rFonts w:ascii="Times New Roman" w:eastAsia="Times New Roman" w:hAnsi="Times New Roman" w:cs="Times New Roman"/>
          <w:sz w:val="24"/>
          <w:szCs w:val="24"/>
        </w:rPr>
        <w:t xml:space="preserve">, 309–318. </w:t>
      </w:r>
    </w:p>
    <w:p w14:paraId="6E7F5A56" w14:textId="77777777" w:rsidR="0014162D" w:rsidRDefault="0014162D" w:rsidP="003E39D4">
      <w:pPr>
        <w:spacing w:after="0" w:line="360" w:lineRule="auto"/>
        <w:jc w:val="both"/>
        <w:rPr>
          <w:rFonts w:ascii="Times New Roman" w:eastAsia="Times New Roman" w:hAnsi="Times New Roman" w:cs="Times New Roman"/>
          <w:sz w:val="24"/>
          <w:szCs w:val="24"/>
        </w:rPr>
      </w:pPr>
      <w:r w:rsidRPr="000A4404">
        <w:rPr>
          <w:rFonts w:ascii="Times New Roman" w:eastAsia="Times New Roman" w:hAnsi="Times New Roman" w:cs="Times New Roman"/>
          <w:sz w:val="24"/>
          <w:szCs w:val="24"/>
          <w:highlight w:val="yellow"/>
        </w:rPr>
        <w:t>Motto, A. E., Lawson-Evi, P., Bakoma, B., Eklu-Gadegbeku, K., &amp; Aklikokou, K. (2021). Antihyperlipidemic and antioxidant properties of hydro-alcoholic extracts from Anogeissus leiocarpus (Combretaceae). Heliyon, 7(4).</w:t>
      </w:r>
      <w:r w:rsidRPr="0014162D" w:rsidDel="0014162D">
        <w:rPr>
          <w:rFonts w:ascii="Times New Roman" w:eastAsia="Times New Roman" w:hAnsi="Times New Roman" w:cs="Times New Roman"/>
          <w:sz w:val="24"/>
          <w:szCs w:val="24"/>
        </w:rPr>
        <w:t xml:space="preserve"> </w:t>
      </w:r>
    </w:p>
    <w:p w14:paraId="16A5F9E9"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Moore K. ., Dalley A.F., </w:t>
      </w:r>
      <w:r w:rsidRPr="00E66107">
        <w:rPr>
          <w:rFonts w:ascii="Times New Roman" w:eastAsia="Times New Roman" w:hAnsi="Times New Roman" w:cs="Times New Roman"/>
          <w:i/>
          <w:sz w:val="24"/>
          <w:szCs w:val="24"/>
        </w:rPr>
        <w:t>Clinically Oriented Anatomy</w:t>
      </w:r>
      <w:r w:rsidRPr="00E66107">
        <w:rPr>
          <w:rFonts w:ascii="Times New Roman" w:eastAsia="Times New Roman" w:hAnsi="Times New Roman" w:cs="Times New Roman"/>
          <w:sz w:val="24"/>
          <w:szCs w:val="24"/>
        </w:rPr>
        <w:t>. 2006 5</w:t>
      </w:r>
      <w:r w:rsidRPr="00E66107">
        <w:rPr>
          <w:rFonts w:ascii="Times New Roman" w:eastAsia="Times New Roman" w:hAnsi="Times New Roman" w:cs="Times New Roman"/>
          <w:sz w:val="24"/>
          <w:szCs w:val="24"/>
          <w:vertAlign w:val="superscript"/>
        </w:rPr>
        <w:t>th</w:t>
      </w:r>
      <w:r w:rsidRPr="00E66107">
        <w:rPr>
          <w:rFonts w:ascii="Times New Roman" w:eastAsia="Times New Roman" w:hAnsi="Times New Roman" w:cs="Times New Roman"/>
          <w:sz w:val="24"/>
          <w:szCs w:val="24"/>
        </w:rPr>
        <w:t xml:space="preserve"> Edition Lippincott Williams </w:t>
      </w:r>
    </w:p>
    <w:p w14:paraId="78710A6D"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and Wilkins. 1209 pp</w:t>
      </w:r>
    </w:p>
    <w:p w14:paraId="23A9ECF0" w14:textId="77777777" w:rsidR="003E39D4" w:rsidRPr="00B40650" w:rsidRDefault="003E39D4" w:rsidP="003E39D4">
      <w:pPr>
        <w:spacing w:after="0" w:line="360" w:lineRule="auto"/>
        <w:jc w:val="both"/>
        <w:rPr>
          <w:rFonts w:ascii="Times New Roman" w:eastAsia="Times New Roman" w:hAnsi="Times New Roman" w:cs="Times New Roman"/>
          <w:sz w:val="24"/>
          <w:szCs w:val="24"/>
        </w:rPr>
      </w:pPr>
      <w:r w:rsidRPr="00B40650">
        <w:rPr>
          <w:rFonts w:ascii="Times New Roman" w:eastAsia="Times New Roman" w:hAnsi="Times New Roman" w:cs="Times New Roman"/>
          <w:sz w:val="24"/>
          <w:szCs w:val="24"/>
        </w:rPr>
        <w:t xml:space="preserve">Mukhtar, Y., Abdu, K and Maigari, A. K. (2017). Efficacy of </w:t>
      </w:r>
      <w:r w:rsidRPr="00B40650">
        <w:rPr>
          <w:rFonts w:ascii="Times New Roman" w:eastAsia="Times New Roman" w:hAnsi="Times New Roman" w:cs="Times New Roman"/>
          <w:i/>
          <w:sz w:val="24"/>
          <w:szCs w:val="24"/>
        </w:rPr>
        <w:t>Anogeissus leiocarpus</w:t>
      </w:r>
      <w:r w:rsidRPr="00B40650">
        <w:rPr>
          <w:rFonts w:ascii="Times New Roman" w:eastAsia="Times New Roman" w:hAnsi="Times New Roman" w:cs="Times New Roman"/>
          <w:sz w:val="24"/>
          <w:szCs w:val="24"/>
        </w:rPr>
        <w:t xml:space="preserve"> (DC.) as </w:t>
      </w:r>
    </w:p>
    <w:p w14:paraId="48F3780C" w14:textId="77777777" w:rsidR="003E39D4" w:rsidRPr="00B40650" w:rsidRDefault="003E39D4" w:rsidP="003E39D4">
      <w:pPr>
        <w:spacing w:after="0" w:line="360" w:lineRule="auto"/>
        <w:jc w:val="both"/>
        <w:rPr>
          <w:rFonts w:ascii="Times New Roman" w:eastAsia="Times New Roman" w:hAnsi="Times New Roman" w:cs="Times New Roman"/>
          <w:sz w:val="24"/>
          <w:szCs w:val="24"/>
        </w:rPr>
      </w:pPr>
      <w:r w:rsidRPr="00B40650">
        <w:rPr>
          <w:rFonts w:ascii="Times New Roman" w:eastAsia="Times New Roman" w:hAnsi="Times New Roman" w:cs="Times New Roman"/>
          <w:sz w:val="24"/>
          <w:szCs w:val="24"/>
        </w:rPr>
        <w:t>Potential Therapeutic</w:t>
      </w:r>
      <w:r w:rsidR="003218EB" w:rsidRPr="00B40650">
        <w:rPr>
          <w:rFonts w:ascii="Times New Roman" w:eastAsia="Times New Roman" w:hAnsi="Times New Roman" w:cs="Times New Roman"/>
          <w:sz w:val="24"/>
          <w:szCs w:val="24"/>
        </w:rPr>
        <w:t xml:space="preserve"> </w:t>
      </w:r>
      <w:r w:rsidRPr="00B40650">
        <w:rPr>
          <w:rFonts w:ascii="Times New Roman" w:eastAsia="Times New Roman" w:hAnsi="Times New Roman" w:cs="Times New Roman"/>
          <w:sz w:val="24"/>
          <w:szCs w:val="24"/>
        </w:rPr>
        <w:t xml:space="preserve">Agent against Trypanosomiasis Diseases: A Review. International Journal of Health and Pharmaceutical Research. 3 (3): 1-9. </w:t>
      </w:r>
      <w:hyperlink r:id="rId23" w:history="1">
        <w:r w:rsidRPr="00B40650">
          <w:rPr>
            <w:rStyle w:val="Hyperlink"/>
            <w:rFonts w:ascii="Times New Roman" w:eastAsia="Times New Roman" w:hAnsi="Times New Roman" w:cs="Times New Roman"/>
            <w:sz w:val="24"/>
            <w:szCs w:val="24"/>
          </w:rPr>
          <w:t>www.iiardpub.org</w:t>
        </w:r>
      </w:hyperlink>
    </w:p>
    <w:p w14:paraId="3F513B6D"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Nagy P. Snorri. S. T., Grisham, . J. W. The Liver: Biology and Pathbiology, 1-13, 2020. </w:t>
      </w:r>
    </w:p>
    <w:p w14:paraId="2A61A0FC"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Nakagawa, T., Shimizu, S., Watanabe, T., Yamaguchi, O., Otsu, K., Yamagata, H., et al. (2005). Cyclophilin D-dependent mitochondrial permeability transition regulates some necrotic but not apoptotic cell death. Nature </w:t>
      </w:r>
      <w:r w:rsidRPr="00E66107">
        <w:rPr>
          <w:rFonts w:ascii="Times New Roman" w:eastAsia="Times New Roman" w:hAnsi="Times New Roman" w:cs="Times New Roman"/>
          <w:b/>
          <w:sz w:val="24"/>
          <w:szCs w:val="24"/>
        </w:rPr>
        <w:t>434</w:t>
      </w:r>
      <w:r w:rsidRPr="00E66107">
        <w:rPr>
          <w:rFonts w:ascii="Times New Roman" w:eastAsia="Times New Roman" w:hAnsi="Times New Roman" w:cs="Times New Roman"/>
          <w:sz w:val="24"/>
          <w:szCs w:val="24"/>
        </w:rPr>
        <w:t xml:space="preserve">, 652–658. </w:t>
      </w:r>
    </w:p>
    <w:p w14:paraId="7E69BBF5"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Namadina, M.M., Muktar, A.U., Karaye, S.I., Musa, F.M., Bah, I.H., Maitama, F.Y., (2021). Phytochemical constituents and antibacterial activities of indigenous chewing stick (</w:t>
      </w:r>
      <w:r w:rsidRPr="00E66107">
        <w:rPr>
          <w:rFonts w:ascii="Times New Roman" w:eastAsia="Times New Roman" w:hAnsi="Times New Roman" w:cs="Times New Roman"/>
          <w:i/>
          <w:sz w:val="24"/>
          <w:szCs w:val="24"/>
        </w:rPr>
        <w:t xml:space="preserve">Anogeissus leiocarpus) </w:t>
      </w:r>
      <w:r w:rsidRPr="00E66107">
        <w:rPr>
          <w:rFonts w:ascii="Times New Roman" w:eastAsia="Times New Roman" w:hAnsi="Times New Roman" w:cs="Times New Roman"/>
          <w:sz w:val="24"/>
          <w:szCs w:val="24"/>
        </w:rPr>
        <w:t xml:space="preserve">stem. Bayero Journal of Pure and Applied Sciences, </w:t>
      </w:r>
      <w:r w:rsidRPr="00E66107">
        <w:rPr>
          <w:rFonts w:ascii="Times New Roman" w:eastAsia="Times New Roman" w:hAnsi="Times New Roman" w:cs="Times New Roman"/>
          <w:b/>
          <w:sz w:val="24"/>
          <w:szCs w:val="24"/>
        </w:rPr>
        <w:t>14</w:t>
      </w:r>
      <w:r w:rsidRPr="00E66107">
        <w:rPr>
          <w:rFonts w:ascii="Times New Roman" w:eastAsia="Times New Roman" w:hAnsi="Times New Roman" w:cs="Times New Roman"/>
          <w:sz w:val="24"/>
          <w:szCs w:val="24"/>
        </w:rPr>
        <w:t>(1), 85-94.</w:t>
      </w:r>
    </w:p>
    <w:p w14:paraId="395CB318"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Nourjah, P., Ahmad, S. R., Karwoski, C., and Willy, M. (2006). Estimates of acetaminophen (Paracetamol)-associated overdoses in the United States. Pharmacoepidemiol. Drug Saf. </w:t>
      </w:r>
      <w:r w:rsidRPr="00E66107">
        <w:rPr>
          <w:rFonts w:ascii="Times New Roman" w:eastAsia="Times New Roman" w:hAnsi="Times New Roman" w:cs="Times New Roman"/>
          <w:b/>
          <w:sz w:val="24"/>
          <w:szCs w:val="24"/>
        </w:rPr>
        <w:t>15</w:t>
      </w:r>
      <w:r w:rsidRPr="00E66107">
        <w:rPr>
          <w:rFonts w:ascii="Times New Roman" w:eastAsia="Times New Roman" w:hAnsi="Times New Roman" w:cs="Times New Roman"/>
          <w:sz w:val="24"/>
          <w:szCs w:val="24"/>
        </w:rPr>
        <w:t xml:space="preserve">, 398–405. </w:t>
      </w:r>
    </w:p>
    <w:p w14:paraId="344F7AC2"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Nwachukwu, E. O., Udeh, N. E., and Udegbunam, S. O. (2015). Phytochemical composition and antimicrobial activity of Anogeissus leiocarpa (DC). Guill and Perr. (Combretaceae) leaf extract. Journal of Medicinal Plants Studies, </w:t>
      </w:r>
      <w:r w:rsidRPr="00E66107">
        <w:rPr>
          <w:rFonts w:ascii="Times New Roman" w:eastAsia="Times New Roman" w:hAnsi="Times New Roman" w:cs="Times New Roman"/>
          <w:b/>
          <w:sz w:val="24"/>
          <w:szCs w:val="24"/>
        </w:rPr>
        <w:t>3</w:t>
      </w:r>
      <w:r w:rsidRPr="00E66107">
        <w:rPr>
          <w:rFonts w:ascii="Times New Roman" w:eastAsia="Times New Roman" w:hAnsi="Times New Roman" w:cs="Times New Roman"/>
          <w:sz w:val="24"/>
          <w:szCs w:val="24"/>
        </w:rPr>
        <w:t>(2), 01-05.</w:t>
      </w:r>
    </w:p>
    <w:p w14:paraId="6825328D"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Nwidu, L.L., (2023). Flavonoids in liver disease management. </w:t>
      </w:r>
      <w:r w:rsidRPr="00E66107">
        <w:rPr>
          <w:rFonts w:ascii="Times New Roman" w:eastAsia="Times New Roman" w:hAnsi="Times New Roman" w:cs="Times New Roman"/>
          <w:i/>
          <w:sz w:val="24"/>
          <w:szCs w:val="24"/>
        </w:rPr>
        <w:t xml:space="preserve">Nigeria Journal of Science, </w:t>
      </w:r>
      <w:r w:rsidRPr="00E66107">
        <w:rPr>
          <w:rFonts w:ascii="Times New Roman" w:eastAsia="Times New Roman" w:hAnsi="Times New Roman" w:cs="Times New Roman"/>
          <w:sz w:val="24"/>
          <w:szCs w:val="24"/>
        </w:rPr>
        <w:t>120(1), 65-78.</w:t>
      </w:r>
    </w:p>
    <w:p w14:paraId="76112F66"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Olabanji, S.O., Adesina, S.K., Ceccato, D., Buoso, M.C., and Moschina, G (2007). PIXE Analysis of some Medicinal plant used in cleaning Teeth in Southwestern Nigeria. </w:t>
      </w:r>
      <w:r w:rsidRPr="00E66107">
        <w:rPr>
          <w:rFonts w:ascii="Times New Roman" w:eastAsia="Times New Roman" w:hAnsi="Times New Roman" w:cs="Times New Roman"/>
          <w:i/>
          <w:sz w:val="24"/>
          <w:szCs w:val="24"/>
        </w:rPr>
        <w:t xml:space="preserve">Biological Trace Element Research, </w:t>
      </w:r>
      <w:r w:rsidRPr="00E66107">
        <w:rPr>
          <w:rFonts w:ascii="Times New Roman" w:eastAsia="Times New Roman" w:hAnsi="Times New Roman" w:cs="Times New Roman"/>
          <w:b/>
          <w:sz w:val="24"/>
          <w:szCs w:val="24"/>
        </w:rPr>
        <w:t>116</w:t>
      </w:r>
      <w:r w:rsidRPr="00E66107">
        <w:rPr>
          <w:rFonts w:ascii="Times New Roman" w:eastAsia="Times New Roman" w:hAnsi="Times New Roman" w:cs="Times New Roman"/>
          <w:sz w:val="24"/>
          <w:szCs w:val="24"/>
        </w:rPr>
        <w:t>:171-184</w:t>
      </w:r>
    </w:p>
    <w:p w14:paraId="0C5456A4"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lastRenderedPageBreak/>
        <w:t xml:space="preserve">Olugbami, J. O., Gbadegesin, M. A., and Odunola, O. A. (2014). In vitro evaluation of the antioxidant potential, phenolic and flavonoid contents of the stem bark ethanol extract of Anogeissus leiocarpus. African journal of medicine and medical sciences, </w:t>
      </w:r>
      <w:r w:rsidRPr="00E66107">
        <w:rPr>
          <w:rFonts w:ascii="Times New Roman" w:eastAsia="Times New Roman" w:hAnsi="Times New Roman" w:cs="Times New Roman"/>
          <w:b/>
          <w:sz w:val="24"/>
          <w:szCs w:val="24"/>
        </w:rPr>
        <w:t>43</w:t>
      </w:r>
      <w:r w:rsidRPr="00E66107">
        <w:rPr>
          <w:rFonts w:ascii="Times New Roman" w:eastAsia="Times New Roman" w:hAnsi="Times New Roman" w:cs="Times New Roman"/>
          <w:sz w:val="24"/>
          <w:szCs w:val="24"/>
        </w:rPr>
        <w:t>(Suppl 1), 101.</w:t>
      </w:r>
    </w:p>
    <w:p w14:paraId="1A8C8B5A"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Olugbami, J. O., Damoiseaux, R., France, B., Onibiyo, E. M., Gbadegesin, M. A., Sharma, S and Odunola, O. A. (2017). A comparative assessment of antiproliferative properties of resveratrol and ethanol leaf extract of Anogeissus leiocarpus (DC) Guill and Perr against HepG2 hepatocarcinoma cells. BMC complementary and alternative medicine, </w:t>
      </w:r>
      <w:r w:rsidRPr="00E66107">
        <w:rPr>
          <w:rFonts w:ascii="Times New Roman" w:eastAsia="Times New Roman" w:hAnsi="Times New Roman" w:cs="Times New Roman"/>
          <w:b/>
          <w:sz w:val="24"/>
          <w:szCs w:val="24"/>
        </w:rPr>
        <w:t>17</w:t>
      </w:r>
      <w:r w:rsidRPr="00E66107">
        <w:rPr>
          <w:rFonts w:ascii="Times New Roman" w:eastAsia="Times New Roman" w:hAnsi="Times New Roman" w:cs="Times New Roman"/>
          <w:sz w:val="24"/>
          <w:szCs w:val="24"/>
        </w:rPr>
        <w:t>(1), 1-11.</w:t>
      </w:r>
    </w:p>
    <w:p w14:paraId="1CCAB0E6"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Oluwole, T. D., (2023). Lipid-modulating properties of saponins. </w:t>
      </w:r>
      <w:r w:rsidRPr="00E66107">
        <w:rPr>
          <w:rFonts w:ascii="Times New Roman" w:eastAsia="Times New Roman" w:hAnsi="Times New Roman" w:cs="Times New Roman"/>
          <w:i/>
          <w:sz w:val="24"/>
          <w:szCs w:val="24"/>
        </w:rPr>
        <w:t>International Journal of Medicinal Plants Research</w:t>
      </w:r>
      <w:r w:rsidRPr="00E66107">
        <w:rPr>
          <w:rFonts w:ascii="Times New Roman" w:eastAsia="Times New Roman" w:hAnsi="Times New Roman" w:cs="Times New Roman"/>
          <w:sz w:val="24"/>
          <w:szCs w:val="24"/>
        </w:rPr>
        <w:t xml:space="preserve">, </w:t>
      </w:r>
      <w:r w:rsidRPr="00E66107">
        <w:rPr>
          <w:rFonts w:ascii="Times New Roman" w:eastAsia="Times New Roman" w:hAnsi="Times New Roman" w:cs="Times New Roman"/>
          <w:b/>
          <w:sz w:val="24"/>
          <w:szCs w:val="24"/>
        </w:rPr>
        <w:t>13</w:t>
      </w:r>
      <w:r w:rsidRPr="00E66107">
        <w:rPr>
          <w:rFonts w:ascii="Times New Roman" w:eastAsia="Times New Roman" w:hAnsi="Times New Roman" w:cs="Times New Roman"/>
          <w:sz w:val="24"/>
          <w:szCs w:val="24"/>
        </w:rPr>
        <w:t>(5), 345-356.</w:t>
      </w:r>
    </w:p>
    <w:p w14:paraId="26F119AF" w14:textId="77777777" w:rsidR="003E39D4" w:rsidRPr="00E66107" w:rsidRDefault="003E39D4" w:rsidP="003E39D4">
      <w:pPr>
        <w:spacing w:before="240"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Ouedraogo A, Kakai RG and Thiombiano A. (2013). Population structure of the widespread species, </w:t>
      </w:r>
      <w:r w:rsidRPr="00E66107">
        <w:rPr>
          <w:rFonts w:ascii="Times New Roman" w:eastAsia="Times New Roman" w:hAnsi="Times New Roman" w:cs="Times New Roman"/>
          <w:i/>
          <w:sz w:val="24"/>
          <w:szCs w:val="24"/>
        </w:rPr>
        <w:t>Anogeissus leiocarpa</w:t>
      </w:r>
      <w:r w:rsidRPr="00E66107">
        <w:rPr>
          <w:rFonts w:ascii="Times New Roman" w:eastAsia="Times New Roman" w:hAnsi="Times New Roman" w:cs="Times New Roman"/>
          <w:sz w:val="24"/>
          <w:szCs w:val="24"/>
        </w:rPr>
        <w:t xml:space="preserve"> (DC.) Guilt. &amp; Perr. across the climatic gradient in West Africa semi-arid area. South African Journal of Botany.</w:t>
      </w:r>
      <w:r w:rsidRPr="00E66107">
        <w:rPr>
          <w:rFonts w:ascii="Times New Roman" w:eastAsia="Times New Roman" w:hAnsi="Times New Roman" w:cs="Times New Roman"/>
          <w:b/>
          <w:sz w:val="24"/>
          <w:szCs w:val="24"/>
        </w:rPr>
        <w:t>88</w:t>
      </w:r>
      <w:r w:rsidRPr="00E66107">
        <w:rPr>
          <w:rFonts w:ascii="Times New Roman" w:eastAsia="Times New Roman" w:hAnsi="Times New Roman" w:cs="Times New Roman"/>
          <w:sz w:val="24"/>
          <w:szCs w:val="24"/>
        </w:rPr>
        <w:t>:286-295.</w:t>
      </w:r>
    </w:p>
    <w:p w14:paraId="0A7315E9"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Ouedraogo, B., Yoda, J., Kini, F., Ouedraogo, J. C., Lompo, M., and Ouedraogo, S. (2020). Research of Bioactive Chemical Markers in Trunk Bark Extracts of </w:t>
      </w:r>
      <w:r w:rsidRPr="00E66107">
        <w:rPr>
          <w:rFonts w:ascii="Times New Roman" w:eastAsia="Times New Roman" w:hAnsi="Times New Roman" w:cs="Times New Roman"/>
          <w:i/>
          <w:sz w:val="24"/>
          <w:szCs w:val="24"/>
        </w:rPr>
        <w:t>Anogeissus leiocarpa</w:t>
      </w:r>
      <w:r w:rsidRPr="00E66107">
        <w:rPr>
          <w:rFonts w:ascii="Times New Roman" w:eastAsia="Times New Roman" w:hAnsi="Times New Roman" w:cs="Times New Roman"/>
          <w:sz w:val="24"/>
          <w:szCs w:val="24"/>
        </w:rPr>
        <w:t xml:space="preserve">, a Traditional Herbal Remedy for Hypertension. vol, </w:t>
      </w:r>
      <w:r w:rsidRPr="00E66107">
        <w:rPr>
          <w:rFonts w:ascii="Times New Roman" w:eastAsia="Times New Roman" w:hAnsi="Times New Roman" w:cs="Times New Roman"/>
          <w:b/>
          <w:sz w:val="24"/>
          <w:szCs w:val="24"/>
        </w:rPr>
        <w:t>8</w:t>
      </w:r>
      <w:r w:rsidRPr="00E66107">
        <w:rPr>
          <w:rFonts w:ascii="Times New Roman" w:eastAsia="Times New Roman" w:hAnsi="Times New Roman" w:cs="Times New Roman"/>
          <w:sz w:val="24"/>
          <w:szCs w:val="24"/>
        </w:rPr>
        <w:t>, 6-12.</w:t>
      </w:r>
    </w:p>
    <w:p w14:paraId="7C1C3C1F"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Owoseni, A.A. and Ogunnusi, T. (2006). Antibacterial effects of three selected chewing sticks extracts on </w:t>
      </w:r>
      <w:r w:rsidRPr="00E66107">
        <w:rPr>
          <w:rFonts w:ascii="Times New Roman" w:eastAsia="Times New Roman" w:hAnsi="Times New Roman" w:cs="Times New Roman"/>
          <w:i/>
          <w:sz w:val="24"/>
          <w:szCs w:val="24"/>
        </w:rPr>
        <w:t>Lactobacillus sp.</w:t>
      </w:r>
      <w:r w:rsidRPr="00E66107">
        <w:rPr>
          <w:rFonts w:ascii="Times New Roman" w:eastAsia="Times New Roman" w:hAnsi="Times New Roman" w:cs="Times New Roman"/>
          <w:sz w:val="24"/>
          <w:szCs w:val="24"/>
        </w:rPr>
        <w:t xml:space="preserve"> International Journal Tropical Medicine, </w:t>
      </w:r>
      <w:r w:rsidRPr="00E66107">
        <w:rPr>
          <w:rFonts w:ascii="Times New Roman" w:eastAsia="Times New Roman" w:hAnsi="Times New Roman" w:cs="Times New Roman"/>
          <w:b/>
          <w:sz w:val="24"/>
          <w:szCs w:val="24"/>
        </w:rPr>
        <w:t>1</w:t>
      </w:r>
      <w:r w:rsidRPr="00E66107">
        <w:rPr>
          <w:rFonts w:ascii="Times New Roman" w:eastAsia="Times New Roman" w:hAnsi="Times New Roman" w:cs="Times New Roman"/>
          <w:sz w:val="24"/>
          <w:szCs w:val="24"/>
        </w:rPr>
        <w:t>(3): 103-106.</w:t>
      </w:r>
    </w:p>
    <w:p w14:paraId="623B5F1B"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Oyedemi, S. O.,  (2022). Polyphenols as ROS scavengers in liver protection. </w:t>
      </w:r>
      <w:r w:rsidRPr="00E66107">
        <w:rPr>
          <w:rFonts w:ascii="Times New Roman" w:eastAsia="Times New Roman" w:hAnsi="Times New Roman" w:cs="Times New Roman"/>
          <w:i/>
          <w:sz w:val="24"/>
          <w:szCs w:val="24"/>
        </w:rPr>
        <w:t>Phytomedicine</w:t>
      </w:r>
      <w:r w:rsidRPr="00E66107">
        <w:rPr>
          <w:rFonts w:ascii="Times New Roman" w:eastAsia="Times New Roman" w:hAnsi="Times New Roman" w:cs="Times New Roman"/>
          <w:sz w:val="24"/>
          <w:szCs w:val="24"/>
        </w:rPr>
        <w:t>, 104, 154306.</w:t>
      </w:r>
    </w:p>
    <w:p w14:paraId="1ABC73BD"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B40650">
        <w:rPr>
          <w:rFonts w:ascii="Times New Roman" w:eastAsia="Times New Roman" w:hAnsi="Times New Roman" w:cs="Times New Roman"/>
          <w:sz w:val="24"/>
          <w:szCs w:val="24"/>
        </w:rPr>
        <w:t>Papackova, Z., Heczkova, M., Dankova, H., Sticova, E., Lodererova, A., Bartonova, L. (2018). Silymarin prevents acetaminophen-induced hepatotoxicity in mice. PLoS One 13, e0191353.</w:t>
      </w:r>
    </w:p>
    <w:p w14:paraId="4AB0E6D6"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Patrick-Iwuanyanwu K.C., Wegwu M.O., Okiyi J.K., (2010). Hepatoprotective effects of African locust beans and Negro pepper in CCl4-induced liver damage on Wistar albino rats. International Journal Pharmacology; 6(5): 744:749.</w:t>
      </w:r>
    </w:p>
    <w:p w14:paraId="7F947D06"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Polyak, S. J., Morishima, C., Lohmann, V., Pal, S., Lee, D. Y., Liu, Y., (2010). Identification of hepatoprotective flavonolignans from silymarin. Proc. Natl. Acad. Sci. U. S. A. </w:t>
      </w:r>
      <w:r w:rsidRPr="00E66107">
        <w:rPr>
          <w:rFonts w:ascii="Times New Roman" w:eastAsia="Times New Roman" w:hAnsi="Times New Roman" w:cs="Times New Roman"/>
          <w:b/>
          <w:sz w:val="24"/>
          <w:szCs w:val="24"/>
        </w:rPr>
        <w:t>107</w:t>
      </w:r>
      <w:r w:rsidRPr="00E66107">
        <w:rPr>
          <w:rFonts w:ascii="Times New Roman" w:eastAsia="Times New Roman" w:hAnsi="Times New Roman" w:cs="Times New Roman"/>
          <w:sz w:val="24"/>
          <w:szCs w:val="24"/>
        </w:rPr>
        <w:t xml:space="preserve">, 5995–5999. </w:t>
      </w:r>
    </w:p>
    <w:p w14:paraId="7E8D54D9"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Radi, R., Peluffo, G., Alvarez, M. N., Naviliat, M., and Cayota, A. (2001). Unraveling peroxynitrite formation in biological systems. Free Radic. Biol. Med. </w:t>
      </w:r>
      <w:r w:rsidRPr="00E66107">
        <w:rPr>
          <w:rFonts w:ascii="Times New Roman" w:eastAsia="Times New Roman" w:hAnsi="Times New Roman" w:cs="Times New Roman"/>
          <w:b/>
          <w:sz w:val="24"/>
          <w:szCs w:val="24"/>
        </w:rPr>
        <w:t>30</w:t>
      </w:r>
      <w:r w:rsidRPr="00E66107">
        <w:rPr>
          <w:rFonts w:ascii="Times New Roman" w:eastAsia="Times New Roman" w:hAnsi="Times New Roman" w:cs="Times New Roman"/>
          <w:sz w:val="24"/>
          <w:szCs w:val="24"/>
        </w:rPr>
        <w:t xml:space="preserve">, 463–488. </w:t>
      </w:r>
    </w:p>
    <w:p w14:paraId="0EFD0AD6" w14:textId="77777777" w:rsidR="003E39D4"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Rousta, A. M., Mirahmadi, S. M., Shahmohammadi, A., Mehrabi, Z., Fallah, S., Baluchnejadmojarad, T., (2022). Therapeutic potential of isorhamnetin following </w:t>
      </w:r>
      <w:r w:rsidRPr="00E66107">
        <w:rPr>
          <w:rFonts w:ascii="Times New Roman" w:eastAsia="Times New Roman" w:hAnsi="Times New Roman" w:cs="Times New Roman"/>
          <w:sz w:val="24"/>
          <w:szCs w:val="24"/>
        </w:rPr>
        <w:lastRenderedPageBreak/>
        <w:t xml:space="preserve">acetaminophen-induced hepatotoxicity through targeting NLRP3/NF-κB/Nrf2. Drug Res. (Stuttg) </w:t>
      </w:r>
      <w:r w:rsidRPr="00E66107">
        <w:rPr>
          <w:rFonts w:ascii="Times New Roman" w:eastAsia="Times New Roman" w:hAnsi="Times New Roman" w:cs="Times New Roman"/>
          <w:b/>
          <w:sz w:val="24"/>
          <w:szCs w:val="24"/>
        </w:rPr>
        <w:t>72</w:t>
      </w:r>
      <w:r w:rsidRPr="00E66107">
        <w:rPr>
          <w:rFonts w:ascii="Times New Roman" w:eastAsia="Times New Roman" w:hAnsi="Times New Roman" w:cs="Times New Roman"/>
          <w:sz w:val="24"/>
          <w:szCs w:val="24"/>
        </w:rPr>
        <w:t xml:space="preserve">, 245–254. </w:t>
      </w:r>
    </w:p>
    <w:p w14:paraId="1C956CEA"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Rufai, H., Nzelibe, H.C., and Abarsh, M.M., (2021). Science World Journal Vol. 16(No 3). </w:t>
      </w:r>
    </w:p>
    <w:p w14:paraId="2B801730"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Sa’id, (2020). </w:t>
      </w:r>
      <w:r w:rsidRPr="00E66107">
        <w:rPr>
          <w:rFonts w:ascii="Times New Roman" w:eastAsia="Times New Roman" w:hAnsi="Times New Roman" w:cs="Times New Roman"/>
          <w:i/>
          <w:sz w:val="24"/>
          <w:szCs w:val="24"/>
        </w:rPr>
        <w:t xml:space="preserve">A Journal of Biol. GMB, </w:t>
      </w:r>
      <w:r w:rsidRPr="00E66107">
        <w:rPr>
          <w:rFonts w:ascii="Times New Roman" w:eastAsia="Times New Roman" w:hAnsi="Times New Roman" w:cs="Times New Roman"/>
          <w:sz w:val="24"/>
          <w:szCs w:val="24"/>
        </w:rPr>
        <w:t xml:space="preserve">3(3): 12-21, 54697.SS  </w:t>
      </w:r>
    </w:p>
    <w:p w14:paraId="6C065F88"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Salih, E.Y.A., Kanninen, M., Luukkanen, O., Hiltunen, R. and Vuorela, H. (2017). Tannins, flavonoids and stilbenes in extract of African savanna woodland trees </w:t>
      </w:r>
      <w:r w:rsidRPr="00E66107">
        <w:rPr>
          <w:rFonts w:ascii="Times New Roman" w:eastAsia="Times New Roman" w:hAnsi="Times New Roman" w:cs="Times New Roman"/>
          <w:i/>
          <w:sz w:val="24"/>
          <w:szCs w:val="24"/>
        </w:rPr>
        <w:t>Terminalia brownie,</w:t>
      </w:r>
      <w:r w:rsidRPr="00E66107">
        <w:rPr>
          <w:rFonts w:ascii="Times New Roman" w:eastAsia="Times New Roman" w:hAnsi="Times New Roman" w:cs="Times New Roman"/>
          <w:sz w:val="24"/>
          <w:szCs w:val="24"/>
        </w:rPr>
        <w:t xml:space="preserve"> </w:t>
      </w:r>
      <w:r w:rsidRPr="00E66107">
        <w:rPr>
          <w:rFonts w:ascii="Times New Roman" w:eastAsia="Times New Roman" w:hAnsi="Times New Roman" w:cs="Times New Roman"/>
          <w:i/>
          <w:sz w:val="24"/>
          <w:szCs w:val="24"/>
        </w:rPr>
        <w:t>Terminalia laxiflora</w:t>
      </w:r>
      <w:r w:rsidRPr="00E66107">
        <w:rPr>
          <w:rFonts w:ascii="Times New Roman" w:eastAsia="Times New Roman" w:hAnsi="Times New Roman" w:cs="Times New Roman"/>
          <w:sz w:val="24"/>
          <w:szCs w:val="24"/>
        </w:rPr>
        <w:t xml:space="preserve"> and </w:t>
      </w:r>
      <w:r w:rsidRPr="00E66107">
        <w:rPr>
          <w:rFonts w:ascii="Times New Roman" w:eastAsia="Times New Roman" w:hAnsi="Times New Roman" w:cs="Times New Roman"/>
          <w:i/>
          <w:sz w:val="24"/>
          <w:szCs w:val="24"/>
        </w:rPr>
        <w:t>Anogeissus leiocarpus</w:t>
      </w:r>
      <w:r w:rsidRPr="00E66107">
        <w:rPr>
          <w:rFonts w:ascii="Times New Roman" w:eastAsia="Times New Roman" w:hAnsi="Times New Roman" w:cs="Times New Roman"/>
          <w:sz w:val="24"/>
          <w:szCs w:val="24"/>
        </w:rPr>
        <w:t xml:space="preserve"> showing promising antibacterial potential. South African Journal of Botany, 108: 370-386.</w:t>
      </w:r>
    </w:p>
    <w:p w14:paraId="4B8BCF1B"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Sgro C., Clinard F., Ouazir K., Chanay H., Allard C., Guilleminet C., et al. (2002). Incidence of drug-induced hepatic injuries: a French population-based study. Hepatol Baltim Md. </w:t>
      </w:r>
      <w:r w:rsidRPr="00E66107">
        <w:rPr>
          <w:rFonts w:ascii="Times New Roman" w:eastAsia="Times New Roman" w:hAnsi="Times New Roman" w:cs="Times New Roman"/>
          <w:b/>
          <w:sz w:val="24"/>
          <w:szCs w:val="24"/>
        </w:rPr>
        <w:t>36</w:t>
      </w:r>
      <w:r w:rsidRPr="00E66107">
        <w:rPr>
          <w:rFonts w:ascii="Times New Roman" w:eastAsia="Times New Roman" w:hAnsi="Times New Roman" w:cs="Times New Roman"/>
          <w:sz w:val="24"/>
          <w:szCs w:val="24"/>
        </w:rPr>
        <w:t xml:space="preserve"> (2), 451–455.</w:t>
      </w:r>
    </w:p>
    <w:p w14:paraId="4D950B76"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Shakya, A.K., (2020). Drug-induced Hepatotoxicity and Hepatoprotective Medicinal plant. Indira Gandhi National University </w:t>
      </w:r>
      <w:r w:rsidRPr="00E66107">
        <w:rPr>
          <w:rFonts w:ascii="Times New Roman" w:eastAsia="Times New Roman" w:hAnsi="Times New Roman" w:cs="Times New Roman"/>
          <w:b/>
          <w:sz w:val="24"/>
          <w:szCs w:val="24"/>
        </w:rPr>
        <w:t>54</w:t>
      </w:r>
      <w:r w:rsidRPr="00E66107">
        <w:rPr>
          <w:rFonts w:ascii="Times New Roman" w:eastAsia="Times New Roman" w:hAnsi="Times New Roman" w:cs="Times New Roman"/>
          <w:sz w:val="24"/>
          <w:szCs w:val="24"/>
        </w:rPr>
        <w:t>(2):234-250.</w:t>
      </w:r>
    </w:p>
    <w:p w14:paraId="69E580BC"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Sharifi-Rigi, A., Heidarian, E., and Amini, S. A. (2019). Protective and anti-inflammatory effects of hydroalcoholic leaf extract of Origanum vulgare on oxidative stress, TNF-α gene expression and liver histological changes in paraquat-induced hepatotoxicity in rats. Archives Physiology Biochem. </w:t>
      </w:r>
      <w:r w:rsidRPr="00E66107">
        <w:rPr>
          <w:rFonts w:ascii="Times New Roman" w:eastAsia="Times New Roman" w:hAnsi="Times New Roman" w:cs="Times New Roman"/>
          <w:b/>
          <w:sz w:val="24"/>
          <w:szCs w:val="24"/>
        </w:rPr>
        <w:t>125</w:t>
      </w:r>
      <w:r w:rsidRPr="00E66107">
        <w:rPr>
          <w:rFonts w:ascii="Times New Roman" w:eastAsia="Times New Roman" w:hAnsi="Times New Roman" w:cs="Times New Roman"/>
          <w:sz w:val="24"/>
          <w:szCs w:val="24"/>
        </w:rPr>
        <w:t xml:space="preserve">, 56–63. </w:t>
      </w:r>
    </w:p>
    <w:p w14:paraId="2488A874"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Shuaibu, M.N., Pandey, K., Wuyep, P.A., Yanagi, T., Hirayama, K., Ichinose, A., Tanaka, T., Kouno, I., (2008). Castalagin from </w:t>
      </w:r>
      <w:r w:rsidRPr="00E66107">
        <w:rPr>
          <w:rFonts w:ascii="Times New Roman" w:eastAsia="Times New Roman" w:hAnsi="Times New Roman" w:cs="Times New Roman"/>
          <w:i/>
          <w:sz w:val="24"/>
          <w:szCs w:val="24"/>
        </w:rPr>
        <w:t>Anogeissus leiocarpus</w:t>
      </w:r>
      <w:r w:rsidRPr="00E66107">
        <w:rPr>
          <w:rFonts w:ascii="Times New Roman" w:eastAsia="Times New Roman" w:hAnsi="Times New Roman" w:cs="Times New Roman"/>
          <w:sz w:val="24"/>
          <w:szCs w:val="24"/>
        </w:rPr>
        <w:t xml:space="preserve"> mediates the killing of Leishmania in vitro. </w:t>
      </w:r>
      <w:r w:rsidRPr="00E66107">
        <w:rPr>
          <w:rFonts w:ascii="Times New Roman" w:eastAsia="Times New Roman" w:hAnsi="Times New Roman" w:cs="Times New Roman"/>
          <w:i/>
          <w:sz w:val="24"/>
          <w:szCs w:val="24"/>
        </w:rPr>
        <w:t>Parasitology Research</w:t>
      </w:r>
      <w:r w:rsidRPr="00E66107">
        <w:rPr>
          <w:rFonts w:ascii="Times New Roman" w:eastAsia="Times New Roman" w:hAnsi="Times New Roman" w:cs="Times New Roman"/>
          <w:sz w:val="24"/>
          <w:szCs w:val="24"/>
        </w:rPr>
        <w:t xml:space="preserve">. </w:t>
      </w:r>
      <w:r w:rsidRPr="00E66107">
        <w:rPr>
          <w:rFonts w:ascii="Times New Roman" w:eastAsia="Times New Roman" w:hAnsi="Times New Roman" w:cs="Times New Roman"/>
          <w:b/>
          <w:sz w:val="24"/>
          <w:szCs w:val="24"/>
        </w:rPr>
        <w:t>103</w:t>
      </w:r>
      <w:r w:rsidRPr="00E66107">
        <w:rPr>
          <w:rFonts w:ascii="Times New Roman" w:eastAsia="Times New Roman" w:hAnsi="Times New Roman" w:cs="Times New Roman"/>
          <w:sz w:val="24"/>
          <w:szCs w:val="24"/>
        </w:rPr>
        <w:t xml:space="preserve">(6):1333-1338. </w:t>
      </w:r>
    </w:p>
    <w:p w14:paraId="29B34328" w14:textId="77777777" w:rsidR="003E39D4"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Shuaibu, M.N. (2008a). Castalagin from </w:t>
      </w:r>
      <w:r w:rsidRPr="00E66107">
        <w:rPr>
          <w:rFonts w:ascii="Times New Roman" w:eastAsia="Times New Roman" w:hAnsi="Times New Roman" w:cs="Times New Roman"/>
          <w:i/>
          <w:sz w:val="24"/>
          <w:szCs w:val="24"/>
        </w:rPr>
        <w:t>Anogeissus leiocarpus</w:t>
      </w:r>
      <w:r w:rsidRPr="00E66107">
        <w:rPr>
          <w:rFonts w:ascii="Times New Roman" w:eastAsia="Times New Roman" w:hAnsi="Times New Roman" w:cs="Times New Roman"/>
          <w:sz w:val="24"/>
          <w:szCs w:val="24"/>
        </w:rPr>
        <w:t xml:space="preserve"> mediates the killing of Leishmania in vitro. </w:t>
      </w:r>
      <w:r w:rsidRPr="00E66107">
        <w:rPr>
          <w:rFonts w:ascii="Times New Roman" w:eastAsia="Times New Roman" w:hAnsi="Times New Roman" w:cs="Times New Roman"/>
          <w:i/>
          <w:sz w:val="24"/>
          <w:szCs w:val="24"/>
        </w:rPr>
        <w:t>Parasitology Research</w:t>
      </w:r>
      <w:r w:rsidRPr="00E66107">
        <w:rPr>
          <w:rFonts w:ascii="Times New Roman" w:eastAsia="Times New Roman" w:hAnsi="Times New Roman" w:cs="Times New Roman"/>
          <w:sz w:val="24"/>
          <w:szCs w:val="24"/>
        </w:rPr>
        <w:t xml:space="preserve">. </w:t>
      </w:r>
      <w:r w:rsidRPr="00E66107">
        <w:rPr>
          <w:rFonts w:ascii="Times New Roman" w:eastAsia="Times New Roman" w:hAnsi="Times New Roman" w:cs="Times New Roman"/>
          <w:b/>
          <w:sz w:val="24"/>
          <w:szCs w:val="24"/>
        </w:rPr>
        <w:t>103</w:t>
      </w:r>
      <w:r w:rsidRPr="00E66107">
        <w:rPr>
          <w:rFonts w:ascii="Times New Roman" w:eastAsia="Times New Roman" w:hAnsi="Times New Roman" w:cs="Times New Roman"/>
          <w:sz w:val="24"/>
          <w:szCs w:val="24"/>
        </w:rPr>
        <w:t xml:space="preserve">(6):1333-1338. </w:t>
      </w:r>
    </w:p>
    <w:p w14:paraId="5D242747" w14:textId="77777777" w:rsidR="003E39D4"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Shutterstock (2023). Human liver anatomy structure diagram schematic raster illustration. Medical Sciena educational illustration, Stock illustration ID: 2369950541</w:t>
      </w:r>
      <w:r>
        <w:rPr>
          <w:rFonts w:ascii="Times New Roman" w:eastAsia="Times New Roman" w:hAnsi="Times New Roman" w:cs="Times New Roman"/>
          <w:sz w:val="24"/>
          <w:szCs w:val="24"/>
        </w:rPr>
        <w:t>.</w:t>
      </w:r>
    </w:p>
    <w:p w14:paraId="4F03AF26"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Sileikyte, J., Blachly-Dyson, E., Sewell, R., Carpi, A., Menabo, R., Di Lisa, F. (2014). </w:t>
      </w:r>
    </w:p>
    <w:p w14:paraId="5B633545"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Regulation of the mitochondrial permeability transition pore by the outer membrane does not involve the peripheral benzodiazepine receptor (Translocator Protein of 18 kDa (TSPO)). J. Biol. Chem. </w:t>
      </w:r>
      <w:r w:rsidRPr="00E66107">
        <w:rPr>
          <w:rFonts w:ascii="Times New Roman" w:eastAsia="Times New Roman" w:hAnsi="Times New Roman" w:cs="Times New Roman"/>
          <w:b/>
          <w:sz w:val="24"/>
          <w:szCs w:val="24"/>
        </w:rPr>
        <w:t>289</w:t>
      </w:r>
      <w:r w:rsidRPr="00E66107">
        <w:rPr>
          <w:rFonts w:ascii="Times New Roman" w:eastAsia="Times New Roman" w:hAnsi="Times New Roman" w:cs="Times New Roman"/>
          <w:sz w:val="24"/>
          <w:szCs w:val="24"/>
        </w:rPr>
        <w:t>, 13769–13781.</w:t>
      </w:r>
    </w:p>
    <w:p w14:paraId="07FF8A90"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Teschke, R. (2018). Liver injury by carbon tetrachloride intoxication in 16 patients treated with forced ventilation to accelerate toxin removal via the lungs: A clinical report. Toxics, </w:t>
      </w:r>
      <w:r w:rsidRPr="00E66107">
        <w:rPr>
          <w:rFonts w:ascii="Times New Roman" w:eastAsia="Times New Roman" w:hAnsi="Times New Roman" w:cs="Times New Roman"/>
          <w:b/>
          <w:sz w:val="24"/>
          <w:szCs w:val="24"/>
        </w:rPr>
        <w:t>6</w:t>
      </w:r>
      <w:r w:rsidRPr="00E66107">
        <w:rPr>
          <w:rFonts w:ascii="Times New Roman" w:eastAsia="Times New Roman" w:hAnsi="Times New Roman" w:cs="Times New Roman"/>
          <w:sz w:val="24"/>
          <w:szCs w:val="24"/>
        </w:rPr>
        <w:t>(2):25.</w:t>
      </w:r>
    </w:p>
    <w:p w14:paraId="71735867" w14:textId="77777777" w:rsidR="003E39D4"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lastRenderedPageBreak/>
        <w:t>Tietz (2012). Textbook of Clinical Chemistry and Molecular Diagnostics. Burtis, C.A,. Ashwood, E.R.; 5th edition, WB Saunders Comp.</w:t>
      </w:r>
    </w:p>
    <w:p w14:paraId="71135A0E"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Tipple. T. E., and Rogers, L. K. (2012). Methods for the determination of plasma or tissue</w:t>
      </w:r>
    </w:p>
    <w:p w14:paraId="0E72C7FF"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glutathione levels. Methods in molecular biology (Clifton. N.J.), 889, 315- 324.</w:t>
      </w:r>
    </w:p>
    <w:p w14:paraId="646F2D51"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Unsal V, Cicek M, Sabancilar I. (2020). Toxicity of carbon tetrachloride, free radicals androle of antioxidants. </w:t>
      </w:r>
    </w:p>
    <w:p w14:paraId="182A78A9"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Wang, P., Wang, P., Liu, B., Zhao, J., Pang, Q., Agrawal, S. G., (2015). Dynamin-related protein Drp1 is required for Bax translocation to mitochondria in response to irradiation-induced apoptosis. Oncotasrget </w:t>
      </w:r>
      <w:r w:rsidRPr="00E66107">
        <w:rPr>
          <w:rFonts w:ascii="Times New Roman" w:eastAsia="Times New Roman" w:hAnsi="Times New Roman" w:cs="Times New Roman"/>
          <w:b/>
          <w:sz w:val="24"/>
          <w:szCs w:val="24"/>
        </w:rPr>
        <w:t>6</w:t>
      </w:r>
      <w:r w:rsidRPr="00E66107">
        <w:rPr>
          <w:rFonts w:ascii="Times New Roman" w:eastAsia="Times New Roman" w:hAnsi="Times New Roman" w:cs="Times New Roman"/>
          <w:sz w:val="24"/>
          <w:szCs w:val="24"/>
        </w:rPr>
        <w:t xml:space="preserve">, 22598–22612. </w:t>
      </w:r>
    </w:p>
    <w:p w14:paraId="3063A504"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Wang, J., Luo, W., Li, B., Lv, J., Ke, X., Ge, D., (2018). </w:t>
      </w:r>
      <w:r w:rsidRPr="00E66107">
        <w:rPr>
          <w:rFonts w:ascii="Times New Roman" w:eastAsia="Times New Roman" w:hAnsi="Times New Roman" w:cs="Times New Roman"/>
          <w:i/>
          <w:sz w:val="24"/>
          <w:szCs w:val="24"/>
        </w:rPr>
        <w:t>Sagittaria sagittifolia</w:t>
      </w:r>
      <w:r w:rsidRPr="00E66107">
        <w:rPr>
          <w:rFonts w:ascii="Times New Roman" w:eastAsia="Times New Roman" w:hAnsi="Times New Roman" w:cs="Times New Roman"/>
          <w:sz w:val="24"/>
          <w:szCs w:val="24"/>
        </w:rPr>
        <w:t xml:space="preserve"> polysaccharide protects against isoniazid- and rifampicin-induced hepatic injury via activation of nuclear factor E2-related factor 2 signaling in mice. J. Ethnopharmacol. </w:t>
      </w:r>
      <w:r w:rsidRPr="00E66107">
        <w:rPr>
          <w:rFonts w:ascii="Times New Roman" w:eastAsia="Times New Roman" w:hAnsi="Times New Roman" w:cs="Times New Roman"/>
          <w:b/>
          <w:sz w:val="24"/>
          <w:szCs w:val="24"/>
        </w:rPr>
        <w:t>227</w:t>
      </w:r>
      <w:r w:rsidRPr="00E66107">
        <w:rPr>
          <w:rFonts w:ascii="Times New Roman" w:eastAsia="Times New Roman" w:hAnsi="Times New Roman" w:cs="Times New Roman"/>
          <w:sz w:val="24"/>
          <w:szCs w:val="24"/>
        </w:rPr>
        <w:t xml:space="preserve">, 237–245. </w:t>
      </w:r>
    </w:p>
    <w:p w14:paraId="79BE5813"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Watt, A.J., Zhao, R., Li, J., Duncan S.A., (2007). Development of the mammalian liver and ventral pancreas is dependent on GATA4. </w:t>
      </w:r>
      <w:r w:rsidRPr="00E66107">
        <w:rPr>
          <w:rFonts w:ascii="Times New Roman" w:eastAsia="Times New Roman" w:hAnsi="Times New Roman" w:cs="Times New Roman"/>
          <w:i/>
          <w:sz w:val="24"/>
          <w:szCs w:val="24"/>
        </w:rPr>
        <w:t>BMC Developmental Biology</w:t>
      </w:r>
      <w:r w:rsidRPr="00E66107">
        <w:rPr>
          <w:rFonts w:ascii="Times New Roman" w:eastAsia="Times New Roman" w:hAnsi="Times New Roman" w:cs="Times New Roman"/>
          <w:sz w:val="24"/>
          <w:szCs w:val="24"/>
        </w:rPr>
        <w:t xml:space="preserve">. </w:t>
      </w:r>
      <w:r w:rsidRPr="00E66107">
        <w:rPr>
          <w:rFonts w:ascii="Times New Roman" w:eastAsia="Times New Roman" w:hAnsi="Times New Roman" w:cs="Times New Roman"/>
          <w:b/>
          <w:sz w:val="24"/>
          <w:szCs w:val="24"/>
        </w:rPr>
        <w:t>16</w:t>
      </w:r>
      <w:r w:rsidRPr="00E66107">
        <w:rPr>
          <w:rFonts w:ascii="Times New Roman" w:eastAsia="Times New Roman" w:hAnsi="Times New Roman" w:cs="Times New Roman"/>
          <w:sz w:val="24"/>
          <w:szCs w:val="24"/>
        </w:rPr>
        <w:t xml:space="preserve">(17), 688-690.  </w:t>
      </w:r>
    </w:p>
    <w:p w14:paraId="1645D800"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Weber, L.W., Boll, M., Stampfi, A., (2003). Hepatotoxicity and mechanism of action of haloalkanes: Carbon tetrachloride as a toxicological model. Crit Rev Toxicol.</w:t>
      </w:r>
    </w:p>
    <w:p w14:paraId="107C3EA9"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33(2):105-36.  </w:t>
      </w:r>
    </w:p>
    <w:p w14:paraId="097C97E3" w14:textId="77777777" w:rsidR="003E39D4"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Win, S., Than, T. A., Min, R. W., Aghajan, M., and Kaplowitz, N. (2016). c-Jun N-terminal kinase mediates mouse liver injury through a novel SAB (SH3BP5)-dependent pathway leading to inactivation of intramitochondrial Src. Hepatology </w:t>
      </w:r>
      <w:r w:rsidRPr="00E66107">
        <w:rPr>
          <w:rFonts w:ascii="Times New Roman" w:eastAsia="Times New Roman" w:hAnsi="Times New Roman" w:cs="Times New Roman"/>
          <w:b/>
          <w:sz w:val="24"/>
          <w:szCs w:val="24"/>
        </w:rPr>
        <w:t>63</w:t>
      </w:r>
      <w:r w:rsidRPr="00E66107">
        <w:rPr>
          <w:rFonts w:ascii="Times New Roman" w:eastAsia="Times New Roman" w:hAnsi="Times New Roman" w:cs="Times New Roman"/>
          <w:sz w:val="24"/>
          <w:szCs w:val="24"/>
        </w:rPr>
        <w:t xml:space="preserve">, 1987–2003. </w:t>
      </w:r>
    </w:p>
    <w:p w14:paraId="0BDBA5AD"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Xu, G. B., Xiao, Y. H., Zhang, Q. Y., Zhou, M., and Liao, S. G. (2018). Hepatoprotective natural triterpenoids. Eur. J. Med. Chem. </w:t>
      </w:r>
      <w:r w:rsidRPr="00E66107">
        <w:rPr>
          <w:rFonts w:ascii="Times New Roman" w:eastAsia="Times New Roman" w:hAnsi="Times New Roman" w:cs="Times New Roman"/>
          <w:b/>
          <w:sz w:val="24"/>
          <w:szCs w:val="24"/>
        </w:rPr>
        <w:t>145</w:t>
      </w:r>
      <w:r w:rsidRPr="00E66107">
        <w:rPr>
          <w:rFonts w:ascii="Times New Roman" w:eastAsia="Times New Roman" w:hAnsi="Times New Roman" w:cs="Times New Roman"/>
          <w:sz w:val="24"/>
          <w:szCs w:val="24"/>
        </w:rPr>
        <w:t>, 691–716.</w:t>
      </w:r>
    </w:p>
    <w:p w14:paraId="046F98E5"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hAnsi="Times New Roman" w:cs="Times New Roman"/>
          <w:sz w:val="24"/>
          <w:szCs w:val="24"/>
        </w:rPr>
        <w:t xml:space="preserve"> </w:t>
      </w:r>
      <w:r w:rsidRPr="00E66107">
        <w:rPr>
          <w:rFonts w:ascii="Times New Roman" w:eastAsia="Times New Roman" w:hAnsi="Times New Roman" w:cs="Times New Roman"/>
          <w:sz w:val="24"/>
          <w:szCs w:val="24"/>
        </w:rPr>
        <w:t>Yadav U., Hugo A., Boon K.E., Yadav S., and Shrestha K.K. (2010). Indigenous use and bio-efficacy of medicinal plants in the Rasuwa District, Central Nepal. Journal of Ethnobiology and Ethnomedicine 6: 3,doi:10.1186/1746-4269-6-3.</w:t>
      </w:r>
    </w:p>
    <w:p w14:paraId="484941C3"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Yuan, L., and Kaplowitz, N. (2013). Mechanisms of drug-induced liver injury. Clin. Liver Dis. </w:t>
      </w:r>
      <w:r w:rsidRPr="00E66107">
        <w:rPr>
          <w:rFonts w:ascii="Times New Roman" w:eastAsia="Times New Roman" w:hAnsi="Times New Roman" w:cs="Times New Roman"/>
          <w:b/>
          <w:sz w:val="24"/>
          <w:szCs w:val="24"/>
        </w:rPr>
        <w:t>17</w:t>
      </w:r>
      <w:r w:rsidRPr="00E66107">
        <w:rPr>
          <w:rFonts w:ascii="Times New Roman" w:eastAsia="Times New Roman" w:hAnsi="Times New Roman" w:cs="Times New Roman"/>
          <w:sz w:val="24"/>
          <w:szCs w:val="24"/>
        </w:rPr>
        <w:t xml:space="preserve">, 507–518, vii. </w:t>
      </w:r>
    </w:p>
    <w:p w14:paraId="3D6CB500" w14:textId="77777777" w:rsidR="003E39D4" w:rsidRPr="00E66107"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Zhang. Q W. Lin, LG. and Ye, WC. (2018). Techniques for extraction and isolation of natural products: a comprehensive review. Chin Med </w:t>
      </w:r>
      <w:r w:rsidRPr="00E66107">
        <w:rPr>
          <w:rFonts w:ascii="Times New Roman" w:eastAsia="Times New Roman" w:hAnsi="Times New Roman" w:cs="Times New Roman"/>
          <w:b/>
          <w:sz w:val="24"/>
          <w:szCs w:val="24"/>
        </w:rPr>
        <w:t>13</w:t>
      </w:r>
      <w:r w:rsidRPr="00E66107">
        <w:rPr>
          <w:rFonts w:ascii="Times New Roman" w:eastAsia="Times New Roman" w:hAnsi="Times New Roman" w:cs="Times New Roman"/>
          <w:sz w:val="24"/>
          <w:szCs w:val="24"/>
        </w:rPr>
        <w:t xml:space="preserve">. 20 </w:t>
      </w:r>
    </w:p>
    <w:p w14:paraId="0E688EB4" w14:textId="7544B4E2" w:rsidR="003E39D4" w:rsidRDefault="003E39D4" w:rsidP="003E39D4">
      <w:pPr>
        <w:spacing w:after="0" w:line="360" w:lineRule="auto"/>
        <w:jc w:val="both"/>
        <w:rPr>
          <w:rFonts w:ascii="Times New Roman" w:eastAsia="Times New Roman" w:hAnsi="Times New Roman" w:cs="Times New Roman"/>
          <w:sz w:val="24"/>
          <w:szCs w:val="24"/>
        </w:rPr>
      </w:pPr>
      <w:r w:rsidRPr="00E66107">
        <w:rPr>
          <w:rFonts w:ascii="Times New Roman" w:eastAsia="Times New Roman" w:hAnsi="Times New Roman" w:cs="Times New Roman"/>
          <w:sz w:val="24"/>
          <w:szCs w:val="24"/>
        </w:rPr>
        <w:t xml:space="preserve">Zhu, P., Li, J., Fu, X., and Yu, Z. (2019). Schisandra fruits for the management of drug-induced liver injury in China: A review. Phytomedicine </w:t>
      </w:r>
      <w:r w:rsidRPr="00E66107">
        <w:rPr>
          <w:rFonts w:ascii="Times New Roman" w:eastAsia="Times New Roman" w:hAnsi="Times New Roman" w:cs="Times New Roman"/>
          <w:b/>
          <w:sz w:val="24"/>
          <w:szCs w:val="24"/>
        </w:rPr>
        <w:t>59</w:t>
      </w:r>
      <w:r w:rsidRPr="00E66107">
        <w:rPr>
          <w:rFonts w:ascii="Times New Roman" w:eastAsia="Times New Roman" w:hAnsi="Times New Roman" w:cs="Times New Roman"/>
          <w:sz w:val="24"/>
          <w:szCs w:val="24"/>
        </w:rPr>
        <w:t>, 152760.</w:t>
      </w:r>
    </w:p>
    <w:p w14:paraId="67DC46DF" w14:textId="74459147" w:rsidR="000530C1" w:rsidRDefault="000530C1" w:rsidP="003E39D4">
      <w:pPr>
        <w:spacing w:after="0" w:line="360" w:lineRule="auto"/>
        <w:jc w:val="both"/>
        <w:rPr>
          <w:rFonts w:ascii="Times New Roman" w:eastAsia="Times New Roman" w:hAnsi="Times New Roman" w:cs="Times New Roman"/>
          <w:sz w:val="24"/>
          <w:szCs w:val="24"/>
          <w:highlight w:val="yellow"/>
        </w:rPr>
      </w:pPr>
      <w:r w:rsidRPr="000530C1">
        <w:rPr>
          <w:rFonts w:ascii="Times New Roman" w:eastAsia="Times New Roman" w:hAnsi="Times New Roman" w:cs="Times New Roman"/>
          <w:sz w:val="24"/>
          <w:szCs w:val="24"/>
          <w:highlight w:val="yellow"/>
        </w:rPr>
        <w:lastRenderedPageBreak/>
        <w:t>Sumran</w:t>
      </w:r>
      <w:r>
        <w:rPr>
          <w:rFonts w:ascii="Times New Roman" w:eastAsia="Times New Roman" w:hAnsi="Times New Roman" w:cs="Times New Roman"/>
          <w:sz w:val="24"/>
          <w:szCs w:val="24"/>
          <w:highlight w:val="yellow"/>
        </w:rPr>
        <w:t>, G.</w:t>
      </w:r>
      <w:r w:rsidRPr="000530C1">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highlight w:val="yellow"/>
        </w:rPr>
        <w:t xml:space="preserve"> </w:t>
      </w:r>
      <w:r w:rsidRPr="000530C1">
        <w:rPr>
          <w:rFonts w:ascii="Times New Roman" w:eastAsia="Times New Roman" w:hAnsi="Times New Roman" w:cs="Times New Roman"/>
          <w:sz w:val="24"/>
          <w:szCs w:val="24"/>
          <w:highlight w:val="yellow"/>
        </w:rPr>
        <w:t>Aggarwal,</w:t>
      </w:r>
      <w:r>
        <w:rPr>
          <w:rFonts w:ascii="Times New Roman" w:eastAsia="Times New Roman" w:hAnsi="Times New Roman" w:cs="Times New Roman"/>
          <w:sz w:val="24"/>
          <w:szCs w:val="24"/>
          <w:highlight w:val="yellow"/>
        </w:rPr>
        <w:t xml:space="preserve"> A.</w:t>
      </w:r>
      <w:r w:rsidRPr="000530C1">
        <w:rPr>
          <w:rFonts w:ascii="Times New Roman" w:eastAsia="Times New Roman" w:hAnsi="Times New Roman" w:cs="Times New Roman"/>
          <w:sz w:val="24"/>
          <w:szCs w:val="24"/>
          <w:highlight w:val="yellow"/>
        </w:rPr>
        <w:t xml:space="preserve"> Prospect of Indian herbs as sources of antioxidants in combating oxidative stress. Chemistry &amp; Biology Interface 2019, 9 (1), 1-20.</w:t>
      </w:r>
    </w:p>
    <w:p w14:paraId="2BE34203" w14:textId="48683240" w:rsidR="001D14D1" w:rsidRDefault="001D14D1" w:rsidP="003E39D4">
      <w:pPr>
        <w:spacing w:after="0" w:line="360" w:lineRule="auto"/>
        <w:jc w:val="both"/>
        <w:rPr>
          <w:rFonts w:ascii="Times New Roman" w:eastAsia="Times New Roman" w:hAnsi="Times New Roman" w:cs="Times New Roman"/>
          <w:sz w:val="24"/>
          <w:szCs w:val="24"/>
        </w:rPr>
      </w:pPr>
    </w:p>
    <w:p w14:paraId="605C8DD3" w14:textId="0139FA24" w:rsidR="001D14D1" w:rsidRPr="00E66107" w:rsidRDefault="001D14D1" w:rsidP="003E39D4">
      <w:pPr>
        <w:spacing w:after="0" w:line="360" w:lineRule="auto"/>
        <w:jc w:val="both"/>
        <w:rPr>
          <w:rFonts w:ascii="Times New Roman" w:eastAsia="Times New Roman" w:hAnsi="Times New Roman" w:cs="Times New Roman"/>
          <w:sz w:val="24"/>
          <w:szCs w:val="24"/>
        </w:rPr>
      </w:pPr>
      <w:r w:rsidRPr="000A4404">
        <w:rPr>
          <w:rFonts w:ascii="Times New Roman" w:eastAsia="Times New Roman" w:hAnsi="Times New Roman" w:cs="Times New Roman"/>
          <w:sz w:val="24"/>
          <w:szCs w:val="24"/>
          <w:highlight w:val="yellow"/>
        </w:rPr>
        <w:t>Ouattara AL, Abou O, Tano DK, Koffi AJ. Phenolic Compound Content and Antioxidant Activity of Extracts from the Leaves of Anogeissus leiocarpus (Combretaceae), a Plant Used in the North of Côte d’Ivoire for the Traditional Treatment of Gastrointestinal Disorders in Broiler Chickens. Int. J. Biochem. Res. Rev. [Internet]. 2024 Mar. 30 [cited 2025 Mar. 7];33(4):52-61. Available from: https://journalijbcrr.com/index.php/IJBCRR/article/view/869</w:t>
      </w:r>
    </w:p>
    <w:p w14:paraId="5C3750BA" w14:textId="77777777" w:rsidR="00E66107" w:rsidRPr="00297285" w:rsidRDefault="00E66107" w:rsidP="00AE0742">
      <w:pPr>
        <w:spacing w:after="0" w:line="360" w:lineRule="auto"/>
        <w:jc w:val="both"/>
      </w:pPr>
    </w:p>
    <w:sectPr w:rsidR="00E66107" w:rsidRPr="00297285">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018CF" w14:textId="77777777" w:rsidR="00FF68A0" w:rsidRDefault="00FF68A0">
      <w:pPr>
        <w:spacing w:after="0" w:line="240" w:lineRule="auto"/>
      </w:pPr>
      <w:r>
        <w:separator/>
      </w:r>
    </w:p>
  </w:endnote>
  <w:endnote w:type="continuationSeparator" w:id="0">
    <w:p w14:paraId="2C315A00" w14:textId="77777777" w:rsidR="00FF68A0" w:rsidRDefault="00FF6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AB841" w14:textId="77777777" w:rsidR="00B34A59" w:rsidRDefault="00B34A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4599120"/>
      <w:docPartObj>
        <w:docPartGallery w:val="Page Numbers (Bottom of Page)"/>
        <w:docPartUnique/>
      </w:docPartObj>
    </w:sdtPr>
    <w:sdtEndPr>
      <w:rPr>
        <w:noProof/>
      </w:rPr>
    </w:sdtEndPr>
    <w:sdtContent>
      <w:p w14:paraId="42E7E061" w14:textId="77777777" w:rsidR="00CD0CD6" w:rsidRDefault="00CD0CD6">
        <w:pPr>
          <w:pStyle w:val="Footer"/>
          <w:jc w:val="center"/>
        </w:pPr>
        <w:r>
          <w:fldChar w:fldCharType="begin"/>
        </w:r>
        <w:r>
          <w:instrText xml:space="preserve"> PAGE   \* MERGEFORMAT </w:instrText>
        </w:r>
        <w:r>
          <w:fldChar w:fldCharType="separate"/>
        </w:r>
        <w:r w:rsidR="00B40650">
          <w:rPr>
            <w:noProof/>
          </w:rPr>
          <w:t>27</w:t>
        </w:r>
        <w:r>
          <w:rPr>
            <w:noProof/>
          </w:rPr>
          <w:fldChar w:fldCharType="end"/>
        </w:r>
      </w:p>
    </w:sdtContent>
  </w:sdt>
  <w:p w14:paraId="5497C7A6" w14:textId="77777777" w:rsidR="00CD0CD6" w:rsidRDefault="00CD0C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433E0" w14:textId="77777777" w:rsidR="00B34A59" w:rsidRDefault="00B34A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B4363" w14:textId="77777777" w:rsidR="00FF68A0" w:rsidRDefault="00FF68A0">
      <w:pPr>
        <w:spacing w:after="0" w:line="240" w:lineRule="auto"/>
      </w:pPr>
      <w:r>
        <w:separator/>
      </w:r>
    </w:p>
  </w:footnote>
  <w:footnote w:type="continuationSeparator" w:id="0">
    <w:p w14:paraId="34581338" w14:textId="77777777" w:rsidR="00FF68A0" w:rsidRDefault="00FF68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B37A9" w14:textId="43A11130" w:rsidR="00B34A59" w:rsidRDefault="00000000">
    <w:pPr>
      <w:pStyle w:val="Header"/>
    </w:pPr>
    <w:r>
      <w:rPr>
        <w:noProof/>
      </w:rPr>
      <w:pict w14:anchorId="742828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932226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260D6" w14:textId="4A6C4523" w:rsidR="00B34A59" w:rsidRDefault="00000000">
    <w:pPr>
      <w:pStyle w:val="Header"/>
    </w:pPr>
    <w:r>
      <w:rPr>
        <w:noProof/>
      </w:rPr>
      <w:pict w14:anchorId="70C82C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932226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4012E" w14:textId="06947A72" w:rsidR="00B34A59" w:rsidRDefault="00000000">
    <w:pPr>
      <w:pStyle w:val="Header"/>
    </w:pPr>
    <w:r>
      <w:rPr>
        <w:noProof/>
      </w:rPr>
      <w:pict w14:anchorId="697D4A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932226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61F5A"/>
    <w:multiLevelType w:val="multilevel"/>
    <w:tmpl w:val="CA34B2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BF04113"/>
    <w:multiLevelType w:val="multilevel"/>
    <w:tmpl w:val="8D489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D02273"/>
    <w:multiLevelType w:val="hybridMultilevel"/>
    <w:tmpl w:val="95B0F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5871977">
    <w:abstractNumId w:val="0"/>
  </w:num>
  <w:num w:numId="2" w16cid:durableId="679938269">
    <w:abstractNumId w:val="2"/>
  </w:num>
  <w:num w:numId="3" w16cid:durableId="120728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M3NbM0MzY3NDc1NjFT0lEKTi0uzszPAykwrAUAVG9+ICwAAAA="/>
  </w:docVars>
  <w:rsids>
    <w:rsidRoot w:val="007C4941"/>
    <w:rsid w:val="000530C1"/>
    <w:rsid w:val="000A4404"/>
    <w:rsid w:val="00112424"/>
    <w:rsid w:val="00131498"/>
    <w:rsid w:val="0014162D"/>
    <w:rsid w:val="001918EB"/>
    <w:rsid w:val="001B378A"/>
    <w:rsid w:val="001D14D1"/>
    <w:rsid w:val="00200850"/>
    <w:rsid w:val="00222EC5"/>
    <w:rsid w:val="002653C9"/>
    <w:rsid w:val="00276228"/>
    <w:rsid w:val="002917FC"/>
    <w:rsid w:val="00297285"/>
    <w:rsid w:val="00315ACC"/>
    <w:rsid w:val="003218EB"/>
    <w:rsid w:val="003C6899"/>
    <w:rsid w:val="003E39D4"/>
    <w:rsid w:val="004508FA"/>
    <w:rsid w:val="00473691"/>
    <w:rsid w:val="00473F37"/>
    <w:rsid w:val="00484A1D"/>
    <w:rsid w:val="005005FE"/>
    <w:rsid w:val="0050333B"/>
    <w:rsid w:val="00532533"/>
    <w:rsid w:val="0059430D"/>
    <w:rsid w:val="005F422A"/>
    <w:rsid w:val="006056C3"/>
    <w:rsid w:val="00665A91"/>
    <w:rsid w:val="00666195"/>
    <w:rsid w:val="006F5EFA"/>
    <w:rsid w:val="00745971"/>
    <w:rsid w:val="00762CB1"/>
    <w:rsid w:val="00764230"/>
    <w:rsid w:val="00773496"/>
    <w:rsid w:val="00786D4E"/>
    <w:rsid w:val="007A4610"/>
    <w:rsid w:val="007A4F9F"/>
    <w:rsid w:val="007C4941"/>
    <w:rsid w:val="0083594F"/>
    <w:rsid w:val="008A0D76"/>
    <w:rsid w:val="008F30AD"/>
    <w:rsid w:val="00922908"/>
    <w:rsid w:val="009548DC"/>
    <w:rsid w:val="00972DFD"/>
    <w:rsid w:val="00985404"/>
    <w:rsid w:val="00987708"/>
    <w:rsid w:val="009A47C8"/>
    <w:rsid w:val="009B2F6D"/>
    <w:rsid w:val="00A55342"/>
    <w:rsid w:val="00AE0742"/>
    <w:rsid w:val="00B34A59"/>
    <w:rsid w:val="00B40650"/>
    <w:rsid w:val="00B568DD"/>
    <w:rsid w:val="00C515C5"/>
    <w:rsid w:val="00C67555"/>
    <w:rsid w:val="00C76EA1"/>
    <w:rsid w:val="00C93C15"/>
    <w:rsid w:val="00CD0CD6"/>
    <w:rsid w:val="00CD4915"/>
    <w:rsid w:val="00D01FB2"/>
    <w:rsid w:val="00D02B8D"/>
    <w:rsid w:val="00D05507"/>
    <w:rsid w:val="00D26BDA"/>
    <w:rsid w:val="00D65229"/>
    <w:rsid w:val="00DA185A"/>
    <w:rsid w:val="00DF5025"/>
    <w:rsid w:val="00E27C9E"/>
    <w:rsid w:val="00E66107"/>
    <w:rsid w:val="00EC6EBF"/>
    <w:rsid w:val="00F24A0B"/>
    <w:rsid w:val="00F63DDA"/>
    <w:rsid w:val="00F85C76"/>
    <w:rsid w:val="00FE6178"/>
    <w:rsid w:val="00FE6803"/>
    <w:rsid w:val="00FF6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A5684"/>
  <w15:docId w15:val="{4356812E-14A2-2249-BBBE-257F9AE9F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9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941"/>
    <w:pPr>
      <w:ind w:left="720"/>
      <w:contextualSpacing/>
    </w:pPr>
  </w:style>
  <w:style w:type="paragraph" w:styleId="Footer">
    <w:name w:val="footer"/>
    <w:basedOn w:val="Normal"/>
    <w:link w:val="FooterChar"/>
    <w:uiPriority w:val="99"/>
    <w:unhideWhenUsed/>
    <w:rsid w:val="007C49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941"/>
  </w:style>
  <w:style w:type="table" w:styleId="TableGrid">
    <w:name w:val="Table Grid"/>
    <w:basedOn w:val="TableNormal"/>
    <w:uiPriority w:val="59"/>
    <w:qFormat/>
    <w:rsid w:val="007C4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49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941"/>
    <w:rPr>
      <w:rFonts w:ascii="Tahoma" w:hAnsi="Tahoma" w:cs="Tahoma"/>
      <w:sz w:val="16"/>
      <w:szCs w:val="16"/>
    </w:rPr>
  </w:style>
  <w:style w:type="character" w:styleId="Hyperlink">
    <w:name w:val="Hyperlink"/>
    <w:basedOn w:val="DefaultParagraphFont"/>
    <w:uiPriority w:val="99"/>
    <w:unhideWhenUsed/>
    <w:rsid w:val="00297285"/>
    <w:rPr>
      <w:color w:val="0000FF" w:themeColor="hyperlink"/>
      <w:u w:val="single"/>
    </w:rPr>
  </w:style>
  <w:style w:type="paragraph" w:styleId="NormalWeb">
    <w:name w:val="Normal (Web)"/>
    <w:basedOn w:val="Normal"/>
    <w:uiPriority w:val="99"/>
    <w:unhideWhenUsed/>
    <w:rsid w:val="00D26B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6BDA"/>
    <w:rPr>
      <w:b/>
      <w:bCs/>
    </w:rPr>
  </w:style>
  <w:style w:type="paragraph" w:styleId="Header">
    <w:name w:val="header"/>
    <w:basedOn w:val="Normal"/>
    <w:link w:val="HeaderChar"/>
    <w:uiPriority w:val="99"/>
    <w:unhideWhenUsed/>
    <w:rsid w:val="00A553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342"/>
  </w:style>
  <w:style w:type="character" w:styleId="UnresolvedMention">
    <w:name w:val="Unresolved Mention"/>
    <w:basedOn w:val="DefaultParagraphFont"/>
    <w:uiPriority w:val="99"/>
    <w:semiHidden/>
    <w:unhideWhenUsed/>
    <w:rsid w:val="008359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emf"/><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hyperlink" Target="http://www.iiardpub.org" TargetMode="External"/><Relationship Id="rId28" Type="http://schemas.openxmlformats.org/officeDocument/2006/relationships/header" Target="header3.xml"/><Relationship Id="rId10" Type="http://schemas.openxmlformats.org/officeDocument/2006/relationships/oleObject" Target="embeddings/oleObject2.bin"/><Relationship Id="rId19" Type="http://schemas.openxmlformats.org/officeDocument/2006/relationships/image" Target="media/image11.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6.jpeg"/><Relationship Id="rId22" Type="http://schemas.openxmlformats.org/officeDocument/2006/relationships/hyperlink" Target="https://www.uicc.org/news/globocan%20new%20global-cancer-data"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28</Pages>
  <Words>8564</Words>
  <Characters>48820</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BIODUN</dc:creator>
  <cp:lastModifiedBy>Editor GP 005</cp:lastModifiedBy>
  <cp:revision>31</cp:revision>
  <dcterms:created xsi:type="dcterms:W3CDTF">2025-03-06T15:49:00Z</dcterms:created>
  <dcterms:modified xsi:type="dcterms:W3CDTF">2025-03-19T09:52:00Z</dcterms:modified>
</cp:coreProperties>
</file>