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A15E7" w14:textId="06103B0A" w:rsidR="00BC6A0A" w:rsidRPr="0092006B" w:rsidRDefault="000C037E" w:rsidP="00055D83">
      <w:pPr>
        <w:spacing w:line="240" w:lineRule="auto"/>
        <w:jc w:val="center"/>
        <w:rPr>
          <w:rFonts w:cs="Times New Roman"/>
          <w:b/>
          <w:bCs/>
          <w:color w:val="000000" w:themeColor="text1"/>
          <w:sz w:val="36"/>
          <w:szCs w:val="36"/>
        </w:rPr>
      </w:pPr>
      <w:r w:rsidRPr="000C037E">
        <w:rPr>
          <w:rFonts w:cs="Times New Roman"/>
          <w:b/>
          <w:bCs/>
          <w:color w:val="000000" w:themeColor="text1"/>
          <w:sz w:val="36"/>
          <w:szCs w:val="36"/>
        </w:rPr>
        <w:t>Itax System Role in Tax Compliance for Residential Landlords in Kiambu Town, Kiambu County, Kenya</w:t>
      </w:r>
    </w:p>
    <w:p w14:paraId="25CCDF75" w14:textId="77777777" w:rsidR="00BC6A0A" w:rsidRPr="0092006B" w:rsidRDefault="00BC6A0A" w:rsidP="00055D83">
      <w:pPr>
        <w:spacing w:line="240" w:lineRule="auto"/>
        <w:jc w:val="center"/>
        <w:rPr>
          <w:rFonts w:cs="Times New Roman"/>
          <w:b/>
          <w:bCs/>
          <w:color w:val="000000" w:themeColor="text1"/>
          <w:sz w:val="36"/>
          <w:szCs w:val="36"/>
        </w:rPr>
      </w:pPr>
    </w:p>
    <w:p w14:paraId="5E8490C4" w14:textId="77777777" w:rsidR="007C3182" w:rsidRPr="0092006B" w:rsidRDefault="007C3182" w:rsidP="00055D83">
      <w:pPr>
        <w:spacing w:before="0" w:line="240" w:lineRule="auto"/>
        <w:jc w:val="center"/>
        <w:rPr>
          <w:rFonts w:cs="Times New Roman"/>
          <w:color w:val="000000" w:themeColor="text1"/>
          <w:szCs w:val="24"/>
        </w:rPr>
      </w:pPr>
    </w:p>
    <w:p w14:paraId="43D2AA90" w14:textId="77777777" w:rsidR="007C3182" w:rsidRPr="0092006B" w:rsidRDefault="007C3182" w:rsidP="00055D83">
      <w:pPr>
        <w:spacing w:before="0" w:line="240" w:lineRule="auto"/>
        <w:jc w:val="center"/>
        <w:rPr>
          <w:rFonts w:cs="Times New Roman"/>
          <w:color w:val="000000" w:themeColor="text1"/>
          <w:szCs w:val="24"/>
        </w:rPr>
      </w:pPr>
    </w:p>
    <w:p w14:paraId="42946DD8" w14:textId="77777777" w:rsidR="00055D83" w:rsidRPr="0092006B" w:rsidRDefault="00055D83" w:rsidP="00055D83">
      <w:pPr>
        <w:pStyle w:val="Heading1"/>
      </w:pPr>
      <w:bookmarkStart w:id="0" w:name="_Toc488404692"/>
      <w:bookmarkStart w:id="1" w:name="_Toc102409737"/>
      <w:r w:rsidRPr="0092006B">
        <w:t>ABSTRACT</w:t>
      </w:r>
      <w:bookmarkEnd w:id="0"/>
      <w:bookmarkEnd w:id="1"/>
    </w:p>
    <w:p w14:paraId="430E89DA" w14:textId="23673E0A" w:rsidR="00A67F40" w:rsidRPr="00A67F40" w:rsidRDefault="00A67F40" w:rsidP="00A67F40">
      <w:pPr>
        <w:spacing w:line="240" w:lineRule="auto"/>
        <w:rPr>
          <w:rFonts w:cs="Times New Roman"/>
          <w:szCs w:val="24"/>
        </w:rPr>
      </w:pPr>
      <w:r w:rsidRPr="00A67F40">
        <w:rPr>
          <w:rFonts w:cs="Times New Roman"/>
          <w:szCs w:val="24"/>
        </w:rPr>
        <w:t>The Kenyan government relies on taxes as a major source of revenue, yet compliance remains a challenge, particularly in the real estate sector. Despite the significant growth of Kenya’s real esta</w:t>
      </w:r>
      <w:bookmarkStart w:id="2" w:name="_GoBack"/>
      <w:bookmarkEnd w:id="2"/>
      <w:r w:rsidRPr="00A67F40">
        <w:rPr>
          <w:rFonts w:cs="Times New Roman"/>
          <w:szCs w:val="24"/>
        </w:rPr>
        <w:t xml:space="preserve">te market, tax revenue has not increased proportionally due to widespread non-compliance among landlords. This study examined the role of the iTax system in improving tax compliance among residential landlords in Kiambu Town, focusing on tax rates, cost acceptance, tax literacy, and tax awareness. The research was grounded in fiscal exchange, ability to pay, institutional anomie, and economic deterrence theories. A descriptive research design was used to survey 1,004 rental property owners, with a sample of 286 selected using Yamane’s formula. Data was collected via structured questionnaires with a five-point rating scale, achieving a Cronbach’s alpha of 0.7 for reliability. The study employed SPSS for data analysis, using both descriptive statistics (frequencies, mean scores, and variability measures) and inferential statistics (multivariable regression). The results showed that tax literacy (β=0.364, p=0.000), tax awareness (β=0.254, p=0.015), and cost acceptance (β=0.235, p=0.002) positively influenced compliance, while higher tax rates (β=-0.221, p=0.007) reduced adherence. The study recommended that the Kenya Revenue Authority (KRA) enhance tax literacy and awareness through educational programs, workshops, and public campaigns. Additionally, making tax filing services more affordable through certified professionals and reviewing tax rates for fairness and transparency would encourage voluntary compliance. Future research should explore stakeholder sensitization and other unidentified factors influencing tax adherence among landlords.  </w:t>
      </w:r>
    </w:p>
    <w:p w14:paraId="1B3C3B41" w14:textId="656220E9" w:rsidR="00785F6F" w:rsidRPr="00785F6F" w:rsidRDefault="00A67F40" w:rsidP="00A67F40">
      <w:pPr>
        <w:spacing w:line="240" w:lineRule="auto"/>
        <w:rPr>
          <w:rFonts w:cs="Times New Roman"/>
          <w:i/>
          <w:iCs/>
          <w:szCs w:val="24"/>
        </w:rPr>
      </w:pPr>
      <w:r w:rsidRPr="00A67F40">
        <w:rPr>
          <w:rFonts w:cs="Times New Roman"/>
          <w:b/>
          <w:bCs/>
          <w:szCs w:val="24"/>
        </w:rPr>
        <w:t>Key Words</w:t>
      </w:r>
      <w:r w:rsidRPr="00A67F40">
        <w:rPr>
          <w:rFonts w:cs="Times New Roman"/>
          <w:szCs w:val="24"/>
        </w:rPr>
        <w:t xml:space="preserve">: </w:t>
      </w:r>
      <w:r w:rsidR="00785F6F" w:rsidRPr="00785F6F">
        <w:rPr>
          <w:rFonts w:cs="Times New Roman"/>
          <w:i/>
          <w:iCs/>
          <w:szCs w:val="24"/>
        </w:rPr>
        <w:t xml:space="preserve">Cost Acceptance, Real Estate, Rental Income Tax, Tax Awareness, Tax Compliance, Tax Literacy, Tax Rates, </w:t>
      </w:r>
    </w:p>
    <w:p w14:paraId="2B31750F" w14:textId="77777777" w:rsidR="00055D83" w:rsidRPr="0092006B" w:rsidRDefault="00055D83" w:rsidP="00055D83">
      <w:pPr>
        <w:spacing w:line="240" w:lineRule="auto"/>
        <w:rPr>
          <w:rFonts w:cs="Times New Roman"/>
          <w:color w:val="000000" w:themeColor="text1"/>
          <w:szCs w:val="24"/>
        </w:rPr>
      </w:pPr>
    </w:p>
    <w:p w14:paraId="23647AD2" w14:textId="77777777" w:rsidR="00055D83" w:rsidRPr="0092006B" w:rsidRDefault="00055D83" w:rsidP="00055D83">
      <w:pPr>
        <w:spacing w:before="0" w:after="160" w:line="240" w:lineRule="auto"/>
        <w:jc w:val="left"/>
        <w:rPr>
          <w:rFonts w:eastAsia="Times New Roman" w:cs="Times New Roman"/>
          <w:b/>
          <w:bCs/>
          <w:color w:val="000000" w:themeColor="text1"/>
          <w:szCs w:val="24"/>
        </w:rPr>
      </w:pPr>
      <w:r w:rsidRPr="0092006B">
        <w:rPr>
          <w:rFonts w:eastAsia="Times New Roman" w:cs="Times New Roman"/>
          <w:b/>
          <w:bCs/>
          <w:color w:val="000000" w:themeColor="text1"/>
          <w:szCs w:val="24"/>
        </w:rPr>
        <w:br w:type="page"/>
      </w:r>
    </w:p>
    <w:p w14:paraId="60C890DF" w14:textId="77777777" w:rsidR="00055D83" w:rsidRPr="0092006B" w:rsidRDefault="00055D83" w:rsidP="00055D83">
      <w:pPr>
        <w:shd w:val="clear" w:color="auto" w:fill="FFFFFF"/>
        <w:spacing w:line="240" w:lineRule="auto"/>
        <w:rPr>
          <w:rFonts w:eastAsia="Times New Roman" w:cs="Times New Roman"/>
          <w:b/>
          <w:bCs/>
          <w:color w:val="000000" w:themeColor="text1"/>
          <w:sz w:val="28"/>
          <w:szCs w:val="28"/>
        </w:rPr>
      </w:pPr>
      <w:r w:rsidRPr="0092006B">
        <w:rPr>
          <w:rFonts w:eastAsia="Times New Roman" w:cs="Times New Roman"/>
          <w:b/>
          <w:bCs/>
          <w:color w:val="000000" w:themeColor="text1"/>
          <w:sz w:val="28"/>
          <w:szCs w:val="28"/>
        </w:rPr>
        <w:lastRenderedPageBreak/>
        <w:t>1.0 INTRODUCTION</w:t>
      </w:r>
    </w:p>
    <w:p w14:paraId="4DC85BF1" w14:textId="77777777" w:rsidR="000750F8" w:rsidRPr="000750F8" w:rsidRDefault="000750F8" w:rsidP="000750F8">
      <w:pPr>
        <w:shd w:val="clear" w:color="auto" w:fill="FFFFFF"/>
        <w:spacing w:line="240" w:lineRule="auto"/>
        <w:rPr>
          <w:rFonts w:cs="Times New Roman"/>
          <w:color w:val="000000" w:themeColor="text1"/>
          <w:szCs w:val="24"/>
        </w:rPr>
      </w:pPr>
      <w:r w:rsidRPr="000750F8">
        <w:rPr>
          <w:rFonts w:cs="Times New Roman"/>
          <w:color w:val="000000" w:themeColor="text1"/>
          <w:szCs w:val="24"/>
        </w:rPr>
        <w:t>Tax compliance is a fundamental expectation for taxpayers worldwide, as legal provisions mandate adherence to established tax laws (Liu &amp; Lee, 2019). Non-compliance can take various forms, including deliberate confusion of tax authorities, whereas compliance ensures easy identification of individuals and firms. Different enforcement actions are applied depending on the nature of non-compliance. Technological advancements have significantly influenced tax compliance by streamlining processes and improving efficiency while also impacting the workforce (Liu &amp; Lee, 2019). Rental tax, being self-assessed, depends on the willingness of taxpayers to declare their income accurately and meet their tax obligations (Awa &amp; Ikpor, 2015). Proper income declarations by property owners lead to higher tax remittances.</w:t>
      </w:r>
    </w:p>
    <w:p w14:paraId="2380F6D4" w14:textId="77777777" w:rsidR="000750F8" w:rsidRPr="000750F8" w:rsidRDefault="000750F8" w:rsidP="000750F8">
      <w:pPr>
        <w:shd w:val="clear" w:color="auto" w:fill="FFFFFF"/>
        <w:spacing w:line="240" w:lineRule="auto"/>
        <w:rPr>
          <w:rFonts w:cs="Times New Roman"/>
          <w:color w:val="000000" w:themeColor="text1"/>
          <w:szCs w:val="24"/>
        </w:rPr>
      </w:pPr>
      <w:r w:rsidRPr="000750F8">
        <w:rPr>
          <w:rFonts w:cs="Times New Roman"/>
          <w:color w:val="000000" w:themeColor="text1"/>
          <w:szCs w:val="24"/>
        </w:rPr>
        <w:t>In Singapore, rental income from residential properties is combined with other income sources and taxed accordingly. The government imposes property taxes on all fixed assets annually, with taxation beginning on the first day of the New Year (Karim, 2010). The tax is applied to various properties, including HDB apartments, homes, offices, factories, stores, and land. The tax rates vary based on property classification. Owner-occupied residential properties are taxed at rates between 0% and 16%, while non-owner-occupied residential properties have rates ranging from 10% to 20% (OECD, 2015). Properties not used for residential purposes attract a tax rate of 10%. These tax regulations ensure that property owners contribute to national revenue based on the value and use of their properties.</w:t>
      </w:r>
    </w:p>
    <w:p w14:paraId="37F003AA" w14:textId="03E2E2D4" w:rsidR="000750F8" w:rsidRPr="000750F8" w:rsidRDefault="000750F8" w:rsidP="000750F8">
      <w:pPr>
        <w:shd w:val="clear" w:color="auto" w:fill="FFFFFF"/>
        <w:spacing w:line="240" w:lineRule="auto"/>
        <w:rPr>
          <w:rFonts w:cs="Times New Roman"/>
          <w:color w:val="000000" w:themeColor="text1"/>
          <w:szCs w:val="24"/>
        </w:rPr>
      </w:pPr>
      <w:r w:rsidRPr="000750F8">
        <w:rPr>
          <w:rFonts w:cs="Times New Roman"/>
          <w:color w:val="000000" w:themeColor="text1"/>
          <w:szCs w:val="24"/>
        </w:rPr>
        <w:t xml:space="preserve">In Malaysia, the Inland Revenue Board (IRB) oversees tax-related matters. Like other countries, Malaysia faces revenue losses due to violations of residential earning tax regulations and tax evasion (Hassan et al., 2016). Approximately 30% of taxpayers fail to file their annual tax declarations with the IRB (IRB, 2020). Factors contributing to low compliance include high tax rates, limited tax knowledge, broad tax applications, and complex tax statutes. Ghani, </w:t>
      </w:r>
      <w:r w:rsidR="001163C7">
        <w:rPr>
          <w:rFonts w:cs="Times New Roman"/>
          <w:color w:val="000000" w:themeColor="text1"/>
          <w:szCs w:val="24"/>
        </w:rPr>
        <w:t>et al</w:t>
      </w:r>
      <w:r w:rsidRPr="000750F8">
        <w:rPr>
          <w:rFonts w:cs="Times New Roman"/>
          <w:color w:val="000000" w:themeColor="text1"/>
          <w:szCs w:val="24"/>
        </w:rPr>
        <w:t xml:space="preserve"> (2020) identified key determinants of tax compliance in Malaysia, including the likelihood of audits, penalties, financial difficulties, and tax-related awareness. These factors influence taxpayer behavior and highlight the challenges in achieving higher compliance levels.</w:t>
      </w:r>
    </w:p>
    <w:p w14:paraId="02D1C3D8" w14:textId="77777777" w:rsidR="000750F8" w:rsidRPr="000750F8" w:rsidRDefault="000750F8" w:rsidP="000750F8">
      <w:pPr>
        <w:shd w:val="clear" w:color="auto" w:fill="FFFFFF"/>
        <w:spacing w:line="240" w:lineRule="auto"/>
        <w:rPr>
          <w:rFonts w:cs="Times New Roman"/>
          <w:color w:val="000000" w:themeColor="text1"/>
          <w:szCs w:val="24"/>
        </w:rPr>
      </w:pPr>
      <w:r w:rsidRPr="000750F8">
        <w:rPr>
          <w:rFonts w:cs="Times New Roman"/>
          <w:color w:val="000000" w:themeColor="text1"/>
          <w:szCs w:val="24"/>
        </w:rPr>
        <w:t>In Bangladesh, the National Board of Revenue (NBR) introduced major reforms to enhance tax compliance. These reforms included improving the handling of tax returns and integrating taxation records (Ahmed, 2020). Additionally, the NBR developed a comprehensive Taxpayer Identification Number (TIN) database to analyze taxpayer activities effectively. Measures such as return unification, transaction management, and taxpayer enrollment improved data management and system efficiency (Ibrahim et al., 2017). Public awareness campaigns were also conducted to educate taxpayers and promote voluntary compliance. These initiatives significantly strengthened Bangladesh’s tax administration and enhanced tax collection efficiency.</w:t>
      </w:r>
    </w:p>
    <w:p w14:paraId="3C889489" w14:textId="50FFD5C3" w:rsidR="000750F8" w:rsidRPr="000750F8" w:rsidRDefault="000750F8" w:rsidP="000750F8">
      <w:pPr>
        <w:shd w:val="clear" w:color="auto" w:fill="FFFFFF"/>
        <w:spacing w:line="240" w:lineRule="auto"/>
        <w:rPr>
          <w:rFonts w:cs="Times New Roman"/>
          <w:color w:val="000000" w:themeColor="text1"/>
          <w:szCs w:val="24"/>
        </w:rPr>
      </w:pPr>
      <w:r w:rsidRPr="000750F8">
        <w:rPr>
          <w:rFonts w:cs="Times New Roman"/>
          <w:color w:val="000000" w:themeColor="text1"/>
          <w:szCs w:val="24"/>
        </w:rPr>
        <w:t xml:space="preserve">Despite tax reforms, Nigeria continues to struggle with low tax compliance levels (Felix &amp; Rufus, 2021). Etim, </w:t>
      </w:r>
      <w:r w:rsidR="001163C7">
        <w:rPr>
          <w:rFonts w:cs="Times New Roman"/>
          <w:color w:val="000000" w:themeColor="text1"/>
          <w:szCs w:val="24"/>
        </w:rPr>
        <w:t>et al</w:t>
      </w:r>
      <w:r w:rsidRPr="000750F8">
        <w:rPr>
          <w:rFonts w:cs="Times New Roman"/>
          <w:color w:val="000000" w:themeColor="text1"/>
          <w:szCs w:val="24"/>
        </w:rPr>
        <w:t xml:space="preserve"> (2020) observed that deterrent tax measures have had minimal impact on encouraging tax payment. Instead, strategies such as voluntary compliance promotion and increasing taxpayer morale have been suggested as more effective approaches. Obara and Nangih (2017) highlighted issues contributing to tax evasion in Nigeria, including inefficiencies in the tax system, a low percentage of compliant individuals and companies, and the absence of a well-structured tax framework. Agbetunde, </w:t>
      </w:r>
      <w:r w:rsidR="001163C7">
        <w:rPr>
          <w:rFonts w:cs="Times New Roman"/>
          <w:color w:val="000000" w:themeColor="text1"/>
          <w:szCs w:val="24"/>
        </w:rPr>
        <w:t>et al</w:t>
      </w:r>
      <w:r w:rsidRPr="000750F8">
        <w:rPr>
          <w:rFonts w:cs="Times New Roman"/>
          <w:color w:val="000000" w:themeColor="text1"/>
          <w:szCs w:val="24"/>
        </w:rPr>
        <w:t xml:space="preserve"> (2020) emphasized the correlation between taxpayer morale and the level of tax adherence, stressing the importance of public trust in taxation systems.</w:t>
      </w:r>
    </w:p>
    <w:p w14:paraId="338F3ED2" w14:textId="60F295E5" w:rsidR="000750F8" w:rsidRPr="000750F8" w:rsidRDefault="000750F8" w:rsidP="000750F8">
      <w:pPr>
        <w:shd w:val="clear" w:color="auto" w:fill="FFFFFF"/>
        <w:spacing w:line="240" w:lineRule="auto"/>
        <w:rPr>
          <w:rFonts w:cs="Times New Roman"/>
          <w:color w:val="000000" w:themeColor="text1"/>
          <w:szCs w:val="24"/>
        </w:rPr>
      </w:pPr>
      <w:r w:rsidRPr="000750F8">
        <w:rPr>
          <w:rFonts w:cs="Times New Roman"/>
          <w:color w:val="000000" w:themeColor="text1"/>
          <w:szCs w:val="24"/>
        </w:rPr>
        <w:t xml:space="preserve">In South Africa, the South African Revenue Service (SARS) has taken significant steps to improve tax compliance, particularly in rural areas. Mobile tax units provide immediate tax information and assistance, enhancing accessibility for rural taxpayers. Ali, </w:t>
      </w:r>
      <w:r w:rsidR="001163C7">
        <w:rPr>
          <w:rFonts w:cs="Times New Roman"/>
          <w:color w:val="000000" w:themeColor="text1"/>
          <w:szCs w:val="24"/>
        </w:rPr>
        <w:t>et al</w:t>
      </w:r>
      <w:r w:rsidRPr="000750F8">
        <w:rPr>
          <w:rFonts w:cs="Times New Roman"/>
          <w:color w:val="000000" w:themeColor="text1"/>
          <w:szCs w:val="24"/>
        </w:rPr>
        <w:t xml:space="preserve"> (2013) argued that greater public tax knowledge fosters higher compliance rates. SARS has become a key institution for taxpayer education, supported by extensive public relations campaigns (Schoeman, </w:t>
      </w:r>
      <w:r w:rsidR="001163C7">
        <w:rPr>
          <w:rFonts w:cs="Times New Roman"/>
          <w:color w:val="000000" w:themeColor="text1"/>
          <w:szCs w:val="24"/>
        </w:rPr>
        <w:t>et al</w:t>
      </w:r>
      <w:r w:rsidRPr="000750F8">
        <w:rPr>
          <w:rFonts w:cs="Times New Roman"/>
          <w:color w:val="000000" w:themeColor="text1"/>
          <w:szCs w:val="24"/>
        </w:rPr>
        <w:t xml:space="preserve">, 2022). The agency’s focus on outreach, education, service, and enforcement has contributed to </w:t>
      </w:r>
      <w:r w:rsidRPr="000750F8">
        <w:rPr>
          <w:rFonts w:cs="Times New Roman"/>
          <w:color w:val="000000" w:themeColor="text1"/>
          <w:szCs w:val="24"/>
        </w:rPr>
        <w:lastRenderedPageBreak/>
        <w:t>increased tax compliance and revenue collection (Smulders et al., 2017). Furthermore, South Africa has led in implementing online tax services, making tax compliance more convenient and efficient.</w:t>
      </w:r>
    </w:p>
    <w:p w14:paraId="0825CEBF" w14:textId="77777777" w:rsidR="000750F8" w:rsidRPr="000750F8" w:rsidRDefault="000750F8" w:rsidP="000750F8">
      <w:pPr>
        <w:shd w:val="clear" w:color="auto" w:fill="FFFFFF"/>
        <w:spacing w:line="240" w:lineRule="auto"/>
        <w:rPr>
          <w:rFonts w:cs="Times New Roman"/>
          <w:color w:val="000000" w:themeColor="text1"/>
          <w:szCs w:val="24"/>
        </w:rPr>
      </w:pPr>
      <w:r w:rsidRPr="000750F8">
        <w:rPr>
          <w:rFonts w:cs="Times New Roman"/>
          <w:color w:val="000000" w:themeColor="text1"/>
          <w:szCs w:val="24"/>
        </w:rPr>
        <w:t>In Kenya, rental property taxation is governed by Section 6A of the Finance Act of 2015. The law stipulates that rental income within the range of Kshs 144,000 to Kshs 10,000,000 per year is subject to a 10% tax rate. For rental incomes exceeding Kshs 10 million annually, a 30% tax rate applies. The Finance Act of 2022 revised these thresholds, increasing the maximum taxable income to Kshs 15 million and the lower limit to Kshs 288,000. Subsequently, the Finance Act of 2023 reduced the rental income tax rate from 10% to 7.5%, effective January 1, 2024. Taxpayers must use the iTax system for monthly tax filings, with payments due on the 20th of the month following rent receipt. Additionally, the VAT Act (No. 35 of 2013) mandates that commercial property rentals are subject to taxation.</w:t>
      </w:r>
    </w:p>
    <w:p w14:paraId="0C9AD30C" w14:textId="4DC1F07E" w:rsidR="00FD4A02" w:rsidRDefault="000750F8" w:rsidP="000750F8">
      <w:pPr>
        <w:shd w:val="clear" w:color="auto" w:fill="FFFFFF"/>
        <w:spacing w:line="240" w:lineRule="auto"/>
        <w:rPr>
          <w:rFonts w:cs="Times New Roman"/>
          <w:color w:val="000000" w:themeColor="text1"/>
          <w:szCs w:val="24"/>
        </w:rPr>
      </w:pPr>
      <w:r w:rsidRPr="000750F8">
        <w:rPr>
          <w:rFonts w:cs="Times New Roman"/>
          <w:color w:val="000000" w:themeColor="text1"/>
          <w:szCs w:val="24"/>
        </w:rPr>
        <w:t>Despite these regulations, Kenya faces persistent rental income tax non-compliance. Many property owners evade taxes by underreporting rental income, filing late returns, submitting falsified income statements, or inflating expense claims (Sani &amp; Gbadegesin, 2015; Njiru, 2020). Tax evasion remains widespread in various industries, particularly in real estate and housing development. The government continues to face challenges in enforcing tax compliance, necessitating stricter regulatory measures and enhanced taxpayer education.</w:t>
      </w:r>
      <w:r w:rsidR="00505972">
        <w:rPr>
          <w:rFonts w:cs="Times New Roman"/>
          <w:color w:val="000000" w:themeColor="text1"/>
          <w:szCs w:val="24"/>
        </w:rPr>
        <w:t xml:space="preserve"> </w:t>
      </w:r>
      <w:r w:rsidRPr="000750F8">
        <w:rPr>
          <w:rFonts w:cs="Times New Roman"/>
          <w:color w:val="000000" w:themeColor="text1"/>
          <w:szCs w:val="24"/>
        </w:rPr>
        <w:t>In summary, tax compliance remains a global challenge despite various enforcement measures and technological advancements. Different countries employ unique strategies to improve tax collection, ranging from public awareness campaigns to digital tax systems. While some nations, such as Singapore and South Africa, have made significant progress in compliance rates, others, including Nigeria and Kenya, continue to struggle with tax evasion and enforcement issues. Addressing these challenges requires simplifying tax regulations, enhancing taxpayer education, and leveraging technology to streamline tax administration. Strengthening tax systems and promoting voluntary compliance are essential for governments to maximize revenue collection and support economic development</w:t>
      </w:r>
      <w:r w:rsidR="00FD4A02" w:rsidRPr="0092006B">
        <w:rPr>
          <w:rFonts w:cs="Times New Roman"/>
          <w:color w:val="000000" w:themeColor="text1"/>
          <w:szCs w:val="24"/>
        </w:rPr>
        <w:t>.</w:t>
      </w:r>
    </w:p>
    <w:p w14:paraId="716C939D" w14:textId="77777777" w:rsidR="0054398C" w:rsidRPr="0054398C" w:rsidRDefault="0054398C" w:rsidP="0054398C">
      <w:pPr>
        <w:shd w:val="clear" w:color="auto" w:fill="FFFFFF"/>
        <w:spacing w:line="240" w:lineRule="auto"/>
        <w:rPr>
          <w:rFonts w:cs="Times New Roman"/>
          <w:color w:val="000000" w:themeColor="text1"/>
          <w:szCs w:val="24"/>
        </w:rPr>
      </w:pPr>
      <w:r w:rsidRPr="0054398C">
        <w:rPr>
          <w:rFonts w:cs="Times New Roman"/>
          <w:color w:val="000000" w:themeColor="text1"/>
          <w:szCs w:val="24"/>
        </w:rPr>
        <w:t xml:space="preserve">Residential rental income tax in Kenya applies to property owners earning between Kshs. 288,000 and Kshs. 15 million annually. Initially, landlords had to file annual returns, but the 2015 Finance Act introduced the Monthly Rental Income (MRI) tax, effective January 2016, to improve compliance and revenue collection. Under this regime, landlords were required to remit 10% of their gross rent to the Kenya Revenue Authority (KRA). However, the Finance Act of 2023 reduced the rate to 7.5%, effective January 2024. Taxpayers must file monthly returns via the i-Tax system and pay by the 20th of the following month. To enhance compliance, KRA has adopted a block management system utilizing GIS technology to identify non-compliant landlords.  </w:t>
      </w:r>
    </w:p>
    <w:p w14:paraId="4319F709" w14:textId="439F14C6" w:rsidR="000750F8" w:rsidRDefault="0054398C" w:rsidP="0054398C">
      <w:pPr>
        <w:shd w:val="clear" w:color="auto" w:fill="FFFFFF"/>
        <w:spacing w:line="240" w:lineRule="auto"/>
        <w:rPr>
          <w:rFonts w:cs="Times New Roman"/>
          <w:color w:val="000000" w:themeColor="text1"/>
          <w:szCs w:val="24"/>
        </w:rPr>
      </w:pPr>
      <w:r w:rsidRPr="0054398C">
        <w:rPr>
          <w:rFonts w:cs="Times New Roman"/>
          <w:color w:val="000000" w:themeColor="text1"/>
          <w:szCs w:val="24"/>
        </w:rPr>
        <w:t>Despite the simplified tax system, noncompliance remains a challenge. Various methods assess tax compliance, including measuring income tax revenue against liabilities and analyzing economic and regulatory factors. Researchers have evaluated compliance through tax collection accuracy, revenue growth, landlord enrollments, and consistent return submissions. In Kiambu Town, rental income tax compliance has been persistently low. In 2017, compliance was 60%, with only Kshs. 27.9 million collected out of a targeted Kshs. 47 million. This downward trend continued, with compliance rates falling to 57.1% in 2019, 52.5% in 2020, 55.23% in 2021, 57.7% in 2022, and 55.6% in 2023. Each year, revenue collection has consistently fallen short of targets, with Kshs. 40.5 million collected in 2023 against a projection of Kshs. 72.8 million. These figures highlight the ongoing challenge of rental income tax noncompliance and the need for more effective enforcement strategies to close the revenue gap.</w:t>
      </w:r>
    </w:p>
    <w:p w14:paraId="2F91EDF2" w14:textId="7E2978DE" w:rsidR="000750F8" w:rsidRDefault="0054398C" w:rsidP="000750F8">
      <w:pPr>
        <w:shd w:val="clear" w:color="auto" w:fill="FFFFFF"/>
        <w:spacing w:line="240" w:lineRule="auto"/>
        <w:rPr>
          <w:rFonts w:cs="Times New Roman"/>
          <w:color w:val="000000" w:themeColor="text1"/>
          <w:szCs w:val="24"/>
        </w:rPr>
      </w:pPr>
      <w:r w:rsidRPr="0054398C">
        <w:rPr>
          <w:rFonts w:cs="Times New Roman"/>
          <w:color w:val="000000" w:themeColor="text1"/>
          <w:szCs w:val="24"/>
        </w:rPr>
        <w:t xml:space="preserve">The iTax system was introduced in Kenya in 2011 as a replacement for the ineffective ITMS system previously implemented by the Kenya Revenue Authority (KRA). The iTax platform provides several domestic tax services, including real-time fund monitoring, PIN registration, tax return submission, tax claim management, reimbursement processing, and status inquiries. It enables taxpayers to conveniently file and pay taxes, access their tax records, and monitor payments from their homes or workplaces. Through iTax, taxpayers can verify whether their remittances have been processed and whether employers have submitted PAYE tax contributions to KRA. Despite its benefits, iTax has posed challenges for residential landlords, particularly those managing small-scale rental businesses. Many </w:t>
      </w:r>
      <w:r w:rsidRPr="0054398C">
        <w:rPr>
          <w:rFonts w:cs="Times New Roman"/>
          <w:color w:val="000000" w:themeColor="text1"/>
          <w:szCs w:val="24"/>
        </w:rPr>
        <w:lastRenderedPageBreak/>
        <w:t>landlords struggle with tax literacy, leading to difficulties in navigating the system and accurately declaring rental income. Additionally, the full compliance requirement of iTax results in higher tax rates for landlords once registered on the platform. The cost of hiring tax experts to assist with filing returns further burdens landlords, especially those operating on slim profit margins. This has led to widespread opposition to iTax among residential landlords. In Kiambu County, numerous rental properties generate taxable income for KRA and the county government. However, many landlords in Kiambu Town have failed to comply with the Finance Act’s provisions on rental income tax. This study aims to examine the factors influencing landlords' tax adherence in Kiambu Town, ensuring that the sample selected represents the broader population. Identifying these factors is essential to improving compliance and addressing the challenges landlords face in fulfilling their tax obligations.</w:t>
      </w:r>
    </w:p>
    <w:p w14:paraId="48C38FDC" w14:textId="138F3867" w:rsidR="00055D83" w:rsidRPr="0092006B" w:rsidRDefault="00055D83" w:rsidP="00111B62">
      <w:pPr>
        <w:shd w:val="clear" w:color="auto" w:fill="FFFFFF"/>
        <w:spacing w:line="240" w:lineRule="auto"/>
        <w:rPr>
          <w:rFonts w:eastAsia="Times New Roman" w:cs="Times New Roman"/>
          <w:b/>
          <w:bCs/>
          <w:color w:val="000000" w:themeColor="text1"/>
          <w:sz w:val="28"/>
          <w:szCs w:val="28"/>
        </w:rPr>
      </w:pPr>
      <w:r w:rsidRPr="0092006B">
        <w:rPr>
          <w:rFonts w:eastAsia="Times New Roman" w:cs="Times New Roman"/>
          <w:b/>
          <w:bCs/>
          <w:color w:val="000000" w:themeColor="text1"/>
          <w:sz w:val="28"/>
          <w:szCs w:val="28"/>
        </w:rPr>
        <w:t>1.1 Research Problem</w:t>
      </w:r>
    </w:p>
    <w:p w14:paraId="67E3439A" w14:textId="77777777" w:rsidR="0054398C" w:rsidRPr="0054398C" w:rsidRDefault="0054398C" w:rsidP="0054398C">
      <w:pPr>
        <w:spacing w:line="240" w:lineRule="auto"/>
        <w:rPr>
          <w:rFonts w:cs="Times New Roman"/>
          <w:color w:val="000000" w:themeColor="text1"/>
          <w:szCs w:val="24"/>
        </w:rPr>
      </w:pPr>
      <w:r w:rsidRPr="0054398C">
        <w:rPr>
          <w:rFonts w:cs="Times New Roman"/>
          <w:color w:val="000000" w:themeColor="text1"/>
          <w:szCs w:val="24"/>
        </w:rPr>
        <w:t xml:space="preserve">Tax evasion remains a widespread issue across various sectors, including housing and real estate, where taxpayers either fail to settle their taxes on time, underreport their tax obligations, or provide false information regarding tax expenditures. Rental income tax serves as a significant revenue stream for local governments, yet compliance levels have remained low, hampering revenue collection efforts. The efficiency of tax collection is largely determined by the level of adherence among taxpayers, as non-compliance weakens government and local authority functions, affecting essential services such as social, administrative, and political programs funded by tax revenue. </w:t>
      </w:r>
    </w:p>
    <w:p w14:paraId="28B3467D" w14:textId="77777777" w:rsidR="0054398C" w:rsidRPr="0054398C" w:rsidRDefault="0054398C" w:rsidP="0054398C">
      <w:pPr>
        <w:spacing w:line="240" w:lineRule="auto"/>
        <w:rPr>
          <w:rFonts w:cs="Times New Roman"/>
          <w:color w:val="000000" w:themeColor="text1"/>
          <w:szCs w:val="24"/>
        </w:rPr>
      </w:pPr>
      <w:r w:rsidRPr="0054398C">
        <w:rPr>
          <w:rFonts w:cs="Times New Roman"/>
          <w:color w:val="000000" w:themeColor="text1"/>
          <w:szCs w:val="24"/>
        </w:rPr>
        <w:t xml:space="preserve">Despite the remarkable growth of Kenya’s real estate sector, tax revenue from the industry has not increased proportionally, particularly in Kiambu town. In 2017, the tax compliance rate stood at 60%, leading to a revenue shortfall of Kshs. 19 million, with the Kenya Revenue Authority (KRA) collecting only Kshs. 27.9 million against a target of Kshs. 47 million. Subsequent years demonstrated further declines in compliance rates: 57.1% in 2019 (Kshs. 30.3 million collected against Kshs. 53.1 million target), 52.5% in 2020 (Kshs. 29.34 million out of Kshs. 55.9 million projected), 55.23% in 2021 (Kshs. 34.3 million against Kshs. 62.1 million target), 57.7% in 2022 (Kshs. 37.1 million collected from a Kshs. 64.2 million target), and 55.6% in 2023 (Kshs. 40.5 million out of a projected Kshs. 72.8 million). These persistent revenue deficits highlight the urgent need for improved compliance measures to bridge the gap between expected and actual tax revenue collection. </w:t>
      </w:r>
    </w:p>
    <w:p w14:paraId="2B324D0F" w14:textId="57239854" w:rsidR="0054398C" w:rsidRPr="0054398C" w:rsidRDefault="0054398C" w:rsidP="0054398C">
      <w:pPr>
        <w:spacing w:line="240" w:lineRule="auto"/>
        <w:rPr>
          <w:rFonts w:cs="Times New Roman"/>
          <w:color w:val="000000" w:themeColor="text1"/>
          <w:szCs w:val="24"/>
        </w:rPr>
      </w:pPr>
      <w:r w:rsidRPr="0054398C">
        <w:rPr>
          <w:rFonts w:cs="Times New Roman"/>
          <w:color w:val="000000" w:themeColor="text1"/>
          <w:szCs w:val="24"/>
        </w:rPr>
        <w:t xml:space="preserve">This study examines the role of the iTax system in enhancing rental income tax compliance among landlords in Kiambu town, Kenya. While global research on rental tax adherence is available, existing studies often fail to address compliance costs or contextual factors unique to Kenya. For example, Geremew (2017) analyzed tax compliance factors in Ethiopia but did not explore the impact of compliance costs. Similarly, Fauziati, </w:t>
      </w:r>
      <w:r w:rsidR="002C72A3">
        <w:rPr>
          <w:rFonts w:cs="Times New Roman"/>
          <w:color w:val="000000" w:themeColor="text1"/>
          <w:szCs w:val="24"/>
        </w:rPr>
        <w:t>et al</w:t>
      </w:r>
      <w:r w:rsidRPr="0054398C">
        <w:rPr>
          <w:rFonts w:cs="Times New Roman"/>
          <w:color w:val="000000" w:themeColor="text1"/>
          <w:szCs w:val="24"/>
        </w:rPr>
        <w:t xml:space="preserve"> (2020) examined tax knowledge and adherence in Indonesia, concluding that tax understanding had little influence on compliance. However, their research focused on general tax obligations rather than rental income tax. Additionally, Vlachos, </w:t>
      </w:r>
      <w:r w:rsidR="002C72A3">
        <w:rPr>
          <w:rFonts w:cs="Times New Roman"/>
          <w:color w:val="000000" w:themeColor="text1"/>
          <w:szCs w:val="24"/>
        </w:rPr>
        <w:t>et al</w:t>
      </w:r>
      <w:r w:rsidRPr="0054398C">
        <w:rPr>
          <w:rFonts w:cs="Times New Roman"/>
          <w:color w:val="000000" w:themeColor="text1"/>
          <w:szCs w:val="24"/>
        </w:rPr>
        <w:t xml:space="preserve"> (2015) investigated tax motivation and compliance in France, Germany, and Austria, but these developed economies possess advanced tax collection systems that differ significantly from Kenya’s tax environment, creating a geographical and contextual research gap. </w:t>
      </w:r>
    </w:p>
    <w:p w14:paraId="15F1A3F9" w14:textId="16694114" w:rsidR="00E5141C" w:rsidRPr="0092006B" w:rsidRDefault="0054398C" w:rsidP="0054398C">
      <w:pPr>
        <w:spacing w:line="240" w:lineRule="auto"/>
        <w:rPr>
          <w:rFonts w:cs="Times New Roman"/>
          <w:color w:val="000000" w:themeColor="text1"/>
          <w:szCs w:val="24"/>
        </w:rPr>
      </w:pPr>
      <w:r w:rsidRPr="0054398C">
        <w:rPr>
          <w:rFonts w:cs="Times New Roman"/>
          <w:color w:val="000000" w:themeColor="text1"/>
          <w:szCs w:val="24"/>
        </w:rPr>
        <w:t xml:space="preserve">Several local studies have also explored rental tax compliance but with notable limitations. Osebe (2013) examined tax fulfillment factors among Kenyan real estate firms, emphasizing the role of tax education, penalties, and taxpayer attitudes. However, compliance costs were not considered, leaving a conceptual gap. Thananga, </w:t>
      </w:r>
      <w:r w:rsidR="004C41F7">
        <w:rPr>
          <w:rFonts w:cs="Times New Roman"/>
          <w:color w:val="000000" w:themeColor="text1"/>
          <w:szCs w:val="24"/>
        </w:rPr>
        <w:t>et al</w:t>
      </w:r>
      <w:r w:rsidRPr="0054398C">
        <w:rPr>
          <w:rFonts w:cs="Times New Roman"/>
          <w:color w:val="000000" w:themeColor="text1"/>
          <w:szCs w:val="24"/>
        </w:rPr>
        <w:t xml:space="preserve"> (2013) investigated tax adherence in Nakuru but did not pinpoint specific determinants of non-compliance. Similarly, Jemaiyo and Mutai (2016) assessed real estate tax compliance in Eldoret but did not establish a direct correlation between rental income tax and overall compliance. These studies highlight significant conceptual, contextual, and methodological gaps in existing literature. Given these research gaps, this study seeks to evaluate the effectiveness of the iTax system in improving rental income tax compliance in Kiambu town. By focusing on the role of digital tax platforms in enhancing tax collection efficiency, this research aims to provide insights into how technology can bridge compliance gaps and strengthen revenue generation for local governments.</w:t>
      </w:r>
    </w:p>
    <w:p w14:paraId="7860FC20" w14:textId="564AFDA6" w:rsidR="00055D83" w:rsidRPr="0092006B" w:rsidRDefault="00055D83" w:rsidP="00E5141C">
      <w:pPr>
        <w:spacing w:line="240" w:lineRule="auto"/>
        <w:rPr>
          <w:rFonts w:cs="Times New Roman"/>
          <w:b/>
          <w:bCs/>
          <w:color w:val="000000" w:themeColor="text1"/>
          <w:sz w:val="28"/>
          <w:szCs w:val="28"/>
        </w:rPr>
      </w:pPr>
      <w:r w:rsidRPr="0092006B">
        <w:rPr>
          <w:rFonts w:cs="Times New Roman"/>
          <w:b/>
          <w:bCs/>
          <w:color w:val="000000" w:themeColor="text1"/>
          <w:sz w:val="28"/>
          <w:szCs w:val="28"/>
        </w:rPr>
        <w:lastRenderedPageBreak/>
        <w:t>1.2 Research Objective</w:t>
      </w:r>
    </w:p>
    <w:p w14:paraId="3A006523" w14:textId="76136D4C" w:rsidR="0054398C" w:rsidRPr="0054398C" w:rsidRDefault="00055D83" w:rsidP="0054398C">
      <w:pPr>
        <w:spacing w:line="240" w:lineRule="auto"/>
        <w:rPr>
          <w:rFonts w:cs="Times New Roman"/>
          <w:color w:val="000000" w:themeColor="text1"/>
          <w:szCs w:val="24"/>
        </w:rPr>
      </w:pPr>
      <w:r w:rsidRPr="0092006B">
        <w:rPr>
          <w:rFonts w:cs="Times New Roman"/>
          <w:color w:val="000000" w:themeColor="text1"/>
          <w:szCs w:val="24"/>
        </w:rPr>
        <w:t>This study was guided by the following general objective to:</w:t>
      </w:r>
      <w:r w:rsidR="00D656A4" w:rsidRPr="0092006B">
        <w:rPr>
          <w:rFonts w:cs="Times New Roman"/>
          <w:color w:val="000000" w:themeColor="text1"/>
          <w:szCs w:val="24"/>
        </w:rPr>
        <w:t xml:space="preserve"> </w:t>
      </w:r>
      <w:r w:rsidR="0054398C" w:rsidRPr="0054398C">
        <w:rPr>
          <w:rFonts w:cs="Times New Roman"/>
          <w:color w:val="000000" w:themeColor="text1"/>
          <w:szCs w:val="24"/>
        </w:rPr>
        <w:t>determine the iTax system's role in tax compliance for residential landlords in Kiambu.</w:t>
      </w:r>
    </w:p>
    <w:p w14:paraId="3CEA4A91" w14:textId="63315A07" w:rsidR="006C41A9" w:rsidRPr="0092006B" w:rsidRDefault="0054398C" w:rsidP="0054398C">
      <w:pPr>
        <w:spacing w:line="240" w:lineRule="auto"/>
        <w:rPr>
          <w:rFonts w:cs="Times New Roman"/>
          <w:color w:val="000000" w:themeColor="text1"/>
          <w:szCs w:val="24"/>
        </w:rPr>
      </w:pPr>
      <w:r w:rsidRPr="0054398C">
        <w:rPr>
          <w:rFonts w:cs="Times New Roman"/>
          <w:color w:val="000000" w:themeColor="text1"/>
          <w:szCs w:val="24"/>
        </w:rPr>
        <w:t>Specific Objectives</w:t>
      </w:r>
      <w:r>
        <w:rPr>
          <w:rFonts w:cs="Times New Roman"/>
          <w:color w:val="000000" w:themeColor="text1"/>
          <w:szCs w:val="24"/>
        </w:rPr>
        <w:t xml:space="preserve"> were to;</w:t>
      </w:r>
      <w:r w:rsidRPr="0054398C">
        <w:rPr>
          <w:rFonts w:cs="Times New Roman"/>
          <w:color w:val="000000" w:themeColor="text1"/>
          <w:szCs w:val="24"/>
        </w:rPr>
        <w:t xml:space="preserve"> Establish the role of tax literacy on tax compliance among residential landlords in Kiambu Town Kiambu County</w:t>
      </w:r>
      <w:r>
        <w:rPr>
          <w:rFonts w:cs="Times New Roman"/>
          <w:color w:val="000000" w:themeColor="text1"/>
          <w:szCs w:val="24"/>
        </w:rPr>
        <w:t>,</w:t>
      </w:r>
      <w:r w:rsidRPr="0054398C">
        <w:rPr>
          <w:rFonts w:cs="Times New Roman"/>
          <w:color w:val="000000" w:themeColor="text1"/>
          <w:szCs w:val="24"/>
        </w:rPr>
        <w:t xml:space="preserve"> Establish the role of tax awareness on tax compliance among residential landlords in Kiambu Town Kiambu County</w:t>
      </w:r>
      <w:r>
        <w:rPr>
          <w:rFonts w:cs="Times New Roman"/>
          <w:color w:val="000000" w:themeColor="text1"/>
          <w:szCs w:val="24"/>
        </w:rPr>
        <w:t xml:space="preserve">, </w:t>
      </w:r>
      <w:r w:rsidRPr="0054398C">
        <w:rPr>
          <w:rFonts w:cs="Times New Roman"/>
          <w:color w:val="000000" w:themeColor="text1"/>
          <w:szCs w:val="24"/>
        </w:rPr>
        <w:t>Determine the role of cost acceptance on tax compliance among residential landlords in Kiambu Town Kiambu County</w:t>
      </w:r>
      <w:r>
        <w:rPr>
          <w:rFonts w:cs="Times New Roman"/>
          <w:color w:val="000000" w:themeColor="text1"/>
          <w:szCs w:val="24"/>
        </w:rPr>
        <w:t xml:space="preserve"> and to </w:t>
      </w:r>
      <w:r w:rsidRPr="0054398C">
        <w:rPr>
          <w:rFonts w:cs="Times New Roman"/>
          <w:color w:val="000000" w:themeColor="text1"/>
          <w:szCs w:val="24"/>
        </w:rPr>
        <w:t>Examine the role of tax rate fees on tax compliance among residential landlords in Kiambu Town Kiambu County</w:t>
      </w:r>
      <w:r w:rsidR="009C11BB" w:rsidRPr="0092006B">
        <w:rPr>
          <w:rFonts w:cs="Times New Roman"/>
          <w:color w:val="000000" w:themeColor="text1"/>
          <w:szCs w:val="24"/>
        </w:rPr>
        <w:t>.</w:t>
      </w:r>
    </w:p>
    <w:p w14:paraId="5005BB36" w14:textId="09AFEB80" w:rsidR="00DE5974" w:rsidRPr="0092006B" w:rsidRDefault="00055D83" w:rsidP="0041566F">
      <w:pPr>
        <w:spacing w:line="240" w:lineRule="auto"/>
        <w:rPr>
          <w:rFonts w:eastAsia="Times New Roman" w:cs="Times New Roman"/>
          <w:b/>
          <w:bCs/>
          <w:color w:val="000000" w:themeColor="text1"/>
          <w:sz w:val="28"/>
          <w:szCs w:val="28"/>
        </w:rPr>
      </w:pPr>
      <w:r w:rsidRPr="007313ED">
        <w:rPr>
          <w:rFonts w:eastAsia="Times New Roman" w:cs="Times New Roman"/>
          <w:b/>
          <w:bCs/>
          <w:color w:val="000000" w:themeColor="text1"/>
          <w:sz w:val="28"/>
          <w:szCs w:val="28"/>
        </w:rPr>
        <w:t xml:space="preserve">1.3 </w:t>
      </w:r>
      <w:r w:rsidR="00DE5974" w:rsidRPr="007313ED">
        <w:rPr>
          <w:rFonts w:eastAsia="Times New Roman" w:cs="Times New Roman"/>
          <w:b/>
          <w:bCs/>
          <w:color w:val="000000" w:themeColor="text1"/>
          <w:sz w:val="28"/>
          <w:szCs w:val="28"/>
        </w:rPr>
        <w:t xml:space="preserve">Research </w:t>
      </w:r>
      <w:r w:rsidR="008C2098" w:rsidRPr="007313ED">
        <w:rPr>
          <w:rFonts w:eastAsia="Times New Roman" w:cs="Times New Roman"/>
          <w:b/>
          <w:bCs/>
          <w:color w:val="000000" w:themeColor="text1"/>
          <w:sz w:val="28"/>
          <w:szCs w:val="28"/>
        </w:rPr>
        <w:t>Hypothesis</w:t>
      </w:r>
      <w:r w:rsidR="00DE5974" w:rsidRPr="0092006B">
        <w:rPr>
          <w:rFonts w:eastAsia="Times New Roman" w:cs="Times New Roman"/>
          <w:b/>
          <w:bCs/>
          <w:color w:val="000000" w:themeColor="text1"/>
          <w:sz w:val="28"/>
          <w:szCs w:val="28"/>
        </w:rPr>
        <w:t xml:space="preserve"> </w:t>
      </w:r>
    </w:p>
    <w:p w14:paraId="492B77F5" w14:textId="7183D806" w:rsidR="00055D83" w:rsidRPr="0092006B" w:rsidRDefault="00055D83" w:rsidP="00DE5974">
      <w:pPr>
        <w:spacing w:line="240" w:lineRule="auto"/>
        <w:rPr>
          <w:rFonts w:cs="Times New Roman"/>
          <w:color w:val="000000" w:themeColor="text1"/>
          <w:szCs w:val="24"/>
        </w:rPr>
      </w:pPr>
      <w:r w:rsidRPr="0092006B">
        <w:rPr>
          <w:rFonts w:cs="Times New Roman"/>
          <w:color w:val="000000" w:themeColor="text1"/>
          <w:szCs w:val="24"/>
        </w:rPr>
        <w:t xml:space="preserve">This study was guided by the following </w:t>
      </w:r>
      <w:r w:rsidR="00DE5974" w:rsidRPr="0092006B">
        <w:rPr>
          <w:rFonts w:cs="Times New Roman"/>
          <w:color w:val="000000" w:themeColor="text1"/>
          <w:szCs w:val="24"/>
        </w:rPr>
        <w:t xml:space="preserve">Research </w:t>
      </w:r>
      <w:r w:rsidR="008C2098" w:rsidRPr="0092006B">
        <w:rPr>
          <w:rFonts w:cs="Times New Roman"/>
          <w:color w:val="000000" w:themeColor="text1"/>
          <w:szCs w:val="24"/>
        </w:rPr>
        <w:t>Hypothesis</w:t>
      </w:r>
      <w:r w:rsidRPr="0092006B">
        <w:rPr>
          <w:rFonts w:cs="Times New Roman"/>
          <w:color w:val="000000" w:themeColor="text1"/>
          <w:szCs w:val="24"/>
        </w:rPr>
        <w:t>.</w:t>
      </w:r>
    </w:p>
    <w:p w14:paraId="23A5CBEB" w14:textId="77777777" w:rsidR="00055D83" w:rsidRPr="0092006B" w:rsidRDefault="00055D83" w:rsidP="00055D83">
      <w:pPr>
        <w:spacing w:before="0" w:line="240" w:lineRule="auto"/>
        <w:rPr>
          <w:rFonts w:cs="Times New Roman"/>
          <w:color w:val="000000" w:themeColor="text1"/>
          <w:szCs w:val="24"/>
        </w:rPr>
      </w:pPr>
    </w:p>
    <w:p w14:paraId="5022BC12" w14:textId="013813D8" w:rsidR="001C0412" w:rsidRPr="001C0412" w:rsidRDefault="001C0412" w:rsidP="001C0412">
      <w:pPr>
        <w:shd w:val="clear" w:color="auto" w:fill="FFFFFF"/>
        <w:spacing w:line="240" w:lineRule="auto"/>
        <w:rPr>
          <w:rFonts w:cs="Times New Roman"/>
          <w:bCs/>
          <w:color w:val="000000" w:themeColor="text1"/>
          <w:szCs w:val="24"/>
        </w:rPr>
      </w:pPr>
      <w:r w:rsidRPr="001C0412">
        <w:rPr>
          <w:rFonts w:cs="Times New Roman"/>
          <w:b/>
          <w:color w:val="000000" w:themeColor="text1"/>
          <w:szCs w:val="24"/>
        </w:rPr>
        <w:t>H</w:t>
      </w:r>
      <w:r w:rsidRPr="001C0412">
        <w:rPr>
          <w:rFonts w:ascii="Cambria Math" w:hAnsi="Cambria Math" w:cs="Cambria Math"/>
          <w:b/>
          <w:color w:val="000000" w:themeColor="text1"/>
          <w:szCs w:val="24"/>
        </w:rPr>
        <w:t>𝑜</w:t>
      </w:r>
      <w:r w:rsidRPr="001C0412">
        <w:rPr>
          <w:rFonts w:cs="Times New Roman"/>
          <w:b/>
          <w:color w:val="000000" w:themeColor="text1"/>
          <w:szCs w:val="24"/>
        </w:rPr>
        <w:t>1</w:t>
      </w:r>
      <w:r w:rsidRPr="001C0412">
        <w:rPr>
          <w:rFonts w:cs="Times New Roman"/>
          <w:bCs/>
          <w:color w:val="000000" w:themeColor="text1"/>
          <w:szCs w:val="24"/>
        </w:rPr>
        <w:t>: Tax literacy does not significantly affect tax compliance among residential landlords in Kiambu Town Kiambu County.</w:t>
      </w:r>
    </w:p>
    <w:p w14:paraId="5F95F168" w14:textId="0291BAFA" w:rsidR="001C0412" w:rsidRPr="001C0412" w:rsidRDefault="001C0412" w:rsidP="001C0412">
      <w:pPr>
        <w:shd w:val="clear" w:color="auto" w:fill="FFFFFF"/>
        <w:spacing w:line="240" w:lineRule="auto"/>
        <w:rPr>
          <w:rFonts w:cs="Times New Roman"/>
          <w:bCs/>
          <w:color w:val="000000" w:themeColor="text1"/>
          <w:szCs w:val="24"/>
        </w:rPr>
      </w:pPr>
      <w:r w:rsidRPr="001C0412">
        <w:rPr>
          <w:rFonts w:cs="Times New Roman"/>
          <w:b/>
          <w:color w:val="000000" w:themeColor="text1"/>
          <w:szCs w:val="24"/>
        </w:rPr>
        <w:t>H</w:t>
      </w:r>
      <w:r w:rsidRPr="001C0412">
        <w:rPr>
          <w:rFonts w:ascii="Cambria Math" w:hAnsi="Cambria Math" w:cs="Cambria Math"/>
          <w:b/>
          <w:color w:val="000000" w:themeColor="text1"/>
          <w:szCs w:val="24"/>
        </w:rPr>
        <w:t>𝑜</w:t>
      </w:r>
      <w:r w:rsidRPr="001C0412">
        <w:rPr>
          <w:rFonts w:cs="Times New Roman"/>
          <w:b/>
          <w:color w:val="000000" w:themeColor="text1"/>
          <w:szCs w:val="24"/>
        </w:rPr>
        <w:t>2</w:t>
      </w:r>
      <w:r w:rsidRPr="001C0412">
        <w:rPr>
          <w:rFonts w:cs="Times New Roman"/>
          <w:bCs/>
          <w:color w:val="000000" w:themeColor="text1"/>
          <w:szCs w:val="24"/>
        </w:rPr>
        <w:t>: Tax awareness does not significantly affect tax compliance among residential landlords in Kiambu Town Kiambu County.</w:t>
      </w:r>
    </w:p>
    <w:p w14:paraId="165AFEB9" w14:textId="57C65421" w:rsidR="001C0412" w:rsidRPr="001C0412" w:rsidRDefault="001C0412" w:rsidP="001C0412">
      <w:pPr>
        <w:shd w:val="clear" w:color="auto" w:fill="FFFFFF"/>
        <w:spacing w:line="240" w:lineRule="auto"/>
        <w:rPr>
          <w:rFonts w:cs="Times New Roman"/>
          <w:bCs/>
          <w:color w:val="000000" w:themeColor="text1"/>
          <w:szCs w:val="24"/>
        </w:rPr>
      </w:pPr>
      <w:r w:rsidRPr="001C0412">
        <w:rPr>
          <w:rFonts w:cs="Times New Roman"/>
          <w:b/>
          <w:color w:val="000000" w:themeColor="text1"/>
          <w:szCs w:val="24"/>
        </w:rPr>
        <w:t>H</w:t>
      </w:r>
      <w:r w:rsidRPr="001C0412">
        <w:rPr>
          <w:rFonts w:ascii="Cambria Math" w:hAnsi="Cambria Math" w:cs="Cambria Math"/>
          <w:b/>
          <w:color w:val="000000" w:themeColor="text1"/>
          <w:szCs w:val="24"/>
        </w:rPr>
        <w:t>𝑜</w:t>
      </w:r>
      <w:r w:rsidRPr="001C0412">
        <w:rPr>
          <w:rFonts w:cs="Times New Roman"/>
          <w:b/>
          <w:color w:val="000000" w:themeColor="text1"/>
          <w:szCs w:val="24"/>
        </w:rPr>
        <w:t>3</w:t>
      </w:r>
      <w:r w:rsidRPr="001C0412">
        <w:rPr>
          <w:rFonts w:cs="Times New Roman"/>
          <w:bCs/>
          <w:color w:val="000000" w:themeColor="text1"/>
          <w:szCs w:val="24"/>
        </w:rPr>
        <w:t>: Cost acceptance does not significantly affect tax compliance among residential landlords in Kiambu Town Kiambu County.</w:t>
      </w:r>
    </w:p>
    <w:p w14:paraId="4730FA50" w14:textId="28FC28FC" w:rsidR="008C2098" w:rsidRPr="001C0412" w:rsidRDefault="001C0412" w:rsidP="001C0412">
      <w:pPr>
        <w:shd w:val="clear" w:color="auto" w:fill="FFFFFF"/>
        <w:spacing w:line="240" w:lineRule="auto"/>
        <w:rPr>
          <w:rFonts w:cs="Times New Roman"/>
          <w:bCs/>
          <w:color w:val="000000" w:themeColor="text1"/>
          <w:szCs w:val="24"/>
        </w:rPr>
      </w:pPr>
      <w:r w:rsidRPr="001C0412">
        <w:rPr>
          <w:rFonts w:cs="Times New Roman"/>
          <w:b/>
          <w:color w:val="000000" w:themeColor="text1"/>
          <w:szCs w:val="24"/>
        </w:rPr>
        <w:t>H</w:t>
      </w:r>
      <w:r w:rsidRPr="001C0412">
        <w:rPr>
          <w:rFonts w:ascii="Cambria Math" w:hAnsi="Cambria Math" w:cs="Cambria Math"/>
          <w:b/>
          <w:color w:val="000000" w:themeColor="text1"/>
          <w:szCs w:val="24"/>
        </w:rPr>
        <w:t>𝑜</w:t>
      </w:r>
      <w:r w:rsidRPr="001C0412">
        <w:rPr>
          <w:rFonts w:cs="Times New Roman"/>
          <w:b/>
          <w:color w:val="000000" w:themeColor="text1"/>
          <w:szCs w:val="24"/>
        </w:rPr>
        <w:t>4</w:t>
      </w:r>
      <w:r w:rsidRPr="001C0412">
        <w:rPr>
          <w:rFonts w:cs="Times New Roman"/>
          <w:bCs/>
          <w:color w:val="000000" w:themeColor="text1"/>
          <w:szCs w:val="24"/>
        </w:rPr>
        <w:t>: Tax Rate fee does not significantly affect tax compliance among residential landlords in Kiambu Town Kiambu County.</w:t>
      </w:r>
    </w:p>
    <w:p w14:paraId="35FF4706" w14:textId="194A01BA" w:rsidR="00055D83" w:rsidRPr="0092006B" w:rsidRDefault="00055D83" w:rsidP="008C2098">
      <w:pPr>
        <w:shd w:val="clear" w:color="auto" w:fill="FFFFFF"/>
        <w:spacing w:line="240" w:lineRule="auto"/>
        <w:rPr>
          <w:rFonts w:eastAsia="Times New Roman" w:cs="Times New Roman"/>
          <w:b/>
          <w:bCs/>
          <w:color w:val="000000" w:themeColor="text1"/>
          <w:sz w:val="28"/>
          <w:szCs w:val="28"/>
        </w:rPr>
      </w:pPr>
      <w:r w:rsidRPr="0092006B">
        <w:rPr>
          <w:rFonts w:eastAsia="Times New Roman" w:cs="Times New Roman"/>
          <w:b/>
          <w:bCs/>
          <w:color w:val="000000" w:themeColor="text1"/>
          <w:sz w:val="28"/>
          <w:szCs w:val="28"/>
        </w:rPr>
        <w:t>1.4 Justification of the Study</w:t>
      </w:r>
    </w:p>
    <w:p w14:paraId="4D369A62" w14:textId="56EF5285" w:rsidR="00055D83" w:rsidRPr="0092006B" w:rsidRDefault="009651D0" w:rsidP="009651D0">
      <w:pPr>
        <w:autoSpaceDE w:val="0"/>
        <w:autoSpaceDN w:val="0"/>
        <w:adjustRightInd w:val="0"/>
        <w:spacing w:before="0" w:after="240" w:line="240" w:lineRule="auto"/>
        <w:rPr>
          <w:color w:val="000000" w:themeColor="text1"/>
          <w:szCs w:val="24"/>
        </w:rPr>
      </w:pPr>
      <w:r w:rsidRPr="009651D0">
        <w:rPr>
          <w:color w:val="000000" w:themeColor="text1"/>
          <w:szCs w:val="24"/>
        </w:rPr>
        <w:t xml:space="preserve">This inquiry is vital for the Kenya Revenue Authority (KRA), academia, and landlords, offering significant insights </w:t>
      </w:r>
      <w:r w:rsidRPr="009651D0">
        <w:rPr>
          <w:color w:val="000000" w:themeColor="text1"/>
          <w:szCs w:val="24"/>
          <w:highlight w:val="green"/>
        </w:rPr>
        <w:t>for policy formulation and future research. The study’s findings will provide a strong foundation for scholarly work while aiding KRA in developing effective tax policies at the highest management levels. It also aims to establish a structured approach to tax reforms. Additionally, the research offers valuable guidance for KRA executives and administrators. Landlords benefited from meaningful discussions with the researcher, gaining a deeper understanding of taxation. These interactions fostered a sense of duty and responsibility, encouraging voluntary tax registration, accurate reporting, and compliance with tax regulations. By engaging stakeholders effectively, the study seeks to enhance tax administration and compliance, ultimately benefiting both the government and property owners. However, this study has certain limitations. First, it is geographically restricted to Kiambu Town, which may limit the generalizability of the findings to other regions with different economic and regulatory environments. Second, the study relies on self-reported data from landlords, which may introduce biases such as underreporting or overestimation of compliance levels. Third, access to comprehensive tax records from KRA was constrained by confidentiality policies, which may have affected the depth of data analysis. Lastly, time and financial constraints limited the scope of stakeholder engagement, possibly leaving out critical perspectives from policymakers or tenants that could have provided additional insights into tax compliance behavior. Despite these limitations, the study provides a valuable foundation for further research on tax compliance among residential landlords in Kenya.</w:t>
      </w:r>
    </w:p>
    <w:p w14:paraId="53C844F8" w14:textId="77777777" w:rsidR="001E5289" w:rsidRPr="0092006B" w:rsidRDefault="001E5289"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01448711" w14:textId="77777777" w:rsidR="001E21F0" w:rsidRPr="0092006B" w:rsidRDefault="001E21F0">
      <w:pPr>
        <w:spacing w:before="0" w:after="160" w:line="259" w:lineRule="auto"/>
        <w:jc w:val="left"/>
        <w:rPr>
          <w:rFonts w:cs="Times New Roman"/>
          <w:b/>
          <w:color w:val="000000" w:themeColor="text1"/>
          <w:kern w:val="2"/>
          <w:sz w:val="28"/>
          <w:szCs w:val="28"/>
          <w:lang w:val="en-GB"/>
        </w:rPr>
      </w:pPr>
      <w:r w:rsidRPr="0092006B">
        <w:rPr>
          <w:b/>
          <w:color w:val="000000" w:themeColor="text1"/>
          <w:sz w:val="28"/>
          <w:szCs w:val="28"/>
          <w:lang w:val="en-GB"/>
        </w:rPr>
        <w:br w:type="page"/>
      </w:r>
    </w:p>
    <w:p w14:paraId="60555E06" w14:textId="2D326474" w:rsidR="00055D83" w:rsidRPr="0092006B" w:rsidRDefault="00055D83"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92006B">
        <w:rPr>
          <w:rFonts w:ascii="Times New Roman" w:hAnsi="Times New Roman"/>
          <w:b/>
          <w:color w:val="000000" w:themeColor="text1"/>
          <w:sz w:val="28"/>
          <w:szCs w:val="28"/>
          <w:lang w:val="en-GB"/>
        </w:rPr>
        <w:lastRenderedPageBreak/>
        <w:t xml:space="preserve">2.0 LITERATURE REVIEW  </w:t>
      </w:r>
    </w:p>
    <w:p w14:paraId="2AF648A2" w14:textId="77777777" w:rsidR="00415ABE" w:rsidRDefault="00415ABE" w:rsidP="00CB6E82">
      <w:pPr>
        <w:spacing w:before="0" w:after="160" w:line="259" w:lineRule="auto"/>
        <w:rPr>
          <w:rFonts w:cs="Times New Roman"/>
          <w:b/>
          <w:bCs/>
          <w:i/>
          <w:iCs/>
          <w:color w:val="000000" w:themeColor="text1"/>
          <w:szCs w:val="24"/>
        </w:rPr>
      </w:pPr>
      <w:r w:rsidRPr="00415ABE">
        <w:rPr>
          <w:rFonts w:cs="Times New Roman"/>
          <w:b/>
          <w:bCs/>
          <w:i/>
          <w:iCs/>
          <w:color w:val="000000" w:themeColor="text1"/>
          <w:szCs w:val="24"/>
        </w:rPr>
        <w:t>Digital Tax Systems and Their Influence on Tax Compliance Among Residential Landlords</w:t>
      </w:r>
    </w:p>
    <w:p w14:paraId="3DAA6181" w14:textId="70BD586D"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Theoretical literature on tax compliance encompasses several key theories, including the Economic Deterrence Theory, Institutional Anomie Theory, Ability to Pay Theory, and Fiscal Exchange Theory. These theories provide insights into tax compliance and the factors contributing to non-compliance.</w:t>
      </w:r>
    </w:p>
    <w:p w14:paraId="4F045617" w14:textId="64AD5692"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 xml:space="preserve">The Economic Deterrence Theory, formulated by Allingham and Sandmo in 1972, is also known as the economics of self-regulation. It posits that tax compliance is influenced by the tax rate, the likelihood of being caught, and the severity of penalties. The theory assumes that taxpayers act rationally, comparing the benefits of tax evasion against the risks of detection and punishment. Saether (2014) emphasizes that low penalties and low probabilities of detection do not necessarily encourage tax evasion, but high penalties and increased chances of being caught deter non-compliance. Compliance features such as tax audits and penalties reinforce the fear of legal consequences, which, in turn, encourages tax adherence (Awa &amp; Ikpor, 2015). Tax authorities can enhance revenue collection by improving audit methods and increasing penalties for tax evasion (Fjeldsted et al., 2012). However, critics argue that the model relies heavily on quantitative techniques, assuming that individuals are fully rational utility maximizers (Batrancea, </w:t>
      </w:r>
      <w:r w:rsidR="007313ED">
        <w:rPr>
          <w:rFonts w:cs="Times New Roman"/>
          <w:color w:val="000000" w:themeColor="text1"/>
          <w:szCs w:val="24"/>
        </w:rPr>
        <w:t>et al</w:t>
      </w:r>
      <w:r w:rsidRPr="00CB6E82">
        <w:rPr>
          <w:rFonts w:cs="Times New Roman"/>
          <w:color w:val="000000" w:themeColor="text1"/>
          <w:szCs w:val="24"/>
        </w:rPr>
        <w:t>, 2012). The theory also assumes a constant audit probability, which may not be realistic (Walsh, 2012). Despite its criticisms, the Allingham-Sandmo model is considered effective in cases where taxpayers perceive a high probability of punishment, such as rental income taxpayers who comply out of fear of penalties.</w:t>
      </w:r>
    </w:p>
    <w:p w14:paraId="430DD342" w14:textId="77777777"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The Institutional Anomie Theory, developed by Messner and Rosenfeld in 1994, examines the link between economic structures and delinquency. Bernburg (2002) suggests that societal norms that emphasize economic success contribute to crime, including tax evasion. The theory argues that crime results from a culture that prioritizes monetary success over ethical considerations (Rosenfeld, 2001). Institutions such as the economy, polity, family, and education influence societal behaviors (Cochran, 2008). Critics, including Messner (1995), argue that the theory lacks clear definitions of key constructs, making empirical testing difficult. Agnew (1997) also highlights inconsistencies in prior studies analyzing the theory. Cochran (2007) contends that concepts like cultural anomie and institutional power imbalances are difficult to operationalize. Despite its limitations, the theory is relevant to tax compliance, as individuals may prioritize financial gain over legal tax obligations. This is particularly evident among real estate investors and landlords, who may underreport rental income to reduce tax liabilities. The theory also suggests that taxpayers with knowledge of tax laws may exploit loopholes to minimize payments while maintaining a semblance of compliance.</w:t>
      </w:r>
    </w:p>
    <w:p w14:paraId="1B1B6C38" w14:textId="77777777"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The Ability to Pay Theory, initially proposed by Adam Smith in 1957 and later supported by Mill, Say, and Jean, asserts that taxation should be based on an individual’s financial capacity. Hyman (2014) describes this as a fiscal policy approach where tax revenue generation and government spending are treated separately. Kennedy (2012) argues that wealthier individuals should contribute more to taxation, while the poor should be exempt. However, defining financial capacity remains a challenge, necessitating further discussion. The theory supports progressive taxation, where higher-income earners pay more taxes based on their earnings (Chigbu et al., 2012). The model has been applied in Kenya and Germany, where taxation is regulated through progressive scales. Hyman (2014) confirms that financial capability correlates with income levels in these societies. The theory aligns with equity principles in taxation, advocating for a fair distribution of tax burdens. Investors in real estate, for instance, have the capacity to pay taxes and may hire tax professionals to ensure compliance. Compliance is particularly crucial for landlords, as tenanted properties generate taxable income. Taxpayers who are aware of their obligations and the consequences of evasion are more likely to comply, making the Ability to Pay Theory relevant to studies on tax compliance and iTax systems.</w:t>
      </w:r>
    </w:p>
    <w:p w14:paraId="03CDC644" w14:textId="7EDB9F00" w:rsid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lastRenderedPageBreak/>
        <w:t xml:space="preserve">The Fiscal Exchange Theory, developed by Margaret Levi in 1988, is based on social psychology and economic deterrence principles. It suggests that tax compliance depends on the perceived value of public goods and services provided by the government. McKerchar &amp; Evans (2009) argue that taxpayers are more likely to comply when they believe their contributions are reciprocated through improved infrastructure and services. The theory also introduces the concept of ‘tax negotiation,’ where governments and taxpayers establish mutual expectations regarding fiscal responsibility (Fjeldstad, </w:t>
      </w:r>
      <w:r w:rsidR="007313ED">
        <w:rPr>
          <w:rFonts w:cs="Times New Roman"/>
          <w:color w:val="000000" w:themeColor="text1"/>
          <w:szCs w:val="24"/>
        </w:rPr>
        <w:t>et al</w:t>
      </w:r>
      <w:r w:rsidRPr="00CB6E82">
        <w:rPr>
          <w:rFonts w:cs="Times New Roman"/>
          <w:color w:val="000000" w:themeColor="text1"/>
          <w:szCs w:val="24"/>
        </w:rPr>
        <w:t xml:space="preserve"> 2013). Governments can foster tax compliance by demonstrating transparency and accountability in tax revenue utilization. When taxpayers perceive that their money is being used effectively, they develop trust in the tax system and are more willing to comply. The theory underscores the importance of government expenditure in shaping taxpayer behavior. If taxpayers view tax payments as an exchange for better public services, they are less likely to evade taxes. This approach suggests that enhancing public service delivery can improve tax morale and compliance rates. The theory is particularly applicable to Kenya, where the government can leverage improved service delivery to encourage voluntary tax compliance.</w:t>
      </w:r>
      <w:r>
        <w:rPr>
          <w:rFonts w:cs="Times New Roman"/>
          <w:color w:val="000000" w:themeColor="text1"/>
          <w:szCs w:val="24"/>
        </w:rPr>
        <w:t xml:space="preserve"> T</w:t>
      </w:r>
      <w:r w:rsidRPr="00CB6E82">
        <w:rPr>
          <w:rFonts w:cs="Times New Roman"/>
          <w:color w:val="000000" w:themeColor="text1"/>
          <w:szCs w:val="24"/>
        </w:rPr>
        <w:t>he theoretical literature on tax compliance highlights multiple perspectives on taxpayer behavior. The Economic Deterrence Theory emphasizes the role of penalties and audits in discouraging tax evasion. The Institutional Anomie Theory links tax compliance to societal norms that prioritize economic success. The Ability to Pay Theory supports progressive taxation, advocating for fair tax burdens based on financial capacity. Lastly, the Fiscal Exchange Theory suggests that tax compliance is influenced by the perceived benefits of public goods and services. Understanding these theories provides a comprehensive framework for analyzing tax compliance and identifying strategies to enhance revenue collection.</w:t>
      </w:r>
    </w:p>
    <w:p w14:paraId="10E2D665" w14:textId="1A65EFEE" w:rsidR="00CB6E82" w:rsidRPr="00505972" w:rsidRDefault="00CB6E82" w:rsidP="00CB6E82">
      <w:pPr>
        <w:spacing w:before="0" w:after="160" w:line="259" w:lineRule="auto"/>
        <w:rPr>
          <w:rFonts w:cs="Times New Roman"/>
          <w:b/>
          <w:bCs/>
          <w:color w:val="000000" w:themeColor="text1"/>
          <w:sz w:val="28"/>
          <w:szCs w:val="28"/>
        </w:rPr>
      </w:pPr>
      <w:r w:rsidRPr="00505972">
        <w:rPr>
          <w:rFonts w:cs="Times New Roman"/>
          <w:b/>
          <w:bCs/>
          <w:color w:val="000000" w:themeColor="text1"/>
          <w:sz w:val="28"/>
          <w:szCs w:val="28"/>
        </w:rPr>
        <w:t>Empirical Review</w:t>
      </w:r>
    </w:p>
    <w:p w14:paraId="341F13B9" w14:textId="77777777"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This chapter evaluates previous empirical studies on tax literacy and tax awareness and their impact on tax compliance in Kenya. Several studies have examined the relationship between tax knowledge, awareness, and adherence to tax regulations, providing insights into the role of education, communication, and enforcement mechanisms.</w:t>
      </w:r>
    </w:p>
    <w:p w14:paraId="08643789" w14:textId="77777777"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Kinyua (2022) investigated factors hindering landlords' compliance with income tax on home rentals in Machakos County, Kenya. The study examined the relationship between the revenue authority, the tax system, and knowledge of payment modes. Conducted as a descriptive cross-sectional survey, it targeted all landlords in the study area. Using SPSS for data analysis, the results showed that for every unit increase in tax awareness, rental income tax compliance increased by 0.259. The study recommended improved taxpayer training by the Kenya Revenue Authority (KRA). While Kinyua focused on Machakos County, the current study examines Kiambu County.</w:t>
      </w:r>
    </w:p>
    <w:p w14:paraId="1A5E998C" w14:textId="2B6AC463"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Similarly, Intansari (2022) assessed the impact of tax literacy on tax compliance among MSME taxpayers through an online survey of 102 respondents. The study found that higher tax literacy positively influenced tax adherence and recommended tax literacy programs. Unlike Intansari, who relied solely on online surveys, the current study employs direct administration of questionnaires to landlords for more detailed responses.</w:t>
      </w:r>
      <w:r w:rsidR="00505972">
        <w:rPr>
          <w:rFonts w:cs="Times New Roman"/>
          <w:color w:val="000000" w:themeColor="text1"/>
          <w:szCs w:val="24"/>
        </w:rPr>
        <w:t xml:space="preserve"> </w:t>
      </w:r>
      <w:r w:rsidRPr="00CB6E82">
        <w:rPr>
          <w:rFonts w:cs="Times New Roman"/>
          <w:color w:val="000000" w:themeColor="text1"/>
          <w:szCs w:val="24"/>
        </w:rPr>
        <w:t>Solomon (2021) applied a mixed-method research design, using online and offline tax knowledge assessments alongside a randomized online experiment to analyze tax education’s impact on compliance attitudes in Ethiopia. The findings indicated a strong positive correlation between tax education and voluntary compliance, leading to recommendations for improved taxpayer education. While Solomon’s research targeted various taxpayers, the present study narrows its focus to landlords.</w:t>
      </w:r>
    </w:p>
    <w:p w14:paraId="281D2F26" w14:textId="77777777"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 xml:space="preserve">Rotich (2020) examined tax literacy factors affecting unorganized businesses in Kenya. The study surveyed 120 registered small and medium taxpayers using structured questionnaires and analyzed data through SPSS. Results showed that for every unit increase in tax literacy, informal sector compliance increased by 0.35. Rotich </w:t>
      </w:r>
      <w:r w:rsidRPr="00CB6E82">
        <w:rPr>
          <w:rFonts w:cs="Times New Roman"/>
          <w:color w:val="000000" w:themeColor="text1"/>
          <w:szCs w:val="24"/>
        </w:rPr>
        <w:lastRenderedPageBreak/>
        <w:t>recommended that KRA enhance its technical human resources to improve taxpayer awareness. Unlike Rotich, who studied the informal sector, this study focuses on landlords in the formal rental sector.</w:t>
      </w:r>
    </w:p>
    <w:p w14:paraId="4B40E736" w14:textId="77777777"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Waimiri (2020) explored tax literacy’s effect on SME performance in Murang’a Town, Kenya, using a stratified sample of 132 SMEs. The study employed statistical analysis, revealing an R-value of 0.512, signifying a strong relationship between tax literacy and compliance. The study recommended improved communication by KRA to simplify tax laws and technologies for SMEs. Unlike Waimiri’s focus on SMEs, this study targets residential landlords in Kiambu County.</w:t>
      </w:r>
    </w:p>
    <w:p w14:paraId="6AFF56D0" w14:textId="05ED518C"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 xml:space="preserve">Al-Ttaffi, </w:t>
      </w:r>
      <w:r w:rsidR="00343363">
        <w:rPr>
          <w:rFonts w:cs="Times New Roman"/>
          <w:color w:val="000000" w:themeColor="text1"/>
          <w:szCs w:val="24"/>
        </w:rPr>
        <w:t>et al</w:t>
      </w:r>
      <w:r w:rsidRPr="00CB6E82">
        <w:rPr>
          <w:rFonts w:cs="Times New Roman"/>
          <w:color w:val="000000" w:themeColor="text1"/>
          <w:szCs w:val="24"/>
        </w:rPr>
        <w:t xml:space="preserve"> (2020) studied tax compliance behavior among Yemeni individual taxpayers. The survey-based study found a direct positive correlation between tax knowledge and compliance. The authors recommended that governments use tax knowledge to enhance compliance levels. While this study was conducted in Yemen, the current research is focused on Kenya.</w:t>
      </w:r>
      <w:r w:rsidR="00505972">
        <w:rPr>
          <w:rFonts w:cs="Times New Roman"/>
          <w:color w:val="000000" w:themeColor="text1"/>
          <w:szCs w:val="24"/>
        </w:rPr>
        <w:t xml:space="preserve"> </w:t>
      </w:r>
      <w:r w:rsidRPr="00CB6E82">
        <w:rPr>
          <w:rFonts w:cs="Times New Roman"/>
          <w:color w:val="000000" w:themeColor="text1"/>
          <w:szCs w:val="24"/>
        </w:rPr>
        <w:t>Regarding tax awareness, Kihuha (2022) examined rental income tax compliance in Embakasi South, Nairobi. The study used an explanatory research design, structured questionnaires, and statistical analyses, recommending social media and training to enhance tax compliance. It urged KRA to engage more in taxpayer training. Unlike Kihuha’s focus on Nairobi, this study investigates Kiambu County, where rental units are fewer.</w:t>
      </w:r>
    </w:p>
    <w:p w14:paraId="37B89424" w14:textId="77777777"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Wachira (2022) explored the role of tax awareness in SME tax compliance in Meru Town, Kenya, employing a descriptive research design with stratified random sampling. The study identified tax awareness as the most influential compliance factor and suggested that the government hire more tax experts and open KRA branches across counties. Wachira’s study targeted SMEs, whereas the present study focuses on residential landlords.</w:t>
      </w:r>
    </w:p>
    <w:p w14:paraId="15493929" w14:textId="77777777"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Ismail et al. (2022) surveyed Malaysian taxpayers’ perceptions of tax difficulties, education, and understanding. Using an online poll, the study found resistance to digital tax systems due to complexity and income reduction concerns. It recommended that tax authorities simplify tax administration. While Ismail et al. included various taxpayer categories, this study specifically examines residential landlords.</w:t>
      </w:r>
    </w:p>
    <w:p w14:paraId="33268B90" w14:textId="24975FFC"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Mustafa and Humta (2021) analyzed tax awareness and knowledge in Kabul, Afghanistan, through Google Forms surveys with 254 responses. Statistical analysis confirmed that both tax awareness and comprehension significantly influenced compliance. The researchers suggested improved taxpayer education. While their study provides insights into general tax compliance, the present study specifically targets rental income earners.</w:t>
      </w:r>
      <w:r w:rsidR="00505972">
        <w:rPr>
          <w:rFonts w:cs="Times New Roman"/>
          <w:color w:val="000000" w:themeColor="text1"/>
          <w:szCs w:val="24"/>
        </w:rPr>
        <w:t xml:space="preserve"> </w:t>
      </w:r>
      <w:r w:rsidRPr="00CB6E82">
        <w:rPr>
          <w:rFonts w:cs="Times New Roman"/>
          <w:color w:val="000000" w:themeColor="text1"/>
          <w:szCs w:val="24"/>
        </w:rPr>
        <w:t>Tiwari (2021) investigated factors affecting tax compliance among rental income earners in Pokhara, Nepal, using self-administered questionnaires with Likert scales. The study found that tax knowledge and awareness significantly influenced compliance and recommended sensitization campaigns and incentives for taxpayers. Unlike Tiwari’s research in Nepal, this study is conducted in Kenya, offering a different geographical and economic context.</w:t>
      </w:r>
    </w:p>
    <w:p w14:paraId="64D66DD5" w14:textId="77777777"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Overall, these studies collectively highlight the importance of tax literacy and awareness in improving tax compliance. They suggest the need for enhanced education, communication strategies, and enforcement measures by tax authorities to ensure higher compliance levels among taxpayers, particularly landlords in Kenya.</w:t>
      </w:r>
    </w:p>
    <w:p w14:paraId="17BA37CF" w14:textId="77777777"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The study by Duve &amp; Schutte (2024) examined the impact of compliance costs on tax adherence among Zimbabwean small enterprises, utilizing data from 219 businesses across various sectors. The analysis was conducted using Amos version 26 and SPSS, with self-completion online questionnaires distributed to small business owners subject to presumptive tax. Findings revealed that high compliance costs negatively impacted tax compliance, indicating an inverse relationship between compliance levels and costs. The study recommended that the Zimbabwe Revenue Authority (ZIMRA) hold workshops to educate small firms on managing tax-related costs and improving tax literacy. Unlike Duve &amp; Schutte’s study, which focused on presumptive tax, the current research examines tax adherence among rental income earners.</w:t>
      </w:r>
    </w:p>
    <w:p w14:paraId="1F957E14" w14:textId="77777777"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lastRenderedPageBreak/>
        <w:t>Mutai and Omwono (2022) explored tax adherence factors among real estate investors in Eldoret, Kenya. Their study employed snowball sampling, gathering data from 68 investors out of a target population of 5,018 in an ex post facto design. Using self-made questionnaires and SPSS for quantitative analysis, the study found a significant negative relationship between tax compliance costs and adherence levels. The researchers emphasized that tax compliance costs should be minimized to encourage higher tax payment rates. While the study provided valuable insights, its small sample size was a limitation, affecting the generalizability of results. In contrast, the present study utilizes a larger sample to ensure more comprehensive findings.</w:t>
      </w:r>
    </w:p>
    <w:p w14:paraId="71F973D2" w14:textId="77777777"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Kasiva (2022) examined factors affecting landlords' tax compliance in Masii Town, Kenya, using self-administered questionnaires analyzed through summary and inferential statistics. Results demonstrated that increased compliance costs led to lower adherence levels, with statistical analysis revealing that for every unit increase in compliance costs, rental income tax adherence declined by -0.383. The study recommended that the Kenya Revenue Authority (KRA) develop a framework to control compliance costs. However, challenges arose due to the COVID-19 pandemic, which affected respondent engagement, necessitating a second round of data collection. Unlike Kasiva’s study, which faced pandemic-related challenges, the present study benefited from direct face-to-face data collection.</w:t>
      </w:r>
    </w:p>
    <w:p w14:paraId="35355325" w14:textId="17B72575"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In Tanzania, Elias and Kimburu (2021) analyzed factors impeding efficient tax compliance in Arusha City using a descriptive research design and questionnaires. Findings indicated that compliance costs played a crucial role in tax adherence, as most respondents reported incurring expenses for hiring tax professionals. The study recommended reducing assumed tax rates and enhancing taxpayer education to minimize compliance costs. While the study covered a broad taxpayer base, the present study focuses exclusively on landlords.</w:t>
      </w:r>
      <w:r w:rsidR="00505972">
        <w:rPr>
          <w:rFonts w:cs="Times New Roman"/>
          <w:color w:val="000000" w:themeColor="text1"/>
          <w:szCs w:val="24"/>
        </w:rPr>
        <w:t xml:space="preserve"> </w:t>
      </w:r>
      <w:r w:rsidRPr="00CB6E82">
        <w:rPr>
          <w:rFonts w:cs="Times New Roman"/>
          <w:color w:val="000000" w:themeColor="text1"/>
          <w:szCs w:val="24"/>
        </w:rPr>
        <w:t>Wanjiku (2021) investigated factors influencing landlords' tax compliance in Nyeri Municipality, Kenya, particularly how compliance costs affect tax adherence. Using an explanatory research design, the study targeted 1,909 landlords and sampled 330 respondents. Primary data was collected through closed-ended questionnaires, and statistical tools were used for analysis. Results indicated a significant negative relationship between rental income tax compliance and compliance costs. While Wanjiku’s study focused on Nyeri, the present study examines tax compliance in Kiambu Town.</w:t>
      </w:r>
    </w:p>
    <w:p w14:paraId="3CC16526" w14:textId="77777777"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In India, Tagat (2019) investigated behavioral economics in tax compliance, focusing on how perceived compliance costs influence taxpayer behavior. The study utilized financial statements and questionnaires, revealing that high perceived costs led taxpayers to invest additional time and resources to avoid taxation. Findings underscored the necessity for governments to quantify and mitigate compliance costs to enhance tax compliance. While Tagat’s study was conducted in a rapidly growing economy, the current study is based in Kenya, a developing country with different economic conditions.</w:t>
      </w:r>
    </w:p>
    <w:p w14:paraId="1234C84D" w14:textId="5BD7C622"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 xml:space="preserve">Sumenep, </w:t>
      </w:r>
      <w:r w:rsidR="00A57832">
        <w:rPr>
          <w:rFonts w:cs="Times New Roman"/>
          <w:color w:val="000000" w:themeColor="text1"/>
          <w:szCs w:val="24"/>
        </w:rPr>
        <w:t>et al</w:t>
      </w:r>
      <w:r w:rsidRPr="00CB6E82">
        <w:rPr>
          <w:rFonts w:cs="Times New Roman"/>
          <w:color w:val="000000" w:themeColor="text1"/>
          <w:szCs w:val="24"/>
        </w:rPr>
        <w:t xml:space="preserve"> (2024) explored tax compliance constraints in Indonesia, analyzing compliance levels, tax knowledge, payment methods, and penalties. Using multiple linear analysis and SPSS 24 for data processing, results indicated that tax rates significantly affected compliance. The study concluded that governments should consider tax rate reductions to enhance compliance. While Bakri’s research examined all taxpayers, the present study focuses on landlords.</w:t>
      </w:r>
      <w:r w:rsidR="00505972">
        <w:rPr>
          <w:rFonts w:cs="Times New Roman"/>
          <w:color w:val="000000" w:themeColor="text1"/>
          <w:szCs w:val="24"/>
        </w:rPr>
        <w:t xml:space="preserve"> </w:t>
      </w:r>
      <w:r w:rsidRPr="00CB6E82">
        <w:rPr>
          <w:rFonts w:cs="Times New Roman"/>
          <w:color w:val="000000" w:themeColor="text1"/>
          <w:szCs w:val="24"/>
        </w:rPr>
        <w:t xml:space="preserve">A study by Islamey, </w:t>
      </w:r>
      <w:r w:rsidR="00A57832">
        <w:rPr>
          <w:rFonts w:cs="Times New Roman"/>
          <w:color w:val="000000" w:themeColor="text1"/>
          <w:szCs w:val="24"/>
        </w:rPr>
        <w:t>et al</w:t>
      </w:r>
      <w:r w:rsidRPr="00CB6E82">
        <w:rPr>
          <w:rFonts w:cs="Times New Roman"/>
          <w:color w:val="000000" w:themeColor="text1"/>
          <w:szCs w:val="24"/>
        </w:rPr>
        <w:t xml:space="preserve"> (2024) in Indonesia assessed tax compliance factors among SMEs, including tax rates, knowledge, and penalties. Employing a quantitative methodology with 44 sampled SMEs, data was analyzed using multiple linear regression. Findings showed a weak negative correlation between tax rates and compliance but a strong positive relationship between tax knowledge and penalties on compliance levels. While this study focused on SMEs in Indonesia, the present research investigates tax compliance among Kenyan landlords.</w:t>
      </w:r>
    </w:p>
    <w:p w14:paraId="758D4EDD" w14:textId="29DE2597"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 xml:space="preserve">In Tanzania, Chindengwike, </w:t>
      </w:r>
      <w:r w:rsidR="00F01BA4">
        <w:rPr>
          <w:rFonts w:cs="Times New Roman"/>
          <w:color w:val="000000" w:themeColor="text1"/>
          <w:szCs w:val="24"/>
        </w:rPr>
        <w:t>et al</w:t>
      </w:r>
      <w:r w:rsidRPr="00CB6E82">
        <w:rPr>
          <w:rFonts w:cs="Times New Roman"/>
          <w:color w:val="000000" w:themeColor="text1"/>
          <w:szCs w:val="24"/>
        </w:rPr>
        <w:t xml:space="preserve"> (2022) examined the effect of tax rates on voluntary compliance using a mixed-method approach. Data collection involved surveys and document reviews, targeting 99 SME taxpayers through purposive and random sampling. Findings indicated that high tax rates discouraged voluntary compliance, and favorable tax rates could enhance compliance levels. Unlike their study, which included landlords as part of a </w:t>
      </w:r>
      <w:r w:rsidRPr="00CB6E82">
        <w:rPr>
          <w:rFonts w:cs="Times New Roman"/>
          <w:color w:val="000000" w:themeColor="text1"/>
          <w:szCs w:val="24"/>
        </w:rPr>
        <w:lastRenderedPageBreak/>
        <w:t>broader taxpayer base, the present study focuses specifically on landlords.</w:t>
      </w:r>
      <w:r w:rsidR="00505972">
        <w:rPr>
          <w:rFonts w:cs="Times New Roman"/>
          <w:color w:val="000000" w:themeColor="text1"/>
          <w:szCs w:val="24"/>
        </w:rPr>
        <w:t xml:space="preserve"> </w:t>
      </w:r>
      <w:r w:rsidRPr="00CB6E82">
        <w:rPr>
          <w:rFonts w:cs="Times New Roman"/>
          <w:color w:val="000000" w:themeColor="text1"/>
          <w:szCs w:val="24"/>
        </w:rPr>
        <w:t>Gitau (2021) studied rental income tax compliance among property owners in Kiambu County, Kenya, using structured questionnaires. Data was analyzed using descriptive and inferential statistics, with multiple linear regression employed to determine tax rate effects. Results showed that elevated tax rates led to increased tax evasion and non-compliance. The study recommended regular tax rate reviews to ensure fairness and encourage compliance among residential landlords. The present study expands on Gitau’s findings by analyzing tax compliance among landlords in a broader Kenyan context.</w:t>
      </w:r>
    </w:p>
    <w:p w14:paraId="3CB8AD8C" w14:textId="37A6DF61"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In Ethiopia, Biru (2020) examined tax compliance behavior among SMEs in Nekemte City. Using descriptive and explanatory research designs with stratified sampling, data was analyzed via SPSS 24. Results demonstrated a significant negative relationship between tax rates and SME tax compliance. While this study focused on Ethiopian SMEs, the current research investigates Kenyan landlords' tax compliance.</w:t>
      </w:r>
      <w:r w:rsidR="00505972">
        <w:rPr>
          <w:rFonts w:cs="Times New Roman"/>
          <w:color w:val="000000" w:themeColor="text1"/>
          <w:szCs w:val="24"/>
        </w:rPr>
        <w:t xml:space="preserve"> </w:t>
      </w:r>
      <w:r w:rsidRPr="00CB6E82">
        <w:rPr>
          <w:rFonts w:cs="Times New Roman"/>
          <w:color w:val="000000" w:themeColor="text1"/>
          <w:szCs w:val="24"/>
        </w:rPr>
        <w:t>Mateli (2020) explored reasons behind Kenyan landlords’ non-compliance with rental income tax in Mavoko Sub-County. The study analyzed tax procedures, laws, measures, and landlord behavior using a descriptive research design. Out of 544 landlords, 54 were sampled through stratified and regional sampling techniques. Data was collected via semi-structured questionnaires and analyzed using SPSS and regression modeling in MS Excel. Findings indicated that high tax rates deterred compliance, with many respondents suggesting that lower rates would encourage tax payment. The present study incorporates a larger sample for more generalizable results compared to Mateli’s smaller-scale study.</w:t>
      </w:r>
    </w:p>
    <w:p w14:paraId="12356E20" w14:textId="77777777" w:rsidR="00CB6E82" w:rsidRPr="00CB6E82" w:rsidRDefault="00CB6E82" w:rsidP="00CB6E82">
      <w:pPr>
        <w:spacing w:before="0" w:after="160" w:line="259" w:lineRule="auto"/>
        <w:rPr>
          <w:rFonts w:cs="Times New Roman"/>
          <w:color w:val="000000" w:themeColor="text1"/>
          <w:szCs w:val="24"/>
        </w:rPr>
      </w:pPr>
      <w:r w:rsidRPr="00CB6E82">
        <w:rPr>
          <w:rFonts w:cs="Times New Roman"/>
          <w:color w:val="000000" w:themeColor="text1"/>
          <w:szCs w:val="24"/>
        </w:rPr>
        <w:t>Overall, studies consistently indicate that high compliance costs and tax rates negatively impact tax adherence. Recommendations emphasize the need for tax authorities to educate taxpayers, reduce compliance costs, and review tax rate structures to promote voluntary compliance. While prior research spans various sectors and regions, the current study specifically examines Kenyan landlords, providing insights into tax compliance dynamics within this demographic.</w:t>
      </w:r>
    </w:p>
    <w:p w14:paraId="1211445F" w14:textId="77777777" w:rsidR="00CB6E82" w:rsidRPr="00CB6E82" w:rsidRDefault="00CB6E82" w:rsidP="00CB6E82">
      <w:pPr>
        <w:spacing w:before="0" w:after="160" w:line="259" w:lineRule="auto"/>
        <w:rPr>
          <w:rFonts w:cs="Times New Roman"/>
          <w:color w:val="000000" w:themeColor="text1"/>
          <w:szCs w:val="24"/>
        </w:rPr>
      </w:pPr>
    </w:p>
    <w:p w14:paraId="22F53253" w14:textId="2BE9A6A2" w:rsidR="00DE2430" w:rsidRPr="0092006B" w:rsidRDefault="00DE2430" w:rsidP="00DE2430">
      <w:pPr>
        <w:spacing w:before="0" w:after="160" w:line="259" w:lineRule="auto"/>
        <w:rPr>
          <w:rFonts w:cs="Times New Roman"/>
          <w:color w:val="000000" w:themeColor="text1"/>
          <w:szCs w:val="24"/>
        </w:rPr>
      </w:pPr>
      <w:r w:rsidRPr="0092006B">
        <w:rPr>
          <w:rFonts w:cs="Times New Roman"/>
          <w:color w:val="000000" w:themeColor="text1"/>
          <w:szCs w:val="24"/>
        </w:rPr>
        <w:t>.</w:t>
      </w:r>
    </w:p>
    <w:p w14:paraId="5AEEEAAF" w14:textId="77777777" w:rsidR="00F16858" w:rsidRPr="0092006B" w:rsidRDefault="00F16858" w:rsidP="008E2312">
      <w:pPr>
        <w:spacing w:before="0" w:after="160" w:line="259" w:lineRule="auto"/>
        <w:rPr>
          <w:rFonts w:cs="Times New Roman"/>
          <w:color w:val="000000" w:themeColor="text1"/>
          <w:szCs w:val="24"/>
        </w:rPr>
      </w:pPr>
    </w:p>
    <w:p w14:paraId="5FD8B6D9" w14:textId="77777777" w:rsidR="008E2312" w:rsidRPr="0092006B" w:rsidRDefault="008E2312" w:rsidP="008E2312">
      <w:pPr>
        <w:spacing w:before="0" w:after="160" w:line="259" w:lineRule="auto"/>
        <w:jc w:val="left"/>
        <w:rPr>
          <w:rFonts w:cs="Times New Roman"/>
          <w:b/>
          <w:bCs/>
          <w:color w:val="000000" w:themeColor="text1"/>
          <w:szCs w:val="24"/>
        </w:rPr>
      </w:pPr>
    </w:p>
    <w:p w14:paraId="317A0C3E" w14:textId="5EA89E76" w:rsidR="008E2312" w:rsidRPr="0092006B" w:rsidRDefault="008E2312" w:rsidP="008E2312">
      <w:pPr>
        <w:spacing w:before="0" w:after="160" w:line="259" w:lineRule="auto"/>
        <w:jc w:val="left"/>
        <w:rPr>
          <w:rFonts w:cs="Times New Roman"/>
          <w:b/>
          <w:bCs/>
          <w:color w:val="000000" w:themeColor="text1"/>
          <w:sz w:val="28"/>
          <w:szCs w:val="28"/>
        </w:rPr>
      </w:pPr>
      <w:r w:rsidRPr="0092006B">
        <w:rPr>
          <w:rFonts w:cs="Times New Roman"/>
          <w:b/>
          <w:bCs/>
          <w:color w:val="000000" w:themeColor="text1"/>
          <w:sz w:val="28"/>
          <w:szCs w:val="28"/>
        </w:rPr>
        <w:br w:type="page"/>
      </w:r>
    </w:p>
    <w:p w14:paraId="35BCEF5F" w14:textId="1EFB8069" w:rsidR="00055D83" w:rsidRPr="0092006B" w:rsidRDefault="00055D83" w:rsidP="002C6F25">
      <w:pPr>
        <w:spacing w:line="240" w:lineRule="auto"/>
        <w:rPr>
          <w:rFonts w:cs="Times New Roman"/>
          <w:b/>
          <w:bCs/>
          <w:color w:val="000000" w:themeColor="text1"/>
          <w:sz w:val="28"/>
          <w:szCs w:val="28"/>
        </w:rPr>
      </w:pPr>
      <w:r w:rsidRPr="0092006B">
        <w:rPr>
          <w:rFonts w:cs="Times New Roman"/>
          <w:b/>
          <w:bCs/>
          <w:color w:val="000000" w:themeColor="text1"/>
          <w:sz w:val="28"/>
          <w:szCs w:val="28"/>
        </w:rPr>
        <w:lastRenderedPageBreak/>
        <w:t>3.0 RESEARCH METHODOLOGY</w:t>
      </w:r>
    </w:p>
    <w:p w14:paraId="137DF077" w14:textId="77777777" w:rsidR="00130874" w:rsidRPr="00130874" w:rsidRDefault="00130874" w:rsidP="00130874">
      <w:pPr>
        <w:shd w:val="clear" w:color="auto" w:fill="FFFFFF"/>
        <w:spacing w:line="240" w:lineRule="auto"/>
        <w:rPr>
          <w:rFonts w:cs="Times New Roman"/>
          <w:color w:val="000000" w:themeColor="text1"/>
          <w:szCs w:val="24"/>
        </w:rPr>
      </w:pPr>
      <w:r w:rsidRPr="00130874">
        <w:rPr>
          <w:rFonts w:cs="Times New Roman"/>
          <w:color w:val="000000" w:themeColor="text1"/>
          <w:szCs w:val="24"/>
        </w:rPr>
        <w:t>The research design employed in this study follows a descriptive research approach, which allows for the collection of extensive data regarding the variables under investigation. According to Kothari (2004) and Creswell (2017), research design is a structured plan for gathering data to answer specific research questions. Descriptive research focuses on identifying the "what," "where," and "how" of a phenomenon, as highlighted by Cooper and Schindler (2014). In this study, the descriptive research design was used to assess the empirical effects of the iTax system on residential landlords' tax compliance in Kiambu Town, Kiambu County.</w:t>
      </w:r>
    </w:p>
    <w:p w14:paraId="617ED1BB" w14:textId="77777777" w:rsidR="00130874" w:rsidRPr="00130874" w:rsidRDefault="00130874" w:rsidP="00130874">
      <w:pPr>
        <w:shd w:val="clear" w:color="auto" w:fill="FFFFFF"/>
        <w:spacing w:line="240" w:lineRule="auto"/>
        <w:rPr>
          <w:rFonts w:cs="Times New Roman"/>
          <w:color w:val="000000" w:themeColor="text1"/>
          <w:szCs w:val="24"/>
        </w:rPr>
      </w:pPr>
      <w:r w:rsidRPr="00130874">
        <w:rPr>
          <w:rFonts w:cs="Times New Roman"/>
          <w:color w:val="000000" w:themeColor="text1"/>
          <w:szCs w:val="24"/>
        </w:rPr>
        <w:t>The target population comprises individuals and entities possessing specific attributes relevant to the study (Mugenda, 2013). In this case, the research focused on homeowners with residential rental properties, including individual landlords and corporate entities represented by designated property managers. The study targeted home rental income earners in Kiambu Town, where the population of landlords stands at 1,004 (Ministry of Land, Housing, and Physical Planning, 2023). Kiambu Town was chosen due to its expanding property market, which presents significant revenue potential for the Kenya Revenue Authority (KRA). Additionally, the assumption was made that most landlords in this region are aware of tax obligations, facilitating compliance. Practical considerations such as time, cost, and proximity also influenced the selection of this study area.</w:t>
      </w:r>
    </w:p>
    <w:p w14:paraId="5940DE3B" w14:textId="77777777" w:rsidR="00130874" w:rsidRPr="00130874" w:rsidRDefault="00130874" w:rsidP="00130874">
      <w:pPr>
        <w:shd w:val="clear" w:color="auto" w:fill="FFFFFF"/>
        <w:spacing w:line="240" w:lineRule="auto"/>
        <w:rPr>
          <w:rFonts w:cs="Times New Roman"/>
          <w:color w:val="000000" w:themeColor="text1"/>
          <w:szCs w:val="24"/>
        </w:rPr>
      </w:pPr>
      <w:r w:rsidRPr="00130874">
        <w:rPr>
          <w:rFonts w:cs="Times New Roman"/>
          <w:color w:val="000000" w:themeColor="text1"/>
          <w:szCs w:val="24"/>
        </w:rPr>
        <w:t>To determine an appropriate sample size, Yamane’s (1967) formula was applied, yielding a sample size of 286 respondents. The formula, expressed as:</w:t>
      </w:r>
    </w:p>
    <w:p w14:paraId="289A5B78" w14:textId="77777777" w:rsidR="00130874" w:rsidRPr="00130874" w:rsidRDefault="00130874" w:rsidP="00130874">
      <w:pPr>
        <w:shd w:val="clear" w:color="auto" w:fill="FFFFFF"/>
        <w:spacing w:line="240" w:lineRule="auto"/>
        <w:rPr>
          <w:rFonts w:cs="Times New Roman"/>
          <w:color w:val="000000" w:themeColor="text1"/>
          <w:szCs w:val="24"/>
        </w:rPr>
      </w:pPr>
      <w:r w:rsidRPr="00130874">
        <w:rPr>
          <w:rFonts w:cs="Times New Roman"/>
          <w:color w:val="000000" w:themeColor="text1"/>
          <w:szCs w:val="24"/>
        </w:rPr>
        <w:t xml:space="preserve">n=N1+N(e)2n = \frac{N}{1 + N(e)^2} </w:t>
      </w:r>
    </w:p>
    <w:p w14:paraId="44B3E2DC" w14:textId="77777777" w:rsidR="00130874" w:rsidRPr="00130874" w:rsidRDefault="00130874" w:rsidP="00130874">
      <w:pPr>
        <w:shd w:val="clear" w:color="auto" w:fill="FFFFFF"/>
        <w:spacing w:line="240" w:lineRule="auto"/>
        <w:rPr>
          <w:rFonts w:cs="Times New Roman"/>
          <w:color w:val="000000" w:themeColor="text1"/>
          <w:szCs w:val="24"/>
        </w:rPr>
      </w:pPr>
      <w:r w:rsidRPr="00130874">
        <w:rPr>
          <w:rFonts w:cs="Times New Roman"/>
          <w:color w:val="000000" w:themeColor="text1"/>
          <w:szCs w:val="24"/>
        </w:rPr>
        <w:t>where N=1004N = 1004, e=0.05e = 0.05, ensures that the sample size is statistically representative. A 95% confidence level was maintained, and the sample was considered adequate since it exceeded 1% of the total population, as per Gravetter and Forzano (2012). Mugenda and Mugenda (2003) emphasized that increasing sample size enhances the accuracy of findings.</w:t>
      </w:r>
    </w:p>
    <w:p w14:paraId="4412EAB6" w14:textId="77777777" w:rsidR="00130874" w:rsidRPr="00130874" w:rsidRDefault="00130874" w:rsidP="00130874">
      <w:pPr>
        <w:shd w:val="clear" w:color="auto" w:fill="FFFFFF"/>
        <w:spacing w:line="240" w:lineRule="auto"/>
        <w:rPr>
          <w:rFonts w:cs="Times New Roman"/>
          <w:color w:val="000000" w:themeColor="text1"/>
          <w:szCs w:val="24"/>
        </w:rPr>
      </w:pPr>
      <w:r w:rsidRPr="00130874">
        <w:rPr>
          <w:rFonts w:cs="Times New Roman"/>
          <w:color w:val="000000" w:themeColor="text1"/>
          <w:szCs w:val="24"/>
        </w:rPr>
        <w:t>Sampling techniques implemented included multistage cluster sampling and systematic random sampling. Multistage cluster sampling, as described by Kothari (2004), is beneficial for categorizing heterogeneous populations into homogeneous groups before selecting a representative subset. This approach ensured that all sections within the research area were covered. Additionally, systematic random sampling was employed, wherein every fourth property owner was selected, ensuring an even distribution of respondents across the town. This method, which involves dividing the total population by the sample size to determine the selection interval, enabled a fair and unbiased selection process.</w:t>
      </w:r>
    </w:p>
    <w:p w14:paraId="24C32B53" w14:textId="77777777" w:rsidR="00130874" w:rsidRPr="00130874" w:rsidRDefault="00130874" w:rsidP="00130874">
      <w:pPr>
        <w:shd w:val="clear" w:color="auto" w:fill="FFFFFF"/>
        <w:spacing w:line="240" w:lineRule="auto"/>
        <w:rPr>
          <w:rFonts w:cs="Times New Roman"/>
          <w:color w:val="000000" w:themeColor="text1"/>
          <w:szCs w:val="24"/>
        </w:rPr>
      </w:pPr>
      <w:r w:rsidRPr="00130874">
        <w:rPr>
          <w:rFonts w:cs="Times New Roman"/>
          <w:color w:val="000000" w:themeColor="text1"/>
          <w:szCs w:val="24"/>
        </w:rPr>
        <w:t>The combination of multistage cluster and systematic random sampling provided a robust methodological framework, ensuring that the sample accurately represented the study population. By applying these techniques, the study effectively captured relevant data on tax compliance among residential landlords in Kiambu Town. This comprehensive research design, coupled with a carefully selected sample, enhances the reliability and validity of the study’s findings, contributing to a deeper understanding of tax compliance dynamics in the real estate sector.</w:t>
      </w:r>
    </w:p>
    <w:p w14:paraId="1A3ECF59" w14:textId="571C85E8" w:rsidR="00130874" w:rsidRPr="00130874" w:rsidRDefault="00130874" w:rsidP="00130874">
      <w:pPr>
        <w:shd w:val="clear" w:color="auto" w:fill="FFFFFF"/>
        <w:spacing w:line="240" w:lineRule="auto"/>
        <w:rPr>
          <w:rFonts w:cs="Times New Roman"/>
          <w:color w:val="000000" w:themeColor="text1"/>
          <w:szCs w:val="24"/>
        </w:rPr>
      </w:pPr>
      <w:r w:rsidRPr="00130874">
        <w:rPr>
          <w:rFonts w:cs="Times New Roman"/>
          <w:color w:val="000000" w:themeColor="text1"/>
          <w:szCs w:val="24"/>
        </w:rPr>
        <w:t>The study utilized questionnaires as the primary data collection tool, selected due to their ability to assure respondent anonymity, standardize questions and procedures, and allow respondents sufficient time to think before responding. Questionnaires were also easy to score, making data analysis efficient. Both closed-ended and open-ended questions were included to provide flexibility and allow for a mix of qualitative and quantitative data collection. This approach enabled the researcher to gather substantial evidence within a short period, which would have been challenging through observations or interviews.</w:t>
      </w:r>
    </w:p>
    <w:p w14:paraId="76A54FFD" w14:textId="77777777" w:rsidR="00130874" w:rsidRPr="00130874" w:rsidRDefault="00130874" w:rsidP="00130874">
      <w:pPr>
        <w:shd w:val="clear" w:color="auto" w:fill="FFFFFF"/>
        <w:spacing w:line="240" w:lineRule="auto"/>
        <w:rPr>
          <w:rFonts w:cs="Times New Roman"/>
          <w:color w:val="000000" w:themeColor="text1"/>
          <w:szCs w:val="24"/>
        </w:rPr>
      </w:pPr>
    </w:p>
    <w:p w14:paraId="3EFA81C4" w14:textId="77777777" w:rsidR="00130874" w:rsidRPr="00130874" w:rsidRDefault="00130874" w:rsidP="00130874">
      <w:pPr>
        <w:shd w:val="clear" w:color="auto" w:fill="FFFFFF"/>
        <w:spacing w:line="240" w:lineRule="auto"/>
        <w:rPr>
          <w:rFonts w:cs="Times New Roman"/>
          <w:color w:val="000000" w:themeColor="text1"/>
          <w:szCs w:val="24"/>
        </w:rPr>
      </w:pPr>
      <w:r w:rsidRPr="00130874">
        <w:rPr>
          <w:rFonts w:cs="Times New Roman"/>
          <w:color w:val="000000" w:themeColor="text1"/>
          <w:szCs w:val="24"/>
        </w:rPr>
        <w:lastRenderedPageBreak/>
        <w:t>Before data collection commenced, the researcher obtained approval from Kenyatta University and sought permission from Kiambu County through an official email. Due to time constraints, research assistants were contracted to facilitate data collection using the distribute-and-collect method. Respondents were given up to two days to complete the self-administered questionnaires, ensuring sufficient time for accurate responses. Additionally, participants were assured that their information would remain confidential and used solely for research purposes.</w:t>
      </w:r>
    </w:p>
    <w:p w14:paraId="5DDC174B" w14:textId="77777777" w:rsidR="00130874" w:rsidRPr="00130874" w:rsidRDefault="00130874" w:rsidP="00130874">
      <w:pPr>
        <w:shd w:val="clear" w:color="auto" w:fill="FFFFFF"/>
        <w:spacing w:line="240" w:lineRule="auto"/>
        <w:rPr>
          <w:rFonts w:cs="Times New Roman"/>
          <w:color w:val="000000" w:themeColor="text1"/>
          <w:szCs w:val="24"/>
        </w:rPr>
      </w:pPr>
      <w:r w:rsidRPr="00130874">
        <w:rPr>
          <w:rFonts w:cs="Times New Roman"/>
          <w:color w:val="000000" w:themeColor="text1"/>
          <w:szCs w:val="24"/>
        </w:rPr>
        <w:t>A pilot test was conducted using 29 surveys to assess the reliability of the research instruments. Following Cooper &amp; Schindler (2014) and Sileyew (2019), a pilot test should involve 10% of the total sample size, ensuring similarity to the main study population. The pilot study respondents were different from those in the final research to prevent bias. Reliability was determined by assessing the consistency and stability of the questionnaire using Cronbach’s Alpha, an inter-item reliability measure analyzed through SPSS. A Cronbach’s Alpha value of 0.7 or higher was deemed acceptable, as per Sekaran and Bougie (2010). Validity was also ensured by structuring the questionnaire into five distinct sections, using clear and simple language without technical jargon to facilitate accurate measurement of the study constructs.</w:t>
      </w:r>
    </w:p>
    <w:p w14:paraId="22CC5331" w14:textId="1D2F343B" w:rsidR="00D242AA" w:rsidRPr="0092006B" w:rsidRDefault="00130874" w:rsidP="00130874">
      <w:pPr>
        <w:shd w:val="clear" w:color="auto" w:fill="FFFFFF"/>
        <w:spacing w:line="240" w:lineRule="auto"/>
        <w:rPr>
          <w:rFonts w:cs="Times New Roman"/>
          <w:color w:val="000000" w:themeColor="text1"/>
          <w:szCs w:val="24"/>
        </w:rPr>
      </w:pPr>
      <w:r w:rsidRPr="00130874">
        <w:rPr>
          <w:rFonts w:cs="Times New Roman"/>
          <w:color w:val="000000" w:themeColor="text1"/>
          <w:szCs w:val="24"/>
        </w:rPr>
        <w:t>Data analysis was conducted using SPSS, where data was first recorded in an Excel sheet before undergoing descriptive and inferential statistical evaluations. Descriptive analysis included measures such as means, frequencies, and standard deviations, while inferential analysis utilized multivariate regression techniques. The study tested hypotheses using a significance level of 0.05, ensuring robust conclusions. Diagnostic tests, including multicollinearity, heteroscedasticity, Hausman, and normality tests, were conducted to ensure the validity of regression results. Multicollinearity was assessed using the Variance Inflation Factor (VIF), with values above 10 indicating the need for variable elimination. Heteroscedasticity was tested using the Breusch-Pagan-Godfrey test, while the Hausman test determined whether a fixed or random effects model was appropriate. The normality of data was checked using the Bera-Jarque test to ensure an even distribution of residuals.</w:t>
      </w:r>
      <w:r w:rsidR="00505972">
        <w:rPr>
          <w:rFonts w:cs="Times New Roman"/>
          <w:color w:val="000000" w:themeColor="text1"/>
          <w:szCs w:val="24"/>
        </w:rPr>
        <w:t xml:space="preserve"> </w:t>
      </w:r>
      <w:r w:rsidRPr="00130874">
        <w:rPr>
          <w:rFonts w:cs="Times New Roman"/>
          <w:color w:val="000000" w:themeColor="text1"/>
          <w:szCs w:val="24"/>
        </w:rPr>
        <w:t>The operationalization of variables ensured that abstract concepts were clearly defined and measurable. This process outlined the procedures and methods used to quantify variables, facilitating data collection and verification of theoretical assumptions. The study’s regression model was structured to analyze the relationship between tax compliance (dependent variable) and independent variables, including tax literacy, tax awareness, cost acceptance, and tax rate fees. The results were expected to provide insights into the factors influencing tax compliance, supporting the formulation of effective tax policies.</w:t>
      </w:r>
    </w:p>
    <w:p w14:paraId="228D62CA" w14:textId="77777777" w:rsidR="00526412" w:rsidRPr="0092006B" w:rsidRDefault="00526412">
      <w:pPr>
        <w:spacing w:before="0" w:after="160" w:line="259" w:lineRule="auto"/>
        <w:jc w:val="left"/>
        <w:rPr>
          <w:rFonts w:cs="Times New Roman"/>
          <w:b/>
          <w:color w:val="000000" w:themeColor="text1"/>
          <w:sz w:val="28"/>
          <w:szCs w:val="28"/>
        </w:rPr>
      </w:pPr>
      <w:r w:rsidRPr="0092006B">
        <w:rPr>
          <w:rFonts w:cs="Times New Roman"/>
          <w:b/>
          <w:color w:val="000000" w:themeColor="text1"/>
          <w:sz w:val="28"/>
          <w:szCs w:val="28"/>
        </w:rPr>
        <w:br w:type="page"/>
      </w:r>
    </w:p>
    <w:p w14:paraId="14C2E9C9" w14:textId="6B5B2453" w:rsidR="00055D83" w:rsidRDefault="00055D83" w:rsidP="00505972">
      <w:pPr>
        <w:spacing w:line="240" w:lineRule="auto"/>
        <w:rPr>
          <w:rFonts w:cs="Times New Roman"/>
          <w:b/>
          <w:color w:val="000000" w:themeColor="text1"/>
          <w:sz w:val="28"/>
          <w:szCs w:val="28"/>
        </w:rPr>
      </w:pPr>
      <w:r w:rsidRPr="0092006B">
        <w:rPr>
          <w:rFonts w:cs="Times New Roman"/>
          <w:b/>
          <w:color w:val="000000" w:themeColor="text1"/>
          <w:sz w:val="28"/>
          <w:szCs w:val="28"/>
        </w:rPr>
        <w:lastRenderedPageBreak/>
        <w:t>4.0 RESULTS AND DISCUSSION</w:t>
      </w:r>
    </w:p>
    <w:p w14:paraId="55D93057" w14:textId="4889AB24" w:rsidR="00505972" w:rsidRPr="00505972" w:rsidRDefault="00505972" w:rsidP="00505972">
      <w:pPr>
        <w:spacing w:line="240" w:lineRule="auto"/>
        <w:rPr>
          <w:rFonts w:cs="Times New Roman"/>
          <w:b/>
          <w:color w:val="000000" w:themeColor="text1"/>
          <w:szCs w:val="24"/>
        </w:rPr>
      </w:pPr>
      <w:r>
        <w:rPr>
          <w:rFonts w:cs="Times New Roman"/>
          <w:b/>
          <w:color w:val="000000" w:themeColor="text1"/>
          <w:szCs w:val="24"/>
        </w:rPr>
        <w:t xml:space="preserve">4.1 </w:t>
      </w:r>
      <w:r w:rsidRPr="00505972">
        <w:rPr>
          <w:rFonts w:cs="Times New Roman"/>
          <w:b/>
          <w:color w:val="000000" w:themeColor="text1"/>
          <w:szCs w:val="24"/>
        </w:rPr>
        <w:t>Response Rate</w:t>
      </w:r>
    </w:p>
    <w:p w14:paraId="7F872B35" w14:textId="762A750B" w:rsidR="007A7328" w:rsidRPr="007A7328" w:rsidRDefault="007A7328" w:rsidP="00505972">
      <w:pPr>
        <w:spacing w:line="240" w:lineRule="auto"/>
        <w:rPr>
          <w:rFonts w:cs="Times New Roman"/>
          <w:bCs/>
          <w:color w:val="000000" w:themeColor="text1"/>
          <w:szCs w:val="24"/>
        </w:rPr>
      </w:pPr>
      <w:r w:rsidRPr="007A7328">
        <w:rPr>
          <w:rFonts w:cs="Times New Roman"/>
          <w:bCs/>
          <w:color w:val="000000" w:themeColor="text1"/>
          <w:szCs w:val="24"/>
        </w:rPr>
        <w:t>Respondents were given questionnaires and briefed on the study's significance. Out of 286 distributed questionnaires, 210 (73.4%) were properly completed and returned, while 76 (26.6%) were not submitted. According to Creswell &amp; Creswell (2017), a response rate above 70% is excellent, making this study's 73.4% response rate highly satisfactory.</w:t>
      </w:r>
    </w:p>
    <w:p w14:paraId="34470F10" w14:textId="784437EA" w:rsidR="007A7328" w:rsidRPr="00F941A1" w:rsidRDefault="007A7328" w:rsidP="00505972">
      <w:pPr>
        <w:spacing w:line="240" w:lineRule="auto"/>
        <w:rPr>
          <w:rFonts w:eastAsia="Times New Roman" w:cs="Times New Roman"/>
          <w:b/>
          <w:szCs w:val="24"/>
        </w:rPr>
      </w:pPr>
      <w:r>
        <w:rPr>
          <w:rFonts w:eastAsia="Times New Roman" w:cs="Times New Roman"/>
          <w:b/>
          <w:szCs w:val="24"/>
        </w:rPr>
        <w:t xml:space="preserve">Table </w:t>
      </w:r>
      <w:r w:rsidRPr="00F941A1">
        <w:rPr>
          <w:rFonts w:eastAsia="Times New Roman" w:cs="Times New Roman"/>
          <w:b/>
          <w:szCs w:val="24"/>
        </w:rPr>
        <w:fldChar w:fldCharType="begin"/>
      </w:r>
      <w:r w:rsidRPr="00F941A1">
        <w:rPr>
          <w:rFonts w:eastAsia="Times New Roman" w:cs="Times New Roman"/>
          <w:b/>
          <w:szCs w:val="24"/>
        </w:rPr>
        <w:instrText xml:space="preserve"> SEQ Table \* ARABIC \s 1 </w:instrText>
      </w:r>
      <w:r w:rsidRPr="00F941A1">
        <w:rPr>
          <w:rFonts w:eastAsia="Times New Roman" w:cs="Times New Roman"/>
          <w:b/>
          <w:szCs w:val="24"/>
        </w:rPr>
        <w:fldChar w:fldCharType="separate"/>
      </w:r>
      <w:r>
        <w:rPr>
          <w:rFonts w:eastAsia="Times New Roman" w:cs="Times New Roman"/>
          <w:b/>
          <w:noProof/>
          <w:szCs w:val="24"/>
        </w:rPr>
        <w:t>1</w:t>
      </w:r>
      <w:r w:rsidRPr="00F941A1">
        <w:rPr>
          <w:rFonts w:eastAsia="Times New Roman" w:cs="Times New Roman"/>
          <w:b/>
          <w:szCs w:val="24"/>
        </w:rPr>
        <w:fldChar w:fldCharType="end"/>
      </w:r>
      <w:r w:rsidRPr="00F941A1">
        <w:rPr>
          <w:rFonts w:eastAsia="Times New Roman" w:cs="Times New Roman"/>
          <w:b/>
          <w:szCs w:val="24"/>
        </w:rPr>
        <w:t xml:space="preserve"> Rate</w:t>
      </w:r>
      <w:r>
        <w:rPr>
          <w:rFonts w:eastAsia="Times New Roman" w:cs="Times New Roman"/>
          <w:b/>
          <w:szCs w:val="24"/>
        </w:rPr>
        <w:t xml:space="preserve"> of Response</w:t>
      </w:r>
    </w:p>
    <w:tbl>
      <w:tblPr>
        <w:tblW w:w="4942"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46"/>
        <w:gridCol w:w="3675"/>
        <w:gridCol w:w="3671"/>
      </w:tblGrid>
      <w:tr w:rsidR="007A7328" w:rsidRPr="00F941A1" w14:paraId="40F55A22" w14:textId="77777777" w:rsidTr="00572115">
        <w:tc>
          <w:tcPr>
            <w:tcW w:w="1628" w:type="pct"/>
            <w:shd w:val="clear" w:color="auto" w:fill="auto"/>
          </w:tcPr>
          <w:p w14:paraId="2519A458" w14:textId="77777777" w:rsidR="007A7328" w:rsidRPr="00F941A1" w:rsidRDefault="007A7328" w:rsidP="00722A32">
            <w:pPr>
              <w:spacing w:before="0" w:line="240" w:lineRule="auto"/>
              <w:rPr>
                <w:b/>
                <w:bCs/>
                <w:szCs w:val="24"/>
              </w:rPr>
            </w:pPr>
            <w:r w:rsidRPr="00F941A1">
              <w:rPr>
                <w:b/>
                <w:bCs/>
                <w:szCs w:val="24"/>
              </w:rPr>
              <w:t xml:space="preserve">Response </w:t>
            </w:r>
          </w:p>
        </w:tc>
        <w:tc>
          <w:tcPr>
            <w:tcW w:w="1687" w:type="pct"/>
            <w:shd w:val="clear" w:color="auto" w:fill="auto"/>
          </w:tcPr>
          <w:p w14:paraId="63C27B0A" w14:textId="77777777" w:rsidR="007A7328" w:rsidRPr="00F941A1" w:rsidRDefault="007A7328" w:rsidP="00722A32">
            <w:pPr>
              <w:spacing w:before="0" w:line="240" w:lineRule="auto"/>
              <w:rPr>
                <w:b/>
                <w:bCs/>
                <w:szCs w:val="24"/>
              </w:rPr>
            </w:pPr>
            <w:r>
              <w:rPr>
                <w:b/>
                <w:bCs/>
                <w:szCs w:val="24"/>
              </w:rPr>
              <w:t>Rate</w:t>
            </w:r>
          </w:p>
        </w:tc>
        <w:tc>
          <w:tcPr>
            <w:tcW w:w="1685" w:type="pct"/>
            <w:shd w:val="clear" w:color="auto" w:fill="auto"/>
          </w:tcPr>
          <w:p w14:paraId="36F71BE1" w14:textId="77777777" w:rsidR="007A7328" w:rsidRPr="00F941A1" w:rsidRDefault="007A7328" w:rsidP="00722A32">
            <w:pPr>
              <w:spacing w:before="0" w:line="240" w:lineRule="auto"/>
              <w:rPr>
                <w:b/>
                <w:bCs/>
                <w:szCs w:val="24"/>
              </w:rPr>
            </w:pPr>
            <w:r w:rsidRPr="0032559E">
              <w:rPr>
                <w:b/>
                <w:bCs/>
                <w:szCs w:val="24"/>
              </w:rPr>
              <w:t>Proportion</w:t>
            </w:r>
            <w:r w:rsidRPr="00F941A1">
              <w:rPr>
                <w:b/>
                <w:bCs/>
                <w:szCs w:val="24"/>
              </w:rPr>
              <w:t xml:space="preserve"> (%)</w:t>
            </w:r>
          </w:p>
        </w:tc>
      </w:tr>
      <w:tr w:rsidR="007A7328" w:rsidRPr="00F941A1" w14:paraId="64FB59CA" w14:textId="77777777" w:rsidTr="00572115">
        <w:tc>
          <w:tcPr>
            <w:tcW w:w="1628" w:type="pct"/>
            <w:shd w:val="clear" w:color="auto" w:fill="F2F2F2"/>
          </w:tcPr>
          <w:p w14:paraId="1F8FAA90" w14:textId="77777777" w:rsidR="007A7328" w:rsidRPr="00F941A1" w:rsidRDefault="007A7328" w:rsidP="00722A32">
            <w:pPr>
              <w:spacing w:before="0" w:line="240" w:lineRule="auto"/>
              <w:rPr>
                <w:szCs w:val="24"/>
              </w:rPr>
            </w:pPr>
            <w:r>
              <w:rPr>
                <w:szCs w:val="24"/>
              </w:rPr>
              <w:t xml:space="preserve"> Rate of r</w:t>
            </w:r>
            <w:r w:rsidRPr="00F941A1">
              <w:rPr>
                <w:szCs w:val="24"/>
              </w:rPr>
              <w:t xml:space="preserve">esponse </w:t>
            </w:r>
          </w:p>
        </w:tc>
        <w:tc>
          <w:tcPr>
            <w:tcW w:w="1687" w:type="pct"/>
            <w:shd w:val="clear" w:color="auto" w:fill="F2F2F2"/>
          </w:tcPr>
          <w:p w14:paraId="658F127A" w14:textId="77777777" w:rsidR="007A7328" w:rsidRPr="00F941A1" w:rsidRDefault="007A7328" w:rsidP="00722A32">
            <w:pPr>
              <w:spacing w:before="0" w:line="240" w:lineRule="auto"/>
              <w:rPr>
                <w:bCs/>
                <w:szCs w:val="24"/>
              </w:rPr>
            </w:pPr>
            <w:r w:rsidRPr="00F941A1">
              <w:rPr>
                <w:bCs/>
                <w:szCs w:val="24"/>
              </w:rPr>
              <w:t>210</w:t>
            </w:r>
          </w:p>
        </w:tc>
        <w:tc>
          <w:tcPr>
            <w:tcW w:w="1685" w:type="pct"/>
            <w:shd w:val="clear" w:color="auto" w:fill="F2F2F2"/>
          </w:tcPr>
          <w:p w14:paraId="3CC4CD0E" w14:textId="77777777" w:rsidR="007A7328" w:rsidRPr="00F941A1" w:rsidRDefault="007A7328" w:rsidP="00722A32">
            <w:pPr>
              <w:spacing w:before="0" w:line="240" w:lineRule="auto"/>
              <w:rPr>
                <w:bCs/>
                <w:szCs w:val="24"/>
              </w:rPr>
            </w:pPr>
            <w:r w:rsidRPr="00F941A1">
              <w:rPr>
                <w:bCs/>
                <w:szCs w:val="24"/>
              </w:rPr>
              <w:t>73.4</w:t>
            </w:r>
          </w:p>
        </w:tc>
      </w:tr>
      <w:tr w:rsidR="007A7328" w:rsidRPr="00F941A1" w14:paraId="22182EE4" w14:textId="77777777" w:rsidTr="00572115">
        <w:tc>
          <w:tcPr>
            <w:tcW w:w="1628" w:type="pct"/>
            <w:shd w:val="clear" w:color="auto" w:fill="auto"/>
          </w:tcPr>
          <w:p w14:paraId="19B09412" w14:textId="30414359" w:rsidR="007A7328" w:rsidRPr="00F941A1" w:rsidRDefault="007A7328" w:rsidP="00722A32">
            <w:pPr>
              <w:spacing w:before="0" w:line="240" w:lineRule="auto"/>
              <w:rPr>
                <w:szCs w:val="24"/>
              </w:rPr>
            </w:pPr>
            <w:r>
              <w:rPr>
                <w:szCs w:val="24"/>
              </w:rPr>
              <w:t xml:space="preserve"> Rate of n</w:t>
            </w:r>
            <w:r w:rsidRPr="00F941A1">
              <w:rPr>
                <w:szCs w:val="24"/>
              </w:rPr>
              <w:t>on-response</w:t>
            </w:r>
          </w:p>
        </w:tc>
        <w:tc>
          <w:tcPr>
            <w:tcW w:w="1687" w:type="pct"/>
            <w:shd w:val="clear" w:color="auto" w:fill="auto"/>
          </w:tcPr>
          <w:p w14:paraId="262D296B" w14:textId="77777777" w:rsidR="007A7328" w:rsidRPr="00F941A1" w:rsidRDefault="007A7328" w:rsidP="00722A32">
            <w:pPr>
              <w:spacing w:before="0" w:line="240" w:lineRule="auto"/>
              <w:rPr>
                <w:bCs/>
                <w:szCs w:val="24"/>
              </w:rPr>
            </w:pPr>
            <w:r w:rsidRPr="00F941A1">
              <w:rPr>
                <w:bCs/>
                <w:szCs w:val="24"/>
              </w:rPr>
              <w:t>76</w:t>
            </w:r>
          </w:p>
        </w:tc>
        <w:tc>
          <w:tcPr>
            <w:tcW w:w="1685" w:type="pct"/>
            <w:shd w:val="clear" w:color="auto" w:fill="auto"/>
          </w:tcPr>
          <w:p w14:paraId="2D9AAE29" w14:textId="77777777" w:rsidR="007A7328" w:rsidRPr="00F941A1" w:rsidRDefault="007A7328" w:rsidP="00722A32">
            <w:pPr>
              <w:spacing w:before="0" w:line="240" w:lineRule="auto"/>
              <w:rPr>
                <w:bCs/>
                <w:szCs w:val="24"/>
              </w:rPr>
            </w:pPr>
            <w:r w:rsidRPr="00F941A1">
              <w:rPr>
                <w:bCs/>
                <w:szCs w:val="24"/>
              </w:rPr>
              <w:t>26.6</w:t>
            </w:r>
          </w:p>
        </w:tc>
      </w:tr>
      <w:tr w:rsidR="007A7328" w:rsidRPr="002B4648" w14:paraId="43CD6167" w14:textId="77777777" w:rsidTr="00572115">
        <w:tc>
          <w:tcPr>
            <w:tcW w:w="1628" w:type="pct"/>
            <w:shd w:val="clear" w:color="auto" w:fill="F2F2F2"/>
          </w:tcPr>
          <w:p w14:paraId="14CBAC0F" w14:textId="77777777" w:rsidR="007A7328" w:rsidRPr="00F941A1" w:rsidRDefault="007A7328" w:rsidP="00722A32">
            <w:pPr>
              <w:spacing w:before="0" w:line="240" w:lineRule="auto"/>
              <w:rPr>
                <w:szCs w:val="24"/>
              </w:rPr>
            </w:pPr>
            <w:r w:rsidRPr="0032559E">
              <w:rPr>
                <w:szCs w:val="24"/>
              </w:rPr>
              <w:t>Aggregate</w:t>
            </w:r>
          </w:p>
        </w:tc>
        <w:tc>
          <w:tcPr>
            <w:tcW w:w="1687" w:type="pct"/>
            <w:shd w:val="clear" w:color="auto" w:fill="F2F2F2"/>
          </w:tcPr>
          <w:p w14:paraId="64947D02" w14:textId="77777777" w:rsidR="007A7328" w:rsidRPr="00F941A1" w:rsidRDefault="007A7328" w:rsidP="00722A32">
            <w:pPr>
              <w:spacing w:before="0" w:line="240" w:lineRule="auto"/>
              <w:rPr>
                <w:b/>
                <w:szCs w:val="24"/>
              </w:rPr>
            </w:pPr>
            <w:r w:rsidRPr="00F941A1">
              <w:rPr>
                <w:b/>
                <w:szCs w:val="24"/>
              </w:rPr>
              <w:t>286</w:t>
            </w:r>
          </w:p>
        </w:tc>
        <w:tc>
          <w:tcPr>
            <w:tcW w:w="1685" w:type="pct"/>
            <w:shd w:val="clear" w:color="auto" w:fill="F2F2F2"/>
          </w:tcPr>
          <w:p w14:paraId="2F8CB375" w14:textId="77777777" w:rsidR="007A7328" w:rsidRPr="002B4648" w:rsidRDefault="007A7328" w:rsidP="00722A32">
            <w:pPr>
              <w:spacing w:before="0" w:line="240" w:lineRule="auto"/>
              <w:rPr>
                <w:b/>
                <w:szCs w:val="24"/>
              </w:rPr>
            </w:pPr>
            <w:r w:rsidRPr="00F941A1">
              <w:rPr>
                <w:b/>
                <w:szCs w:val="24"/>
              </w:rPr>
              <w:t>100</w:t>
            </w:r>
          </w:p>
        </w:tc>
      </w:tr>
    </w:tbl>
    <w:p w14:paraId="391E745A" w14:textId="77777777" w:rsidR="007A7328" w:rsidRDefault="007A7328" w:rsidP="00505972">
      <w:pPr>
        <w:spacing w:line="240" w:lineRule="auto"/>
        <w:rPr>
          <w:rFonts w:eastAsia="Times New Roman" w:cs="Times New Roman"/>
          <w:b/>
          <w:szCs w:val="24"/>
        </w:rPr>
      </w:pPr>
      <w:r>
        <w:rPr>
          <w:rFonts w:eastAsia="Times New Roman" w:cs="Times New Roman"/>
          <w:b/>
          <w:szCs w:val="24"/>
        </w:rPr>
        <w:t>Source (Researcher 2025)</w:t>
      </w:r>
    </w:p>
    <w:p w14:paraId="08B66867" w14:textId="588842D0" w:rsidR="00F111A2" w:rsidRDefault="009F6D2D" w:rsidP="00505972">
      <w:pPr>
        <w:spacing w:line="240" w:lineRule="auto"/>
        <w:rPr>
          <w:rFonts w:eastAsia="Times New Roman" w:cs="Times New Roman"/>
          <w:b/>
          <w:color w:val="000000" w:themeColor="text1"/>
          <w:szCs w:val="24"/>
        </w:rPr>
      </w:pPr>
      <w:r>
        <w:rPr>
          <w:rFonts w:eastAsia="Times New Roman" w:cs="Times New Roman"/>
          <w:b/>
          <w:color w:val="000000" w:themeColor="text1"/>
          <w:szCs w:val="24"/>
        </w:rPr>
        <w:t xml:space="preserve">4.2 </w:t>
      </w:r>
      <w:r w:rsidR="00F111A2" w:rsidRPr="00B651F8">
        <w:rPr>
          <w:rFonts w:eastAsia="Times New Roman" w:cs="Times New Roman"/>
          <w:b/>
          <w:color w:val="000000" w:themeColor="text1"/>
          <w:szCs w:val="24"/>
        </w:rPr>
        <w:t>Diagnostic Tests</w:t>
      </w:r>
    </w:p>
    <w:p w14:paraId="2384D7E1" w14:textId="6C2213C7" w:rsidR="00F111A2" w:rsidRPr="00F111A2" w:rsidRDefault="00F111A2" w:rsidP="00505972">
      <w:pPr>
        <w:spacing w:line="240" w:lineRule="auto"/>
        <w:rPr>
          <w:rFonts w:eastAsia="Times New Roman" w:cs="Times New Roman"/>
          <w:b/>
          <w:bCs/>
          <w:szCs w:val="24"/>
        </w:rPr>
      </w:pPr>
      <w:r w:rsidRPr="00F111A2">
        <w:rPr>
          <w:b/>
          <w:bCs/>
        </w:rPr>
        <w:t>Test of Multicollinearity</w:t>
      </w:r>
    </w:p>
    <w:p w14:paraId="3A1A3462" w14:textId="730DD31B" w:rsidR="00F111A2" w:rsidRDefault="00F111A2" w:rsidP="00505972">
      <w:pPr>
        <w:spacing w:line="240" w:lineRule="auto"/>
        <w:rPr>
          <w:bCs/>
          <w:szCs w:val="24"/>
          <w:lang w:val="en-GB"/>
        </w:rPr>
      </w:pPr>
      <w:r w:rsidRPr="00F111A2">
        <w:rPr>
          <w:bCs/>
          <w:szCs w:val="24"/>
          <w:lang w:val="en-GB"/>
        </w:rPr>
        <w:t>The Variance Inflation Factor (VIF) was used to assess multicollinearity among predictor variables. A VIF above 10 indicates significant multicollinearity, which can affect model reliability. The analysis showed all VIF values were below 10, averaging 1.3, suggesting no significant multicollinearity among variables, ensuring the model's robustness and accuracy.</w:t>
      </w:r>
    </w:p>
    <w:p w14:paraId="21732192" w14:textId="3D354965" w:rsidR="00F111A2" w:rsidRPr="009F6D2D" w:rsidRDefault="00F111A2" w:rsidP="00505972">
      <w:pPr>
        <w:spacing w:line="240" w:lineRule="auto"/>
        <w:rPr>
          <w:rFonts w:eastAsia="Times New Roman" w:cs="Times New Roman"/>
          <w:b/>
          <w:i/>
          <w:iCs/>
          <w:szCs w:val="24"/>
        </w:rPr>
      </w:pPr>
      <w:r w:rsidRPr="009F6D2D">
        <w:rPr>
          <w:rFonts w:eastAsia="Times New Roman" w:cs="Times New Roman"/>
          <w:b/>
          <w:i/>
          <w:iCs/>
          <w:szCs w:val="24"/>
        </w:rPr>
        <w:t xml:space="preserve">Table </w:t>
      </w:r>
      <w:r w:rsidR="009F6D2D" w:rsidRPr="009F6D2D">
        <w:rPr>
          <w:rFonts w:eastAsia="Times New Roman" w:cs="Times New Roman"/>
          <w:b/>
          <w:i/>
          <w:iCs/>
          <w:szCs w:val="24"/>
        </w:rPr>
        <w:t>2 Multicollinearity</w:t>
      </w:r>
      <w:r w:rsidRPr="009F6D2D">
        <w:rPr>
          <w:rFonts w:eastAsia="Times New Roman" w:cs="Times New Roman"/>
          <w:b/>
          <w:i/>
          <w:iCs/>
          <w:szCs w:val="24"/>
        </w:rPr>
        <w:t xml:space="preserve"> Test using VIF</w:t>
      </w:r>
      <w:r w:rsidRPr="009F6D2D">
        <w:rPr>
          <w:i/>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2118"/>
        <w:gridCol w:w="1560"/>
      </w:tblGrid>
      <w:tr w:rsidR="00F111A2" w:rsidRPr="002B4648" w14:paraId="726CA57B" w14:textId="77777777" w:rsidTr="00572115">
        <w:tc>
          <w:tcPr>
            <w:tcW w:w="2413" w:type="dxa"/>
            <w:shd w:val="clear" w:color="auto" w:fill="auto"/>
          </w:tcPr>
          <w:p w14:paraId="58DBAA04" w14:textId="77777777" w:rsidR="00F111A2" w:rsidRPr="002B4648" w:rsidRDefault="00F111A2" w:rsidP="009F6D2D">
            <w:pPr>
              <w:spacing w:before="0" w:line="240" w:lineRule="auto"/>
              <w:rPr>
                <w:szCs w:val="24"/>
              </w:rPr>
            </w:pPr>
            <w:r w:rsidRPr="002B4648">
              <w:rPr>
                <w:szCs w:val="24"/>
              </w:rPr>
              <w:t>Items</w:t>
            </w:r>
          </w:p>
        </w:tc>
        <w:tc>
          <w:tcPr>
            <w:tcW w:w="2118" w:type="dxa"/>
            <w:shd w:val="clear" w:color="auto" w:fill="auto"/>
          </w:tcPr>
          <w:p w14:paraId="7E163C55" w14:textId="77777777" w:rsidR="00F111A2" w:rsidRPr="002B4648" w:rsidRDefault="00F111A2" w:rsidP="009F6D2D">
            <w:pPr>
              <w:spacing w:before="0" w:line="240" w:lineRule="auto"/>
              <w:rPr>
                <w:szCs w:val="24"/>
              </w:rPr>
            </w:pPr>
            <w:r>
              <w:rPr>
                <w:szCs w:val="24"/>
              </w:rPr>
              <w:t>VIF</w:t>
            </w:r>
          </w:p>
        </w:tc>
        <w:tc>
          <w:tcPr>
            <w:tcW w:w="1560" w:type="dxa"/>
            <w:shd w:val="clear" w:color="auto" w:fill="auto"/>
          </w:tcPr>
          <w:p w14:paraId="361583C3" w14:textId="77777777" w:rsidR="00F111A2" w:rsidRPr="002B4648" w:rsidRDefault="00F111A2" w:rsidP="009F6D2D">
            <w:pPr>
              <w:spacing w:before="0" w:line="240" w:lineRule="auto"/>
              <w:jc w:val="center"/>
              <w:rPr>
                <w:szCs w:val="24"/>
              </w:rPr>
            </w:pPr>
            <w:r>
              <w:rPr>
                <w:szCs w:val="24"/>
              </w:rPr>
              <w:t>1/VIF</w:t>
            </w:r>
          </w:p>
        </w:tc>
      </w:tr>
      <w:tr w:rsidR="00F111A2" w:rsidRPr="002B4648" w14:paraId="096D8EE0" w14:textId="77777777" w:rsidTr="00572115">
        <w:tc>
          <w:tcPr>
            <w:tcW w:w="2413" w:type="dxa"/>
            <w:shd w:val="clear" w:color="auto" w:fill="auto"/>
          </w:tcPr>
          <w:p w14:paraId="4D155120" w14:textId="77777777" w:rsidR="00F111A2" w:rsidRPr="002B4648" w:rsidRDefault="00F111A2" w:rsidP="009F6D2D">
            <w:pPr>
              <w:spacing w:before="0" w:line="240" w:lineRule="auto"/>
              <w:rPr>
                <w:szCs w:val="24"/>
              </w:rPr>
            </w:pPr>
            <w:r w:rsidRPr="002B4648">
              <w:rPr>
                <w:szCs w:val="24"/>
              </w:rPr>
              <w:t>Tax Literacy</w:t>
            </w:r>
          </w:p>
        </w:tc>
        <w:tc>
          <w:tcPr>
            <w:tcW w:w="2118" w:type="dxa"/>
            <w:shd w:val="clear" w:color="auto" w:fill="auto"/>
          </w:tcPr>
          <w:p w14:paraId="45D612C4" w14:textId="77777777" w:rsidR="00F111A2" w:rsidRPr="002B4648" w:rsidRDefault="00F111A2" w:rsidP="009F6D2D">
            <w:pPr>
              <w:spacing w:before="0" w:line="240" w:lineRule="auto"/>
              <w:rPr>
                <w:szCs w:val="24"/>
              </w:rPr>
            </w:pPr>
            <w:r w:rsidRPr="002B4648">
              <w:rPr>
                <w:szCs w:val="24"/>
              </w:rPr>
              <w:t>1</w:t>
            </w:r>
            <w:r>
              <w:rPr>
                <w:szCs w:val="24"/>
              </w:rPr>
              <w:t>.3</w:t>
            </w:r>
          </w:p>
        </w:tc>
        <w:tc>
          <w:tcPr>
            <w:tcW w:w="1560" w:type="dxa"/>
            <w:shd w:val="clear" w:color="auto" w:fill="auto"/>
          </w:tcPr>
          <w:p w14:paraId="409AB063" w14:textId="77777777" w:rsidR="00F111A2" w:rsidRPr="002B4648" w:rsidRDefault="00F111A2" w:rsidP="009F6D2D">
            <w:pPr>
              <w:spacing w:before="0" w:line="240" w:lineRule="auto"/>
              <w:rPr>
                <w:szCs w:val="24"/>
              </w:rPr>
            </w:pPr>
            <w:r>
              <w:rPr>
                <w:szCs w:val="24"/>
              </w:rPr>
              <w:t>0.7692</w:t>
            </w:r>
          </w:p>
        </w:tc>
      </w:tr>
      <w:tr w:rsidR="00F111A2" w:rsidRPr="002B4648" w14:paraId="44E1867C" w14:textId="77777777" w:rsidTr="00572115">
        <w:tc>
          <w:tcPr>
            <w:tcW w:w="2413" w:type="dxa"/>
            <w:shd w:val="clear" w:color="auto" w:fill="auto"/>
          </w:tcPr>
          <w:p w14:paraId="4B0ED0BC" w14:textId="77777777" w:rsidR="00F111A2" w:rsidRPr="002B4648" w:rsidRDefault="00F111A2" w:rsidP="009F6D2D">
            <w:pPr>
              <w:spacing w:before="0" w:line="240" w:lineRule="auto"/>
              <w:rPr>
                <w:szCs w:val="24"/>
              </w:rPr>
            </w:pPr>
            <w:r w:rsidRPr="002B4648">
              <w:rPr>
                <w:szCs w:val="24"/>
              </w:rPr>
              <w:t>Tax Awareness</w:t>
            </w:r>
          </w:p>
        </w:tc>
        <w:tc>
          <w:tcPr>
            <w:tcW w:w="2118" w:type="dxa"/>
            <w:shd w:val="clear" w:color="auto" w:fill="auto"/>
          </w:tcPr>
          <w:p w14:paraId="126AA054" w14:textId="77777777" w:rsidR="00F111A2" w:rsidRPr="002B4648" w:rsidRDefault="00F111A2" w:rsidP="009F6D2D">
            <w:pPr>
              <w:spacing w:before="0" w:line="240" w:lineRule="auto"/>
              <w:rPr>
                <w:szCs w:val="24"/>
              </w:rPr>
            </w:pPr>
            <w:r>
              <w:rPr>
                <w:szCs w:val="24"/>
              </w:rPr>
              <w:t>1.5</w:t>
            </w:r>
          </w:p>
        </w:tc>
        <w:tc>
          <w:tcPr>
            <w:tcW w:w="1560" w:type="dxa"/>
            <w:shd w:val="clear" w:color="auto" w:fill="auto"/>
          </w:tcPr>
          <w:p w14:paraId="1F957CCD" w14:textId="77777777" w:rsidR="00F111A2" w:rsidRPr="002B4648" w:rsidRDefault="00F111A2" w:rsidP="009F6D2D">
            <w:pPr>
              <w:spacing w:before="0" w:line="240" w:lineRule="auto"/>
              <w:rPr>
                <w:szCs w:val="24"/>
              </w:rPr>
            </w:pPr>
            <w:r>
              <w:rPr>
                <w:szCs w:val="24"/>
              </w:rPr>
              <w:t>0.6666</w:t>
            </w:r>
          </w:p>
        </w:tc>
      </w:tr>
      <w:tr w:rsidR="00F111A2" w:rsidRPr="002B4648" w14:paraId="596D36AB" w14:textId="77777777" w:rsidTr="00572115">
        <w:tc>
          <w:tcPr>
            <w:tcW w:w="2413" w:type="dxa"/>
            <w:shd w:val="clear" w:color="auto" w:fill="auto"/>
          </w:tcPr>
          <w:p w14:paraId="1AF11DDD" w14:textId="77777777" w:rsidR="00F111A2" w:rsidRPr="002B4648" w:rsidRDefault="00F111A2" w:rsidP="009F6D2D">
            <w:pPr>
              <w:spacing w:before="0" w:line="240" w:lineRule="auto"/>
              <w:rPr>
                <w:szCs w:val="24"/>
              </w:rPr>
            </w:pPr>
            <w:r>
              <w:rPr>
                <w:szCs w:val="24"/>
              </w:rPr>
              <w:t>Cost</w:t>
            </w:r>
            <w:r w:rsidRPr="002B4648">
              <w:rPr>
                <w:szCs w:val="24"/>
              </w:rPr>
              <w:t xml:space="preserve"> Acceptance</w:t>
            </w:r>
          </w:p>
        </w:tc>
        <w:tc>
          <w:tcPr>
            <w:tcW w:w="2118" w:type="dxa"/>
            <w:shd w:val="clear" w:color="auto" w:fill="auto"/>
          </w:tcPr>
          <w:p w14:paraId="2F136075" w14:textId="77777777" w:rsidR="00F111A2" w:rsidRPr="002B4648" w:rsidRDefault="00F111A2" w:rsidP="009F6D2D">
            <w:pPr>
              <w:spacing w:before="0" w:line="240" w:lineRule="auto"/>
              <w:rPr>
                <w:szCs w:val="24"/>
              </w:rPr>
            </w:pPr>
            <w:r>
              <w:rPr>
                <w:szCs w:val="24"/>
              </w:rPr>
              <w:t>1.4</w:t>
            </w:r>
          </w:p>
        </w:tc>
        <w:tc>
          <w:tcPr>
            <w:tcW w:w="1560" w:type="dxa"/>
            <w:shd w:val="clear" w:color="auto" w:fill="auto"/>
          </w:tcPr>
          <w:p w14:paraId="156832B0" w14:textId="77777777" w:rsidR="00F111A2" w:rsidRPr="002B4648" w:rsidRDefault="00F111A2" w:rsidP="009F6D2D">
            <w:pPr>
              <w:spacing w:before="0" w:line="240" w:lineRule="auto"/>
              <w:rPr>
                <w:szCs w:val="24"/>
              </w:rPr>
            </w:pPr>
            <w:r>
              <w:rPr>
                <w:szCs w:val="24"/>
              </w:rPr>
              <w:t>0.7142</w:t>
            </w:r>
          </w:p>
        </w:tc>
      </w:tr>
      <w:tr w:rsidR="00F111A2" w:rsidRPr="002B4648" w14:paraId="13ED6108" w14:textId="77777777" w:rsidTr="00572115">
        <w:tc>
          <w:tcPr>
            <w:tcW w:w="2413" w:type="dxa"/>
            <w:shd w:val="clear" w:color="auto" w:fill="auto"/>
          </w:tcPr>
          <w:p w14:paraId="4DD728D2" w14:textId="77777777" w:rsidR="00F111A2" w:rsidRPr="002B4648" w:rsidRDefault="00F111A2" w:rsidP="009F6D2D">
            <w:pPr>
              <w:spacing w:before="0" w:line="240" w:lineRule="auto"/>
              <w:rPr>
                <w:szCs w:val="24"/>
              </w:rPr>
            </w:pPr>
            <w:r w:rsidRPr="002B4648">
              <w:rPr>
                <w:szCs w:val="24"/>
              </w:rPr>
              <w:t>Tax Rate Fee</w:t>
            </w:r>
          </w:p>
        </w:tc>
        <w:tc>
          <w:tcPr>
            <w:tcW w:w="2118" w:type="dxa"/>
            <w:shd w:val="clear" w:color="auto" w:fill="auto"/>
          </w:tcPr>
          <w:p w14:paraId="5245CCF1" w14:textId="77777777" w:rsidR="00F111A2" w:rsidRPr="002B4648" w:rsidRDefault="00F111A2" w:rsidP="009F6D2D">
            <w:pPr>
              <w:spacing w:before="0" w:line="240" w:lineRule="auto"/>
              <w:rPr>
                <w:szCs w:val="24"/>
              </w:rPr>
            </w:pPr>
            <w:r>
              <w:rPr>
                <w:szCs w:val="24"/>
              </w:rPr>
              <w:t>1.2</w:t>
            </w:r>
          </w:p>
        </w:tc>
        <w:tc>
          <w:tcPr>
            <w:tcW w:w="1560" w:type="dxa"/>
            <w:shd w:val="clear" w:color="auto" w:fill="auto"/>
          </w:tcPr>
          <w:p w14:paraId="5AD40C6C" w14:textId="77777777" w:rsidR="00F111A2" w:rsidRPr="002B4648" w:rsidRDefault="00F111A2" w:rsidP="009F6D2D">
            <w:pPr>
              <w:spacing w:before="0" w:line="240" w:lineRule="auto"/>
              <w:rPr>
                <w:szCs w:val="24"/>
              </w:rPr>
            </w:pPr>
            <w:r>
              <w:rPr>
                <w:szCs w:val="24"/>
              </w:rPr>
              <w:t>0.8130</w:t>
            </w:r>
          </w:p>
        </w:tc>
      </w:tr>
      <w:tr w:rsidR="00F111A2" w:rsidRPr="002B4648" w14:paraId="76C10A48" w14:textId="77777777" w:rsidTr="00572115">
        <w:tc>
          <w:tcPr>
            <w:tcW w:w="2413" w:type="dxa"/>
            <w:shd w:val="clear" w:color="auto" w:fill="auto"/>
          </w:tcPr>
          <w:p w14:paraId="14B02290" w14:textId="77777777" w:rsidR="00F111A2" w:rsidRPr="002B4648" w:rsidRDefault="00F111A2" w:rsidP="009F6D2D">
            <w:pPr>
              <w:spacing w:before="0" w:line="240" w:lineRule="auto"/>
              <w:rPr>
                <w:szCs w:val="24"/>
              </w:rPr>
            </w:pPr>
            <w:r w:rsidRPr="002B4648">
              <w:rPr>
                <w:szCs w:val="24"/>
              </w:rPr>
              <w:t>Residential Income Tax Compliance</w:t>
            </w:r>
          </w:p>
        </w:tc>
        <w:tc>
          <w:tcPr>
            <w:tcW w:w="2118" w:type="dxa"/>
            <w:shd w:val="clear" w:color="auto" w:fill="auto"/>
          </w:tcPr>
          <w:p w14:paraId="442A99B2" w14:textId="77777777" w:rsidR="00F111A2" w:rsidRPr="002B4648" w:rsidRDefault="00F111A2" w:rsidP="009F6D2D">
            <w:pPr>
              <w:spacing w:before="0" w:line="240" w:lineRule="auto"/>
              <w:rPr>
                <w:szCs w:val="24"/>
              </w:rPr>
            </w:pPr>
            <w:r>
              <w:rPr>
                <w:szCs w:val="24"/>
              </w:rPr>
              <w:t>1.2</w:t>
            </w:r>
          </w:p>
        </w:tc>
        <w:tc>
          <w:tcPr>
            <w:tcW w:w="1560" w:type="dxa"/>
            <w:shd w:val="clear" w:color="auto" w:fill="auto"/>
          </w:tcPr>
          <w:p w14:paraId="31572206" w14:textId="77777777" w:rsidR="00F111A2" w:rsidRPr="002B4648" w:rsidRDefault="00F111A2" w:rsidP="009F6D2D">
            <w:pPr>
              <w:spacing w:before="0" w:line="240" w:lineRule="auto"/>
              <w:rPr>
                <w:szCs w:val="24"/>
              </w:rPr>
            </w:pPr>
            <w:r>
              <w:rPr>
                <w:szCs w:val="24"/>
              </w:rPr>
              <w:t>0.8197</w:t>
            </w:r>
          </w:p>
        </w:tc>
      </w:tr>
      <w:tr w:rsidR="00F111A2" w:rsidRPr="002B4648" w14:paraId="10A1E44B" w14:textId="77777777" w:rsidTr="00572115">
        <w:tc>
          <w:tcPr>
            <w:tcW w:w="2413" w:type="dxa"/>
            <w:shd w:val="clear" w:color="auto" w:fill="auto"/>
          </w:tcPr>
          <w:p w14:paraId="66B45EA5" w14:textId="77777777" w:rsidR="00F111A2" w:rsidRPr="002B4648" w:rsidRDefault="00F111A2" w:rsidP="009F6D2D">
            <w:pPr>
              <w:spacing w:before="0" w:line="240" w:lineRule="auto"/>
              <w:rPr>
                <w:szCs w:val="24"/>
              </w:rPr>
            </w:pPr>
            <w:r>
              <w:rPr>
                <w:szCs w:val="24"/>
              </w:rPr>
              <w:t>Mean VIF</w:t>
            </w:r>
          </w:p>
        </w:tc>
        <w:tc>
          <w:tcPr>
            <w:tcW w:w="2118" w:type="dxa"/>
            <w:shd w:val="clear" w:color="auto" w:fill="auto"/>
          </w:tcPr>
          <w:p w14:paraId="309FCEC3" w14:textId="77777777" w:rsidR="00F111A2" w:rsidRDefault="00F111A2" w:rsidP="009F6D2D">
            <w:pPr>
              <w:spacing w:before="0" w:line="240" w:lineRule="auto"/>
              <w:rPr>
                <w:szCs w:val="24"/>
              </w:rPr>
            </w:pPr>
            <w:r>
              <w:rPr>
                <w:szCs w:val="24"/>
              </w:rPr>
              <w:t>1.3</w:t>
            </w:r>
          </w:p>
        </w:tc>
        <w:tc>
          <w:tcPr>
            <w:tcW w:w="1560" w:type="dxa"/>
            <w:shd w:val="clear" w:color="auto" w:fill="auto"/>
          </w:tcPr>
          <w:p w14:paraId="7DCBDB1D" w14:textId="77777777" w:rsidR="00F111A2" w:rsidRDefault="00F111A2" w:rsidP="009F6D2D">
            <w:pPr>
              <w:spacing w:before="0" w:line="240" w:lineRule="auto"/>
              <w:rPr>
                <w:szCs w:val="24"/>
              </w:rPr>
            </w:pPr>
          </w:p>
        </w:tc>
      </w:tr>
    </w:tbl>
    <w:p w14:paraId="2DBFD55B" w14:textId="77777777" w:rsidR="00F111A2" w:rsidRDefault="00F111A2" w:rsidP="00505972">
      <w:pPr>
        <w:spacing w:line="240" w:lineRule="auto"/>
        <w:rPr>
          <w:rFonts w:eastAsia="Times New Roman" w:cs="Times New Roman"/>
          <w:b/>
          <w:szCs w:val="24"/>
        </w:rPr>
      </w:pPr>
      <w:r>
        <w:rPr>
          <w:rFonts w:eastAsia="Times New Roman" w:cs="Times New Roman"/>
          <w:b/>
          <w:szCs w:val="24"/>
        </w:rPr>
        <w:t>Source (Researcher 2025)</w:t>
      </w:r>
    </w:p>
    <w:p w14:paraId="1868FEC4" w14:textId="7EAE7824" w:rsidR="00F111A2" w:rsidRDefault="00F111A2" w:rsidP="00505972">
      <w:pPr>
        <w:spacing w:line="240" w:lineRule="auto"/>
        <w:rPr>
          <w:b/>
          <w:bCs/>
        </w:rPr>
      </w:pPr>
      <w:r w:rsidRPr="00F111A2">
        <w:rPr>
          <w:b/>
          <w:bCs/>
        </w:rPr>
        <w:t>Normality Test</w:t>
      </w:r>
    </w:p>
    <w:p w14:paraId="03005F0E" w14:textId="22AFF9DB" w:rsidR="00F111A2" w:rsidRPr="00F111A2" w:rsidRDefault="00F111A2" w:rsidP="00505972">
      <w:pPr>
        <w:spacing w:line="240" w:lineRule="auto"/>
      </w:pPr>
      <w:r w:rsidRPr="00F111A2">
        <w:t>The Shapiro-Wilk test was conducted to assess normality, with a null hypothesis assuming the data follows a normal distribution. A P-value above 0.05 supports this assumption. The observed P-values for tax literacy (0.074), tax awareness (0.065), cost acceptance (0.062), tax rate (0.072), and income tax adherence (0.068) all exceeded 0.05, confirming normality.</w:t>
      </w:r>
    </w:p>
    <w:p w14:paraId="2A6A4326" w14:textId="77777777" w:rsidR="00F111A2" w:rsidRPr="00F111A2" w:rsidRDefault="00F111A2" w:rsidP="00505972">
      <w:pPr>
        <w:spacing w:line="240" w:lineRule="auto"/>
        <w:rPr>
          <w:rFonts w:cs="Times New Roman"/>
          <w:b/>
          <w:bCs/>
          <w:color w:val="000000" w:themeColor="text1"/>
          <w:sz w:val="28"/>
          <w:szCs w:val="28"/>
        </w:rPr>
      </w:pPr>
    </w:p>
    <w:p w14:paraId="452A33D0" w14:textId="77777777" w:rsidR="00722A32" w:rsidRDefault="00722A32">
      <w:pPr>
        <w:spacing w:before="0" w:after="160" w:line="259" w:lineRule="auto"/>
        <w:jc w:val="left"/>
        <w:rPr>
          <w:b/>
          <w:bCs/>
          <w:i/>
          <w:iCs/>
        </w:rPr>
      </w:pPr>
      <w:bookmarkStart w:id="3" w:name="_Toc192056849"/>
      <w:r>
        <w:rPr>
          <w:b/>
          <w:bCs/>
          <w:i/>
          <w:iCs/>
        </w:rPr>
        <w:br w:type="page"/>
      </w:r>
    </w:p>
    <w:p w14:paraId="56893E5D" w14:textId="2C0489E0" w:rsidR="009F6D2D" w:rsidRPr="009F6D2D" w:rsidRDefault="00F111A2" w:rsidP="009F6D2D">
      <w:pPr>
        <w:rPr>
          <w:b/>
          <w:bCs/>
          <w:i/>
          <w:iCs/>
        </w:rPr>
      </w:pPr>
      <w:r w:rsidRPr="009F6D2D">
        <w:rPr>
          <w:b/>
          <w:bCs/>
          <w:i/>
          <w:iCs/>
        </w:rPr>
        <w:lastRenderedPageBreak/>
        <w:t xml:space="preserve">Table </w:t>
      </w:r>
      <w:bookmarkEnd w:id="3"/>
      <w:r w:rsidR="009F6D2D" w:rsidRPr="009F6D2D">
        <w:rPr>
          <w:b/>
          <w:bCs/>
          <w:i/>
          <w:iCs/>
        </w:rPr>
        <w:t>3 Normality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2118"/>
        <w:gridCol w:w="1560"/>
        <w:gridCol w:w="1560"/>
      </w:tblGrid>
      <w:tr w:rsidR="00F111A2" w:rsidRPr="002B4648" w14:paraId="4B126B57" w14:textId="77777777" w:rsidTr="00572115">
        <w:tc>
          <w:tcPr>
            <w:tcW w:w="2413" w:type="dxa"/>
            <w:shd w:val="clear" w:color="auto" w:fill="auto"/>
          </w:tcPr>
          <w:p w14:paraId="2739BFE5" w14:textId="77777777" w:rsidR="00F111A2" w:rsidRPr="00DB32C9" w:rsidRDefault="00F111A2" w:rsidP="009F6D2D">
            <w:pPr>
              <w:spacing w:before="0" w:line="240" w:lineRule="auto"/>
              <w:rPr>
                <w:szCs w:val="24"/>
              </w:rPr>
            </w:pPr>
          </w:p>
        </w:tc>
        <w:tc>
          <w:tcPr>
            <w:tcW w:w="2118" w:type="dxa"/>
            <w:shd w:val="clear" w:color="auto" w:fill="auto"/>
          </w:tcPr>
          <w:p w14:paraId="6D838BB5" w14:textId="77777777" w:rsidR="00F111A2" w:rsidRPr="00DB32C9" w:rsidRDefault="00F111A2" w:rsidP="009F6D2D">
            <w:pPr>
              <w:spacing w:before="0" w:line="240" w:lineRule="auto"/>
              <w:jc w:val="center"/>
              <w:rPr>
                <w:b/>
                <w:szCs w:val="24"/>
              </w:rPr>
            </w:pPr>
            <w:r w:rsidRPr="00312582">
              <w:rPr>
                <w:b/>
                <w:szCs w:val="24"/>
              </w:rPr>
              <w:t>Metrics</w:t>
            </w:r>
          </w:p>
        </w:tc>
        <w:tc>
          <w:tcPr>
            <w:tcW w:w="1560" w:type="dxa"/>
          </w:tcPr>
          <w:p w14:paraId="6A937E96" w14:textId="77777777" w:rsidR="00F111A2" w:rsidRPr="00DB32C9" w:rsidRDefault="00F111A2" w:rsidP="009F6D2D">
            <w:pPr>
              <w:spacing w:before="0" w:line="240" w:lineRule="auto"/>
              <w:jc w:val="center"/>
              <w:rPr>
                <w:b/>
                <w:szCs w:val="24"/>
              </w:rPr>
            </w:pPr>
            <w:r>
              <w:rPr>
                <w:b/>
                <w:szCs w:val="24"/>
              </w:rPr>
              <w:t xml:space="preserve">Degree of Freedom </w:t>
            </w:r>
          </w:p>
        </w:tc>
        <w:tc>
          <w:tcPr>
            <w:tcW w:w="1560" w:type="dxa"/>
            <w:shd w:val="clear" w:color="auto" w:fill="auto"/>
          </w:tcPr>
          <w:p w14:paraId="376C269F" w14:textId="77777777" w:rsidR="00F111A2" w:rsidRPr="00DB32C9" w:rsidRDefault="00F111A2" w:rsidP="009F6D2D">
            <w:pPr>
              <w:spacing w:before="0" w:line="240" w:lineRule="auto"/>
              <w:jc w:val="center"/>
              <w:rPr>
                <w:b/>
                <w:szCs w:val="24"/>
              </w:rPr>
            </w:pPr>
            <w:r w:rsidRPr="00DB32C9">
              <w:rPr>
                <w:b/>
                <w:szCs w:val="24"/>
              </w:rPr>
              <w:t>Sig.</w:t>
            </w:r>
          </w:p>
        </w:tc>
      </w:tr>
      <w:tr w:rsidR="00F111A2" w:rsidRPr="002B4648" w14:paraId="2E3AC3E1" w14:textId="77777777" w:rsidTr="00572115">
        <w:tc>
          <w:tcPr>
            <w:tcW w:w="2413" w:type="dxa"/>
            <w:shd w:val="clear" w:color="auto" w:fill="auto"/>
          </w:tcPr>
          <w:p w14:paraId="1CACD0AF" w14:textId="77777777" w:rsidR="00F111A2" w:rsidRPr="00DB32C9" w:rsidRDefault="00F111A2" w:rsidP="009F6D2D">
            <w:pPr>
              <w:spacing w:before="0" w:line="240" w:lineRule="auto"/>
              <w:rPr>
                <w:szCs w:val="24"/>
              </w:rPr>
            </w:pPr>
            <w:r w:rsidRPr="00DB32C9">
              <w:rPr>
                <w:szCs w:val="24"/>
              </w:rPr>
              <w:t>Tax Literacy</w:t>
            </w:r>
          </w:p>
        </w:tc>
        <w:tc>
          <w:tcPr>
            <w:tcW w:w="2118" w:type="dxa"/>
            <w:shd w:val="clear" w:color="auto" w:fill="auto"/>
          </w:tcPr>
          <w:p w14:paraId="2CCE8884" w14:textId="77777777" w:rsidR="00F111A2" w:rsidRPr="00DB32C9" w:rsidRDefault="00F111A2" w:rsidP="009F6D2D">
            <w:pPr>
              <w:spacing w:before="0" w:line="240" w:lineRule="auto"/>
              <w:rPr>
                <w:szCs w:val="24"/>
              </w:rPr>
            </w:pPr>
            <w:r>
              <w:rPr>
                <w:szCs w:val="24"/>
              </w:rPr>
              <w:t>0.080</w:t>
            </w:r>
          </w:p>
        </w:tc>
        <w:tc>
          <w:tcPr>
            <w:tcW w:w="1560" w:type="dxa"/>
          </w:tcPr>
          <w:p w14:paraId="0A57F99C" w14:textId="77777777" w:rsidR="00F111A2" w:rsidRPr="00DB32C9" w:rsidRDefault="00F111A2" w:rsidP="009F6D2D">
            <w:pPr>
              <w:spacing w:before="0" w:line="240" w:lineRule="auto"/>
              <w:rPr>
                <w:szCs w:val="24"/>
              </w:rPr>
            </w:pPr>
            <w:r>
              <w:rPr>
                <w:szCs w:val="24"/>
              </w:rPr>
              <w:t>210</w:t>
            </w:r>
          </w:p>
        </w:tc>
        <w:tc>
          <w:tcPr>
            <w:tcW w:w="1560" w:type="dxa"/>
            <w:shd w:val="clear" w:color="auto" w:fill="auto"/>
          </w:tcPr>
          <w:p w14:paraId="6C0F9E5A" w14:textId="77777777" w:rsidR="00F111A2" w:rsidRPr="00DB32C9" w:rsidRDefault="00F111A2" w:rsidP="009F6D2D">
            <w:pPr>
              <w:spacing w:before="0" w:line="240" w:lineRule="auto"/>
              <w:rPr>
                <w:szCs w:val="24"/>
              </w:rPr>
            </w:pPr>
            <w:r>
              <w:t xml:space="preserve">0.074 </w:t>
            </w:r>
          </w:p>
        </w:tc>
      </w:tr>
      <w:tr w:rsidR="00F111A2" w:rsidRPr="002B4648" w14:paraId="78159009" w14:textId="77777777" w:rsidTr="00572115">
        <w:tc>
          <w:tcPr>
            <w:tcW w:w="2413" w:type="dxa"/>
            <w:shd w:val="clear" w:color="auto" w:fill="auto"/>
          </w:tcPr>
          <w:p w14:paraId="1F7958D8" w14:textId="77777777" w:rsidR="00F111A2" w:rsidRPr="00DB32C9" w:rsidRDefault="00F111A2" w:rsidP="009F6D2D">
            <w:pPr>
              <w:spacing w:before="0" w:line="240" w:lineRule="auto"/>
              <w:rPr>
                <w:szCs w:val="24"/>
              </w:rPr>
            </w:pPr>
            <w:r w:rsidRPr="00DB32C9">
              <w:rPr>
                <w:szCs w:val="24"/>
              </w:rPr>
              <w:t>Tax Awareness</w:t>
            </w:r>
          </w:p>
        </w:tc>
        <w:tc>
          <w:tcPr>
            <w:tcW w:w="2118" w:type="dxa"/>
            <w:shd w:val="clear" w:color="auto" w:fill="auto"/>
          </w:tcPr>
          <w:p w14:paraId="0D522299" w14:textId="77777777" w:rsidR="00F111A2" w:rsidRPr="00DB32C9" w:rsidRDefault="00F111A2" w:rsidP="009F6D2D">
            <w:pPr>
              <w:spacing w:before="0" w:line="240" w:lineRule="auto"/>
              <w:rPr>
                <w:szCs w:val="24"/>
              </w:rPr>
            </w:pPr>
            <w:r>
              <w:rPr>
                <w:szCs w:val="24"/>
              </w:rPr>
              <w:t>0.078</w:t>
            </w:r>
          </w:p>
        </w:tc>
        <w:tc>
          <w:tcPr>
            <w:tcW w:w="1560" w:type="dxa"/>
          </w:tcPr>
          <w:p w14:paraId="2306100A" w14:textId="77777777" w:rsidR="00F111A2" w:rsidRPr="00DB32C9" w:rsidRDefault="00F111A2" w:rsidP="009F6D2D">
            <w:pPr>
              <w:spacing w:before="0" w:line="240" w:lineRule="auto"/>
              <w:rPr>
                <w:szCs w:val="24"/>
              </w:rPr>
            </w:pPr>
            <w:r>
              <w:rPr>
                <w:szCs w:val="24"/>
              </w:rPr>
              <w:t>210</w:t>
            </w:r>
          </w:p>
        </w:tc>
        <w:tc>
          <w:tcPr>
            <w:tcW w:w="1560" w:type="dxa"/>
            <w:shd w:val="clear" w:color="auto" w:fill="auto"/>
          </w:tcPr>
          <w:p w14:paraId="3AA21BE9" w14:textId="77777777" w:rsidR="00F111A2" w:rsidRPr="00DB32C9" w:rsidRDefault="00F111A2" w:rsidP="009F6D2D">
            <w:pPr>
              <w:spacing w:before="0" w:line="240" w:lineRule="auto"/>
              <w:rPr>
                <w:szCs w:val="24"/>
              </w:rPr>
            </w:pPr>
            <w:r>
              <w:t>0.065</w:t>
            </w:r>
          </w:p>
        </w:tc>
      </w:tr>
      <w:tr w:rsidR="00F111A2" w:rsidRPr="002B4648" w14:paraId="07D2F300" w14:textId="77777777" w:rsidTr="00572115">
        <w:tc>
          <w:tcPr>
            <w:tcW w:w="2413" w:type="dxa"/>
            <w:shd w:val="clear" w:color="auto" w:fill="auto"/>
          </w:tcPr>
          <w:p w14:paraId="6E4393AA" w14:textId="77777777" w:rsidR="00F111A2" w:rsidRPr="00DB32C9" w:rsidRDefault="00F111A2" w:rsidP="009F6D2D">
            <w:pPr>
              <w:spacing w:before="0" w:line="240" w:lineRule="auto"/>
              <w:rPr>
                <w:szCs w:val="24"/>
              </w:rPr>
            </w:pPr>
            <w:r w:rsidRPr="00DB32C9">
              <w:rPr>
                <w:szCs w:val="24"/>
              </w:rPr>
              <w:t>Cost Acceptance</w:t>
            </w:r>
          </w:p>
        </w:tc>
        <w:tc>
          <w:tcPr>
            <w:tcW w:w="2118" w:type="dxa"/>
            <w:shd w:val="clear" w:color="auto" w:fill="auto"/>
          </w:tcPr>
          <w:p w14:paraId="3184DE44" w14:textId="77777777" w:rsidR="00F111A2" w:rsidRPr="00DB32C9" w:rsidRDefault="00F111A2" w:rsidP="009F6D2D">
            <w:pPr>
              <w:spacing w:before="0" w:line="240" w:lineRule="auto"/>
              <w:rPr>
                <w:szCs w:val="24"/>
              </w:rPr>
            </w:pPr>
            <w:r>
              <w:rPr>
                <w:szCs w:val="24"/>
              </w:rPr>
              <w:t>0.821</w:t>
            </w:r>
          </w:p>
        </w:tc>
        <w:tc>
          <w:tcPr>
            <w:tcW w:w="1560" w:type="dxa"/>
          </w:tcPr>
          <w:p w14:paraId="514F93C5" w14:textId="77777777" w:rsidR="00F111A2" w:rsidRPr="00DB32C9" w:rsidRDefault="00F111A2" w:rsidP="009F6D2D">
            <w:pPr>
              <w:spacing w:before="0" w:line="240" w:lineRule="auto"/>
              <w:rPr>
                <w:szCs w:val="24"/>
              </w:rPr>
            </w:pPr>
            <w:r>
              <w:rPr>
                <w:szCs w:val="24"/>
              </w:rPr>
              <w:t>210</w:t>
            </w:r>
          </w:p>
        </w:tc>
        <w:tc>
          <w:tcPr>
            <w:tcW w:w="1560" w:type="dxa"/>
            <w:shd w:val="clear" w:color="auto" w:fill="auto"/>
          </w:tcPr>
          <w:p w14:paraId="74E4C7D3" w14:textId="77777777" w:rsidR="00F111A2" w:rsidRPr="00DB32C9" w:rsidRDefault="00F111A2" w:rsidP="009F6D2D">
            <w:pPr>
              <w:spacing w:before="0" w:line="240" w:lineRule="auto"/>
              <w:rPr>
                <w:szCs w:val="24"/>
              </w:rPr>
            </w:pPr>
            <w:r>
              <w:rPr>
                <w:szCs w:val="24"/>
              </w:rPr>
              <w:t>0.062</w:t>
            </w:r>
          </w:p>
        </w:tc>
      </w:tr>
      <w:tr w:rsidR="00F111A2" w:rsidRPr="002B4648" w14:paraId="14921058" w14:textId="77777777" w:rsidTr="00572115">
        <w:tc>
          <w:tcPr>
            <w:tcW w:w="2413" w:type="dxa"/>
            <w:shd w:val="clear" w:color="auto" w:fill="auto"/>
          </w:tcPr>
          <w:p w14:paraId="42C0F887" w14:textId="77777777" w:rsidR="00F111A2" w:rsidRPr="00DB32C9" w:rsidRDefault="00F111A2" w:rsidP="009F6D2D">
            <w:pPr>
              <w:spacing w:before="0" w:line="240" w:lineRule="auto"/>
              <w:rPr>
                <w:szCs w:val="24"/>
              </w:rPr>
            </w:pPr>
            <w:r w:rsidRPr="00DB32C9">
              <w:rPr>
                <w:szCs w:val="24"/>
              </w:rPr>
              <w:t>Tax Rate Fee</w:t>
            </w:r>
          </w:p>
        </w:tc>
        <w:tc>
          <w:tcPr>
            <w:tcW w:w="2118" w:type="dxa"/>
            <w:shd w:val="clear" w:color="auto" w:fill="auto"/>
          </w:tcPr>
          <w:p w14:paraId="000B2F5C" w14:textId="77777777" w:rsidR="00F111A2" w:rsidRPr="00DB32C9" w:rsidRDefault="00F111A2" w:rsidP="009F6D2D">
            <w:pPr>
              <w:spacing w:before="0" w:line="240" w:lineRule="auto"/>
              <w:rPr>
                <w:szCs w:val="24"/>
              </w:rPr>
            </w:pPr>
            <w:r>
              <w:rPr>
                <w:szCs w:val="24"/>
              </w:rPr>
              <w:t>0.0837</w:t>
            </w:r>
          </w:p>
        </w:tc>
        <w:tc>
          <w:tcPr>
            <w:tcW w:w="1560" w:type="dxa"/>
          </w:tcPr>
          <w:p w14:paraId="48248781" w14:textId="77777777" w:rsidR="00F111A2" w:rsidRPr="00DB32C9" w:rsidRDefault="00F111A2" w:rsidP="009F6D2D">
            <w:pPr>
              <w:spacing w:before="0" w:line="240" w:lineRule="auto"/>
              <w:rPr>
                <w:szCs w:val="24"/>
              </w:rPr>
            </w:pPr>
            <w:r>
              <w:rPr>
                <w:szCs w:val="24"/>
              </w:rPr>
              <w:t>210</w:t>
            </w:r>
          </w:p>
        </w:tc>
        <w:tc>
          <w:tcPr>
            <w:tcW w:w="1560" w:type="dxa"/>
            <w:shd w:val="clear" w:color="auto" w:fill="auto"/>
          </w:tcPr>
          <w:p w14:paraId="3C6F4AB7" w14:textId="77777777" w:rsidR="00F111A2" w:rsidRPr="00DB32C9" w:rsidRDefault="00F111A2" w:rsidP="009F6D2D">
            <w:pPr>
              <w:spacing w:before="0" w:line="240" w:lineRule="auto"/>
              <w:rPr>
                <w:szCs w:val="24"/>
              </w:rPr>
            </w:pPr>
            <w:r>
              <w:rPr>
                <w:szCs w:val="24"/>
              </w:rPr>
              <w:t>0.072</w:t>
            </w:r>
          </w:p>
        </w:tc>
      </w:tr>
      <w:tr w:rsidR="00F111A2" w:rsidRPr="002B4648" w14:paraId="782FDEDB" w14:textId="77777777" w:rsidTr="00572115">
        <w:tc>
          <w:tcPr>
            <w:tcW w:w="2413" w:type="dxa"/>
            <w:shd w:val="clear" w:color="auto" w:fill="auto"/>
          </w:tcPr>
          <w:p w14:paraId="4289CCD8" w14:textId="77777777" w:rsidR="00F111A2" w:rsidRPr="00DB32C9" w:rsidRDefault="00F111A2" w:rsidP="009F6D2D">
            <w:pPr>
              <w:spacing w:before="0" w:line="240" w:lineRule="auto"/>
              <w:rPr>
                <w:szCs w:val="24"/>
              </w:rPr>
            </w:pPr>
            <w:r w:rsidRPr="00DB32C9">
              <w:rPr>
                <w:szCs w:val="24"/>
              </w:rPr>
              <w:t>Residential Income Tax Compliance</w:t>
            </w:r>
          </w:p>
        </w:tc>
        <w:tc>
          <w:tcPr>
            <w:tcW w:w="2118" w:type="dxa"/>
            <w:shd w:val="clear" w:color="auto" w:fill="auto"/>
          </w:tcPr>
          <w:p w14:paraId="3B84623F" w14:textId="77777777" w:rsidR="00F111A2" w:rsidRPr="00DB32C9" w:rsidRDefault="00F111A2" w:rsidP="009F6D2D">
            <w:pPr>
              <w:spacing w:before="0" w:line="240" w:lineRule="auto"/>
              <w:rPr>
                <w:szCs w:val="24"/>
              </w:rPr>
            </w:pPr>
            <w:r>
              <w:rPr>
                <w:szCs w:val="24"/>
              </w:rPr>
              <w:t>0.8372</w:t>
            </w:r>
          </w:p>
        </w:tc>
        <w:tc>
          <w:tcPr>
            <w:tcW w:w="1560" w:type="dxa"/>
          </w:tcPr>
          <w:p w14:paraId="60B9D451" w14:textId="77777777" w:rsidR="00F111A2" w:rsidRPr="00DB32C9" w:rsidRDefault="00F111A2" w:rsidP="009F6D2D">
            <w:pPr>
              <w:spacing w:before="0" w:line="240" w:lineRule="auto"/>
              <w:rPr>
                <w:szCs w:val="24"/>
              </w:rPr>
            </w:pPr>
            <w:r>
              <w:rPr>
                <w:szCs w:val="24"/>
              </w:rPr>
              <w:t>210</w:t>
            </w:r>
          </w:p>
        </w:tc>
        <w:tc>
          <w:tcPr>
            <w:tcW w:w="1560" w:type="dxa"/>
            <w:shd w:val="clear" w:color="auto" w:fill="auto"/>
          </w:tcPr>
          <w:p w14:paraId="54130190" w14:textId="77777777" w:rsidR="00F111A2" w:rsidRPr="00DB32C9" w:rsidRDefault="00F111A2" w:rsidP="009F6D2D">
            <w:pPr>
              <w:spacing w:before="0" w:line="240" w:lineRule="auto"/>
              <w:rPr>
                <w:szCs w:val="24"/>
              </w:rPr>
            </w:pPr>
            <w:r>
              <w:rPr>
                <w:szCs w:val="24"/>
              </w:rPr>
              <w:t>0.068</w:t>
            </w:r>
          </w:p>
        </w:tc>
      </w:tr>
    </w:tbl>
    <w:p w14:paraId="5F8566D3" w14:textId="77777777" w:rsidR="00F111A2" w:rsidRDefault="00F111A2" w:rsidP="00505972">
      <w:pPr>
        <w:spacing w:line="240" w:lineRule="auto"/>
        <w:rPr>
          <w:rFonts w:eastAsia="Times New Roman" w:cs="Times New Roman"/>
          <w:b/>
          <w:szCs w:val="24"/>
        </w:rPr>
      </w:pPr>
      <w:r>
        <w:rPr>
          <w:rFonts w:eastAsia="Times New Roman" w:cs="Times New Roman"/>
          <w:b/>
          <w:szCs w:val="24"/>
        </w:rPr>
        <w:t>Source (Researcher 2025)</w:t>
      </w:r>
    </w:p>
    <w:p w14:paraId="69C0097B" w14:textId="334187B0" w:rsidR="00F111A2" w:rsidRDefault="00323D68" w:rsidP="00505972">
      <w:pPr>
        <w:spacing w:line="240" w:lineRule="auto"/>
        <w:rPr>
          <w:b/>
          <w:bCs/>
        </w:rPr>
      </w:pPr>
      <w:r w:rsidRPr="00323D68">
        <w:rPr>
          <w:b/>
          <w:bCs/>
        </w:rPr>
        <w:t>Hausmann Test</w:t>
      </w:r>
    </w:p>
    <w:p w14:paraId="7BAAFC6A" w14:textId="20235AD2" w:rsidR="00323D68" w:rsidRPr="00323D68" w:rsidRDefault="00323D68" w:rsidP="00505972">
      <w:pPr>
        <w:spacing w:line="240" w:lineRule="auto"/>
      </w:pPr>
      <w:r w:rsidRPr="00323D68">
        <w:t>The Hausman test was conducted to determine the appropriate model for evaluating the relationship between tax literacy, tax awareness, cost acceptance, and tax rates on residential income tax adherence. With a p-value of 0.6310 exceeding 0.05, the null hypothesis was not rejected, confirming the random effects model as the best fit.</w:t>
      </w:r>
    </w:p>
    <w:p w14:paraId="6C4E3098" w14:textId="251DFB4A" w:rsidR="00323D68" w:rsidRPr="000138B3" w:rsidRDefault="00323D68" w:rsidP="00505972">
      <w:pPr>
        <w:spacing w:line="240" w:lineRule="auto"/>
        <w:rPr>
          <w:rFonts w:eastAsia="Times New Roman" w:cs="Times New Roman"/>
          <w:b/>
          <w:szCs w:val="24"/>
        </w:rPr>
      </w:pPr>
      <w:bookmarkStart w:id="4" w:name="_Toc188443283"/>
      <w:r>
        <w:rPr>
          <w:rFonts w:eastAsia="Times New Roman" w:cs="Times New Roman"/>
          <w:b/>
          <w:szCs w:val="24"/>
        </w:rPr>
        <w:t>Table 4</w:t>
      </w:r>
      <w:r w:rsidRPr="000138B3">
        <w:rPr>
          <w:rFonts w:eastAsia="Times New Roman" w:cs="Times New Roman"/>
          <w:b/>
          <w:szCs w:val="24"/>
        </w:rPr>
        <w:t xml:space="preserve"> Coefficients</w:t>
      </w:r>
      <w:bookmarkEnd w:id="4"/>
    </w:p>
    <w:tbl>
      <w:tblPr>
        <w:tblW w:w="0" w:type="auto"/>
        <w:tblBorders>
          <w:top w:val="single" w:sz="4" w:space="0" w:color="7F7F7F"/>
          <w:bottom w:val="single" w:sz="4" w:space="0" w:color="7F7F7F"/>
        </w:tblBorders>
        <w:tblLook w:val="04A0" w:firstRow="1" w:lastRow="0" w:firstColumn="1" w:lastColumn="0" w:noHBand="0" w:noVBand="1"/>
      </w:tblPr>
      <w:tblGrid>
        <w:gridCol w:w="2059"/>
        <w:gridCol w:w="1379"/>
        <w:gridCol w:w="1530"/>
        <w:gridCol w:w="1530"/>
        <w:gridCol w:w="2970"/>
      </w:tblGrid>
      <w:tr w:rsidR="00323D68" w:rsidRPr="002C3A2F" w14:paraId="0968541C" w14:textId="77777777" w:rsidTr="00572115">
        <w:tc>
          <w:tcPr>
            <w:tcW w:w="2059" w:type="dxa"/>
            <w:tcBorders>
              <w:bottom w:val="single" w:sz="4" w:space="0" w:color="7F7F7F"/>
            </w:tcBorders>
            <w:shd w:val="clear" w:color="auto" w:fill="auto"/>
          </w:tcPr>
          <w:p w14:paraId="0EAB36D3" w14:textId="77777777" w:rsidR="00323D68" w:rsidRPr="002C3A2F" w:rsidRDefault="00323D68" w:rsidP="009F6D2D">
            <w:pPr>
              <w:spacing w:before="0" w:line="240" w:lineRule="auto"/>
              <w:rPr>
                <w:b/>
                <w:bCs/>
                <w:szCs w:val="24"/>
              </w:rPr>
            </w:pPr>
          </w:p>
        </w:tc>
        <w:tc>
          <w:tcPr>
            <w:tcW w:w="1379" w:type="dxa"/>
            <w:tcBorders>
              <w:bottom w:val="single" w:sz="4" w:space="0" w:color="7F7F7F"/>
            </w:tcBorders>
            <w:shd w:val="clear" w:color="auto" w:fill="auto"/>
          </w:tcPr>
          <w:p w14:paraId="5962FD04" w14:textId="77777777" w:rsidR="00323D68" w:rsidRPr="002C3A2F" w:rsidRDefault="00323D68" w:rsidP="009F6D2D">
            <w:pPr>
              <w:spacing w:before="0" w:line="240" w:lineRule="auto"/>
              <w:rPr>
                <w:b/>
                <w:bCs/>
                <w:szCs w:val="24"/>
              </w:rPr>
            </w:pPr>
            <w:r w:rsidRPr="002C3A2F">
              <w:rPr>
                <w:b/>
                <w:bCs/>
                <w:szCs w:val="24"/>
              </w:rPr>
              <w:t>(b)</w:t>
            </w:r>
          </w:p>
        </w:tc>
        <w:tc>
          <w:tcPr>
            <w:tcW w:w="1530" w:type="dxa"/>
            <w:tcBorders>
              <w:bottom w:val="single" w:sz="4" w:space="0" w:color="7F7F7F"/>
            </w:tcBorders>
            <w:shd w:val="clear" w:color="auto" w:fill="auto"/>
          </w:tcPr>
          <w:p w14:paraId="45915D6B" w14:textId="77777777" w:rsidR="00323D68" w:rsidRPr="002C3A2F" w:rsidRDefault="00323D68" w:rsidP="009F6D2D">
            <w:pPr>
              <w:spacing w:before="0" w:line="240" w:lineRule="auto"/>
              <w:rPr>
                <w:b/>
                <w:bCs/>
                <w:szCs w:val="24"/>
              </w:rPr>
            </w:pPr>
            <w:r w:rsidRPr="002C3A2F">
              <w:rPr>
                <w:b/>
                <w:bCs/>
                <w:szCs w:val="24"/>
              </w:rPr>
              <w:t>(B)</w:t>
            </w:r>
          </w:p>
        </w:tc>
        <w:tc>
          <w:tcPr>
            <w:tcW w:w="1530" w:type="dxa"/>
            <w:tcBorders>
              <w:bottom w:val="single" w:sz="4" w:space="0" w:color="7F7F7F"/>
            </w:tcBorders>
            <w:shd w:val="clear" w:color="auto" w:fill="auto"/>
          </w:tcPr>
          <w:p w14:paraId="74B998FA" w14:textId="77777777" w:rsidR="00323D68" w:rsidRPr="002C3A2F" w:rsidRDefault="00323D68" w:rsidP="009F6D2D">
            <w:pPr>
              <w:spacing w:before="0" w:line="240" w:lineRule="auto"/>
              <w:rPr>
                <w:b/>
                <w:bCs/>
                <w:szCs w:val="24"/>
              </w:rPr>
            </w:pPr>
            <w:r w:rsidRPr="002C3A2F">
              <w:rPr>
                <w:b/>
                <w:bCs/>
                <w:szCs w:val="24"/>
              </w:rPr>
              <w:t>(b-B)</w:t>
            </w:r>
          </w:p>
        </w:tc>
        <w:tc>
          <w:tcPr>
            <w:tcW w:w="2970" w:type="dxa"/>
            <w:tcBorders>
              <w:bottom w:val="single" w:sz="4" w:space="0" w:color="7F7F7F"/>
            </w:tcBorders>
            <w:shd w:val="clear" w:color="auto" w:fill="auto"/>
          </w:tcPr>
          <w:p w14:paraId="0F2E9720" w14:textId="77777777" w:rsidR="00323D68" w:rsidRPr="002C3A2F" w:rsidRDefault="00323D68" w:rsidP="009F6D2D">
            <w:pPr>
              <w:spacing w:before="0" w:line="240" w:lineRule="auto"/>
              <w:rPr>
                <w:b/>
                <w:bCs/>
                <w:szCs w:val="24"/>
              </w:rPr>
            </w:pPr>
            <w:r w:rsidRPr="002C3A2F">
              <w:rPr>
                <w:b/>
                <w:bCs/>
                <w:szCs w:val="24"/>
              </w:rPr>
              <w:t>Sqrt(diag(V_b-V_B))</w:t>
            </w:r>
          </w:p>
        </w:tc>
      </w:tr>
      <w:tr w:rsidR="00323D68" w:rsidRPr="002C3A2F" w14:paraId="21EBC37E" w14:textId="77777777" w:rsidTr="00572115">
        <w:tc>
          <w:tcPr>
            <w:tcW w:w="2059" w:type="dxa"/>
            <w:tcBorders>
              <w:top w:val="single" w:sz="4" w:space="0" w:color="7F7F7F"/>
              <w:bottom w:val="single" w:sz="4" w:space="0" w:color="7F7F7F"/>
            </w:tcBorders>
            <w:shd w:val="clear" w:color="auto" w:fill="auto"/>
          </w:tcPr>
          <w:p w14:paraId="026F7378" w14:textId="77777777" w:rsidR="00323D68" w:rsidRPr="002C3A2F" w:rsidRDefault="00323D68" w:rsidP="009F6D2D">
            <w:pPr>
              <w:spacing w:before="0" w:line="240" w:lineRule="auto"/>
              <w:rPr>
                <w:b/>
                <w:bCs/>
                <w:szCs w:val="24"/>
              </w:rPr>
            </w:pPr>
          </w:p>
        </w:tc>
        <w:tc>
          <w:tcPr>
            <w:tcW w:w="1379" w:type="dxa"/>
            <w:tcBorders>
              <w:top w:val="single" w:sz="4" w:space="0" w:color="7F7F7F"/>
              <w:bottom w:val="single" w:sz="4" w:space="0" w:color="7F7F7F"/>
            </w:tcBorders>
            <w:shd w:val="clear" w:color="auto" w:fill="auto"/>
          </w:tcPr>
          <w:p w14:paraId="08AD660A" w14:textId="77777777" w:rsidR="00323D68" w:rsidRPr="002C3A2F" w:rsidRDefault="00323D68" w:rsidP="009F6D2D">
            <w:pPr>
              <w:spacing w:before="0" w:line="240" w:lineRule="auto"/>
              <w:rPr>
                <w:szCs w:val="24"/>
              </w:rPr>
            </w:pPr>
            <w:r w:rsidRPr="002C3A2F">
              <w:rPr>
                <w:szCs w:val="24"/>
              </w:rPr>
              <w:t>Fe</w:t>
            </w:r>
          </w:p>
        </w:tc>
        <w:tc>
          <w:tcPr>
            <w:tcW w:w="1530" w:type="dxa"/>
            <w:tcBorders>
              <w:top w:val="single" w:sz="4" w:space="0" w:color="7F7F7F"/>
              <w:bottom w:val="single" w:sz="4" w:space="0" w:color="7F7F7F"/>
            </w:tcBorders>
            <w:shd w:val="clear" w:color="auto" w:fill="auto"/>
          </w:tcPr>
          <w:p w14:paraId="7F303DE3" w14:textId="77777777" w:rsidR="00323D68" w:rsidRPr="002C3A2F" w:rsidRDefault="00323D68" w:rsidP="009F6D2D">
            <w:pPr>
              <w:spacing w:before="0" w:line="240" w:lineRule="auto"/>
              <w:rPr>
                <w:szCs w:val="24"/>
              </w:rPr>
            </w:pPr>
            <w:r w:rsidRPr="002C3A2F">
              <w:rPr>
                <w:szCs w:val="24"/>
              </w:rPr>
              <w:t>Re</w:t>
            </w:r>
          </w:p>
        </w:tc>
        <w:tc>
          <w:tcPr>
            <w:tcW w:w="1530" w:type="dxa"/>
            <w:tcBorders>
              <w:top w:val="single" w:sz="4" w:space="0" w:color="7F7F7F"/>
              <w:bottom w:val="single" w:sz="4" w:space="0" w:color="7F7F7F"/>
            </w:tcBorders>
            <w:shd w:val="clear" w:color="auto" w:fill="auto"/>
          </w:tcPr>
          <w:p w14:paraId="78C31D65" w14:textId="77777777" w:rsidR="00323D68" w:rsidRPr="002C3A2F" w:rsidRDefault="00323D68" w:rsidP="009F6D2D">
            <w:pPr>
              <w:spacing w:before="0" w:line="240" w:lineRule="auto"/>
              <w:rPr>
                <w:szCs w:val="24"/>
              </w:rPr>
            </w:pPr>
            <w:r w:rsidRPr="002C3A2F">
              <w:rPr>
                <w:szCs w:val="24"/>
              </w:rPr>
              <w:t>Difference</w:t>
            </w:r>
          </w:p>
        </w:tc>
        <w:tc>
          <w:tcPr>
            <w:tcW w:w="2970" w:type="dxa"/>
            <w:tcBorders>
              <w:top w:val="single" w:sz="4" w:space="0" w:color="7F7F7F"/>
              <w:bottom w:val="single" w:sz="4" w:space="0" w:color="7F7F7F"/>
            </w:tcBorders>
            <w:shd w:val="clear" w:color="auto" w:fill="auto"/>
          </w:tcPr>
          <w:p w14:paraId="704BAAFE" w14:textId="77777777" w:rsidR="00323D68" w:rsidRPr="002C3A2F" w:rsidRDefault="00323D68" w:rsidP="009F6D2D">
            <w:pPr>
              <w:spacing w:before="0" w:line="240" w:lineRule="auto"/>
              <w:rPr>
                <w:szCs w:val="24"/>
              </w:rPr>
            </w:pPr>
            <w:r w:rsidRPr="002C3A2F">
              <w:rPr>
                <w:szCs w:val="24"/>
              </w:rPr>
              <w:t>S.E</w:t>
            </w:r>
          </w:p>
        </w:tc>
      </w:tr>
      <w:tr w:rsidR="00323D68" w:rsidRPr="00734092" w14:paraId="4F087A94" w14:textId="77777777" w:rsidTr="00572115">
        <w:tc>
          <w:tcPr>
            <w:tcW w:w="2059" w:type="dxa"/>
            <w:shd w:val="clear" w:color="auto" w:fill="auto"/>
          </w:tcPr>
          <w:p w14:paraId="6CB77DEE" w14:textId="77777777" w:rsidR="00323D68" w:rsidRPr="002C3A2F" w:rsidRDefault="00323D68" w:rsidP="009F6D2D">
            <w:pPr>
              <w:spacing w:before="0" w:line="240" w:lineRule="auto"/>
              <w:rPr>
                <w:szCs w:val="24"/>
              </w:rPr>
            </w:pPr>
            <w:r>
              <w:rPr>
                <w:szCs w:val="24"/>
              </w:rPr>
              <w:t>TXL</w:t>
            </w:r>
          </w:p>
        </w:tc>
        <w:tc>
          <w:tcPr>
            <w:tcW w:w="1379" w:type="dxa"/>
            <w:shd w:val="clear" w:color="auto" w:fill="auto"/>
          </w:tcPr>
          <w:p w14:paraId="56670666" w14:textId="77777777" w:rsidR="00323D68" w:rsidRPr="00734092" w:rsidRDefault="00323D68" w:rsidP="009F6D2D">
            <w:pPr>
              <w:spacing w:before="0" w:line="240" w:lineRule="auto"/>
              <w:rPr>
                <w:szCs w:val="24"/>
              </w:rPr>
            </w:pPr>
            <w:r w:rsidRPr="00734092">
              <w:rPr>
                <w:szCs w:val="24"/>
              </w:rPr>
              <w:t>.</w:t>
            </w:r>
            <w:r>
              <w:rPr>
                <w:szCs w:val="24"/>
              </w:rPr>
              <w:t>231145</w:t>
            </w:r>
          </w:p>
        </w:tc>
        <w:tc>
          <w:tcPr>
            <w:tcW w:w="1530" w:type="dxa"/>
            <w:shd w:val="clear" w:color="auto" w:fill="auto"/>
          </w:tcPr>
          <w:p w14:paraId="496D6978" w14:textId="77777777" w:rsidR="00323D68" w:rsidRPr="00734092" w:rsidRDefault="00323D68" w:rsidP="009F6D2D">
            <w:pPr>
              <w:spacing w:before="0" w:line="240" w:lineRule="auto"/>
              <w:rPr>
                <w:szCs w:val="24"/>
              </w:rPr>
            </w:pPr>
            <w:r w:rsidRPr="00734092">
              <w:rPr>
                <w:szCs w:val="24"/>
              </w:rPr>
              <w:t>.</w:t>
            </w:r>
            <w:r>
              <w:rPr>
                <w:szCs w:val="24"/>
              </w:rPr>
              <w:t>366212</w:t>
            </w:r>
          </w:p>
        </w:tc>
        <w:tc>
          <w:tcPr>
            <w:tcW w:w="1530" w:type="dxa"/>
            <w:shd w:val="clear" w:color="auto" w:fill="auto"/>
          </w:tcPr>
          <w:p w14:paraId="05740873" w14:textId="77777777" w:rsidR="00323D68" w:rsidRPr="00734092" w:rsidRDefault="00323D68" w:rsidP="009F6D2D">
            <w:pPr>
              <w:spacing w:before="0" w:line="240" w:lineRule="auto"/>
              <w:rPr>
                <w:szCs w:val="24"/>
              </w:rPr>
            </w:pPr>
            <w:r w:rsidRPr="00734092">
              <w:rPr>
                <w:szCs w:val="24"/>
              </w:rPr>
              <w:t>.</w:t>
            </w:r>
            <w:r>
              <w:rPr>
                <w:szCs w:val="24"/>
              </w:rPr>
              <w:t>366211</w:t>
            </w:r>
          </w:p>
        </w:tc>
        <w:tc>
          <w:tcPr>
            <w:tcW w:w="2970" w:type="dxa"/>
            <w:shd w:val="clear" w:color="auto" w:fill="auto"/>
          </w:tcPr>
          <w:p w14:paraId="4F74CDD0" w14:textId="77777777" w:rsidR="00323D68" w:rsidRPr="00734092" w:rsidRDefault="00323D68" w:rsidP="009F6D2D">
            <w:pPr>
              <w:spacing w:before="0" w:line="240" w:lineRule="auto"/>
              <w:rPr>
                <w:szCs w:val="24"/>
              </w:rPr>
            </w:pPr>
            <w:r w:rsidRPr="00734092">
              <w:rPr>
                <w:szCs w:val="24"/>
              </w:rPr>
              <w:t>.01</w:t>
            </w:r>
            <w:r>
              <w:rPr>
                <w:szCs w:val="24"/>
              </w:rPr>
              <w:t>64</w:t>
            </w:r>
            <w:r w:rsidRPr="00734092">
              <w:rPr>
                <w:szCs w:val="24"/>
              </w:rPr>
              <w:t>452</w:t>
            </w:r>
          </w:p>
        </w:tc>
      </w:tr>
      <w:tr w:rsidR="00323D68" w:rsidRPr="00734092" w14:paraId="082E40BA" w14:textId="77777777" w:rsidTr="00572115">
        <w:tc>
          <w:tcPr>
            <w:tcW w:w="2059" w:type="dxa"/>
            <w:tcBorders>
              <w:top w:val="single" w:sz="4" w:space="0" w:color="7F7F7F"/>
              <w:bottom w:val="single" w:sz="4" w:space="0" w:color="7F7F7F"/>
            </w:tcBorders>
            <w:shd w:val="clear" w:color="auto" w:fill="auto"/>
          </w:tcPr>
          <w:p w14:paraId="13536DB0" w14:textId="77777777" w:rsidR="00323D68" w:rsidRPr="002C3A2F" w:rsidRDefault="00323D68" w:rsidP="009F6D2D">
            <w:pPr>
              <w:spacing w:before="0" w:line="240" w:lineRule="auto"/>
              <w:rPr>
                <w:szCs w:val="24"/>
              </w:rPr>
            </w:pPr>
            <w:r>
              <w:rPr>
                <w:szCs w:val="24"/>
              </w:rPr>
              <w:t>TXA</w:t>
            </w:r>
          </w:p>
        </w:tc>
        <w:tc>
          <w:tcPr>
            <w:tcW w:w="1379" w:type="dxa"/>
            <w:tcBorders>
              <w:top w:val="single" w:sz="4" w:space="0" w:color="7F7F7F"/>
              <w:bottom w:val="single" w:sz="4" w:space="0" w:color="7F7F7F"/>
            </w:tcBorders>
            <w:shd w:val="clear" w:color="auto" w:fill="auto"/>
          </w:tcPr>
          <w:p w14:paraId="02A3BE53" w14:textId="77777777" w:rsidR="00323D68" w:rsidRPr="00734092" w:rsidRDefault="00323D68" w:rsidP="009F6D2D">
            <w:pPr>
              <w:spacing w:before="0" w:line="240" w:lineRule="auto"/>
              <w:rPr>
                <w:szCs w:val="24"/>
              </w:rPr>
            </w:pPr>
            <w:r w:rsidRPr="00734092">
              <w:rPr>
                <w:szCs w:val="24"/>
              </w:rPr>
              <w:t>.</w:t>
            </w:r>
            <w:r>
              <w:rPr>
                <w:szCs w:val="24"/>
              </w:rPr>
              <w:t>3882124</w:t>
            </w:r>
          </w:p>
        </w:tc>
        <w:tc>
          <w:tcPr>
            <w:tcW w:w="1530" w:type="dxa"/>
            <w:tcBorders>
              <w:top w:val="single" w:sz="4" w:space="0" w:color="7F7F7F"/>
              <w:bottom w:val="single" w:sz="4" w:space="0" w:color="7F7F7F"/>
            </w:tcBorders>
            <w:shd w:val="clear" w:color="auto" w:fill="auto"/>
          </w:tcPr>
          <w:p w14:paraId="5EC93145" w14:textId="77777777" w:rsidR="00323D68" w:rsidRPr="00734092" w:rsidRDefault="00323D68" w:rsidP="009F6D2D">
            <w:pPr>
              <w:spacing w:before="0" w:line="240" w:lineRule="auto"/>
              <w:rPr>
                <w:szCs w:val="24"/>
              </w:rPr>
            </w:pPr>
            <w:r w:rsidRPr="00734092">
              <w:rPr>
                <w:szCs w:val="24"/>
              </w:rPr>
              <w:t>.</w:t>
            </w:r>
            <w:r>
              <w:rPr>
                <w:szCs w:val="24"/>
              </w:rPr>
              <w:t>3824122</w:t>
            </w:r>
          </w:p>
        </w:tc>
        <w:tc>
          <w:tcPr>
            <w:tcW w:w="1530" w:type="dxa"/>
            <w:tcBorders>
              <w:top w:val="single" w:sz="4" w:space="0" w:color="7F7F7F"/>
              <w:bottom w:val="single" w:sz="4" w:space="0" w:color="7F7F7F"/>
            </w:tcBorders>
            <w:shd w:val="clear" w:color="auto" w:fill="auto"/>
          </w:tcPr>
          <w:p w14:paraId="677409F8" w14:textId="77777777" w:rsidR="00323D68" w:rsidRPr="00734092" w:rsidRDefault="00323D68" w:rsidP="009F6D2D">
            <w:pPr>
              <w:spacing w:before="0" w:line="240" w:lineRule="auto"/>
              <w:rPr>
                <w:szCs w:val="24"/>
              </w:rPr>
            </w:pPr>
            <w:r w:rsidRPr="00734092">
              <w:rPr>
                <w:szCs w:val="24"/>
              </w:rPr>
              <w:t>.</w:t>
            </w:r>
            <w:r>
              <w:rPr>
                <w:szCs w:val="24"/>
              </w:rPr>
              <w:t>0.00580</w:t>
            </w:r>
          </w:p>
        </w:tc>
        <w:tc>
          <w:tcPr>
            <w:tcW w:w="2970" w:type="dxa"/>
            <w:tcBorders>
              <w:top w:val="single" w:sz="4" w:space="0" w:color="7F7F7F"/>
              <w:bottom w:val="single" w:sz="4" w:space="0" w:color="7F7F7F"/>
            </w:tcBorders>
            <w:shd w:val="clear" w:color="auto" w:fill="auto"/>
          </w:tcPr>
          <w:p w14:paraId="69AF6122" w14:textId="77777777" w:rsidR="00323D68" w:rsidRPr="00734092" w:rsidRDefault="00323D68" w:rsidP="009F6D2D">
            <w:pPr>
              <w:spacing w:before="0" w:line="240" w:lineRule="auto"/>
              <w:rPr>
                <w:szCs w:val="24"/>
              </w:rPr>
            </w:pPr>
            <w:r w:rsidRPr="00734092">
              <w:rPr>
                <w:szCs w:val="24"/>
              </w:rPr>
              <w:t>.03</w:t>
            </w:r>
            <w:r>
              <w:rPr>
                <w:szCs w:val="24"/>
              </w:rPr>
              <w:t>62</w:t>
            </w:r>
            <w:r w:rsidRPr="00734092">
              <w:rPr>
                <w:szCs w:val="24"/>
              </w:rPr>
              <w:t>45</w:t>
            </w:r>
            <w:r>
              <w:rPr>
                <w:szCs w:val="24"/>
              </w:rPr>
              <w:t>1</w:t>
            </w:r>
          </w:p>
        </w:tc>
      </w:tr>
      <w:tr w:rsidR="00323D68" w:rsidRPr="00734092" w14:paraId="13666861" w14:textId="77777777" w:rsidTr="00572115">
        <w:tc>
          <w:tcPr>
            <w:tcW w:w="2059" w:type="dxa"/>
            <w:shd w:val="clear" w:color="auto" w:fill="auto"/>
          </w:tcPr>
          <w:p w14:paraId="7175DE35" w14:textId="77777777" w:rsidR="00323D68" w:rsidRPr="002C3A2F" w:rsidRDefault="00323D68" w:rsidP="009F6D2D">
            <w:pPr>
              <w:spacing w:before="0" w:line="240" w:lineRule="auto"/>
              <w:rPr>
                <w:szCs w:val="24"/>
              </w:rPr>
            </w:pPr>
            <w:r w:rsidRPr="002C3A2F">
              <w:rPr>
                <w:szCs w:val="24"/>
              </w:rPr>
              <w:t>C</w:t>
            </w:r>
            <w:r>
              <w:rPr>
                <w:szCs w:val="24"/>
              </w:rPr>
              <w:t>OA</w:t>
            </w:r>
          </w:p>
        </w:tc>
        <w:tc>
          <w:tcPr>
            <w:tcW w:w="1379" w:type="dxa"/>
            <w:shd w:val="clear" w:color="auto" w:fill="auto"/>
          </w:tcPr>
          <w:p w14:paraId="51DA91C3" w14:textId="77777777" w:rsidR="00323D68" w:rsidRPr="00734092" w:rsidRDefault="00323D68" w:rsidP="009F6D2D">
            <w:pPr>
              <w:spacing w:before="0" w:line="240" w:lineRule="auto"/>
              <w:rPr>
                <w:szCs w:val="24"/>
              </w:rPr>
            </w:pPr>
            <w:r w:rsidRPr="00734092">
              <w:rPr>
                <w:szCs w:val="24"/>
              </w:rPr>
              <w:t>.</w:t>
            </w:r>
            <w:r>
              <w:rPr>
                <w:szCs w:val="24"/>
              </w:rPr>
              <w:t>4825612</w:t>
            </w:r>
          </w:p>
        </w:tc>
        <w:tc>
          <w:tcPr>
            <w:tcW w:w="1530" w:type="dxa"/>
            <w:shd w:val="clear" w:color="auto" w:fill="auto"/>
          </w:tcPr>
          <w:p w14:paraId="4916BF14" w14:textId="77777777" w:rsidR="00323D68" w:rsidRPr="00734092" w:rsidRDefault="00323D68" w:rsidP="009F6D2D">
            <w:pPr>
              <w:spacing w:before="0" w:line="240" w:lineRule="auto"/>
              <w:rPr>
                <w:szCs w:val="24"/>
              </w:rPr>
            </w:pPr>
            <w:r w:rsidRPr="00734092">
              <w:rPr>
                <w:szCs w:val="24"/>
              </w:rPr>
              <w:t>.</w:t>
            </w:r>
            <w:r>
              <w:rPr>
                <w:szCs w:val="24"/>
              </w:rPr>
              <w:t>4412814</w:t>
            </w:r>
          </w:p>
        </w:tc>
        <w:tc>
          <w:tcPr>
            <w:tcW w:w="1530" w:type="dxa"/>
            <w:shd w:val="clear" w:color="auto" w:fill="auto"/>
          </w:tcPr>
          <w:p w14:paraId="08AD48EC" w14:textId="77777777" w:rsidR="00323D68" w:rsidRPr="00734092" w:rsidRDefault="00323D68" w:rsidP="009F6D2D">
            <w:pPr>
              <w:spacing w:before="0" w:line="240" w:lineRule="auto"/>
              <w:rPr>
                <w:szCs w:val="24"/>
              </w:rPr>
            </w:pPr>
            <w:r w:rsidRPr="00734092">
              <w:rPr>
                <w:szCs w:val="24"/>
              </w:rPr>
              <w:t>.00</w:t>
            </w:r>
            <w:r>
              <w:rPr>
                <w:szCs w:val="24"/>
              </w:rPr>
              <w:t>4127</w:t>
            </w:r>
          </w:p>
        </w:tc>
        <w:tc>
          <w:tcPr>
            <w:tcW w:w="2970" w:type="dxa"/>
            <w:shd w:val="clear" w:color="auto" w:fill="auto"/>
          </w:tcPr>
          <w:p w14:paraId="7AD3335D" w14:textId="77777777" w:rsidR="00323D68" w:rsidRPr="00734092" w:rsidRDefault="00323D68" w:rsidP="009F6D2D">
            <w:pPr>
              <w:spacing w:before="0" w:line="240" w:lineRule="auto"/>
              <w:rPr>
                <w:szCs w:val="24"/>
              </w:rPr>
            </w:pPr>
            <w:r w:rsidRPr="00734092">
              <w:rPr>
                <w:szCs w:val="24"/>
              </w:rPr>
              <w:t>.05</w:t>
            </w:r>
            <w:r>
              <w:rPr>
                <w:szCs w:val="24"/>
              </w:rPr>
              <w:t>99</w:t>
            </w:r>
            <w:r w:rsidRPr="00734092">
              <w:rPr>
                <w:szCs w:val="24"/>
              </w:rPr>
              <w:t>28</w:t>
            </w:r>
            <w:r>
              <w:rPr>
                <w:szCs w:val="24"/>
              </w:rPr>
              <w:t>2</w:t>
            </w:r>
          </w:p>
        </w:tc>
      </w:tr>
      <w:tr w:rsidR="00323D68" w:rsidRPr="00734092" w14:paraId="6C6B42B9" w14:textId="77777777" w:rsidTr="00572115">
        <w:tc>
          <w:tcPr>
            <w:tcW w:w="2059" w:type="dxa"/>
            <w:tcBorders>
              <w:top w:val="single" w:sz="4" w:space="0" w:color="7F7F7F"/>
              <w:bottom w:val="single" w:sz="4" w:space="0" w:color="7F7F7F"/>
            </w:tcBorders>
            <w:shd w:val="clear" w:color="auto" w:fill="auto"/>
          </w:tcPr>
          <w:p w14:paraId="5ABF12CD" w14:textId="77777777" w:rsidR="00323D68" w:rsidRPr="002C3A2F" w:rsidRDefault="00323D68" w:rsidP="009F6D2D">
            <w:pPr>
              <w:spacing w:before="0" w:line="240" w:lineRule="auto"/>
              <w:rPr>
                <w:szCs w:val="24"/>
              </w:rPr>
            </w:pPr>
            <w:r>
              <w:rPr>
                <w:szCs w:val="24"/>
              </w:rPr>
              <w:t>TRF</w:t>
            </w:r>
          </w:p>
        </w:tc>
        <w:tc>
          <w:tcPr>
            <w:tcW w:w="1379" w:type="dxa"/>
            <w:tcBorders>
              <w:top w:val="single" w:sz="4" w:space="0" w:color="7F7F7F"/>
              <w:bottom w:val="single" w:sz="4" w:space="0" w:color="7F7F7F"/>
            </w:tcBorders>
            <w:shd w:val="clear" w:color="auto" w:fill="auto"/>
          </w:tcPr>
          <w:p w14:paraId="6F4119D6" w14:textId="77777777" w:rsidR="00323D68" w:rsidRPr="00734092" w:rsidRDefault="00323D68" w:rsidP="009F6D2D">
            <w:pPr>
              <w:spacing w:before="0" w:line="240" w:lineRule="auto"/>
              <w:rPr>
                <w:szCs w:val="24"/>
              </w:rPr>
            </w:pPr>
            <w:r w:rsidRPr="00734092">
              <w:rPr>
                <w:szCs w:val="24"/>
              </w:rPr>
              <w:t>.</w:t>
            </w:r>
            <w:r>
              <w:rPr>
                <w:szCs w:val="24"/>
              </w:rPr>
              <w:t>413221</w:t>
            </w:r>
          </w:p>
        </w:tc>
        <w:tc>
          <w:tcPr>
            <w:tcW w:w="1530" w:type="dxa"/>
            <w:tcBorders>
              <w:top w:val="single" w:sz="4" w:space="0" w:color="7F7F7F"/>
              <w:bottom w:val="single" w:sz="4" w:space="0" w:color="7F7F7F"/>
            </w:tcBorders>
            <w:shd w:val="clear" w:color="auto" w:fill="auto"/>
          </w:tcPr>
          <w:p w14:paraId="2F891F01" w14:textId="77777777" w:rsidR="00323D68" w:rsidRPr="00734092" w:rsidRDefault="00323D68" w:rsidP="009F6D2D">
            <w:pPr>
              <w:spacing w:before="0" w:line="240" w:lineRule="auto"/>
              <w:rPr>
                <w:szCs w:val="24"/>
              </w:rPr>
            </w:pPr>
            <w:r w:rsidRPr="00734092">
              <w:rPr>
                <w:szCs w:val="24"/>
              </w:rPr>
              <w:t>.</w:t>
            </w:r>
            <w:r>
              <w:rPr>
                <w:szCs w:val="24"/>
              </w:rPr>
              <w:t>4118723</w:t>
            </w:r>
          </w:p>
        </w:tc>
        <w:tc>
          <w:tcPr>
            <w:tcW w:w="1530" w:type="dxa"/>
            <w:tcBorders>
              <w:top w:val="single" w:sz="4" w:space="0" w:color="7F7F7F"/>
              <w:bottom w:val="single" w:sz="4" w:space="0" w:color="7F7F7F"/>
            </w:tcBorders>
            <w:shd w:val="clear" w:color="auto" w:fill="auto"/>
          </w:tcPr>
          <w:p w14:paraId="3A77315F" w14:textId="77777777" w:rsidR="00323D68" w:rsidRPr="00734092" w:rsidRDefault="00323D68" w:rsidP="009F6D2D">
            <w:pPr>
              <w:spacing w:before="0" w:line="240" w:lineRule="auto"/>
              <w:rPr>
                <w:szCs w:val="24"/>
              </w:rPr>
            </w:pPr>
            <w:r w:rsidRPr="00734092">
              <w:rPr>
                <w:szCs w:val="24"/>
              </w:rPr>
              <w:t>.</w:t>
            </w:r>
            <w:r>
              <w:rPr>
                <w:szCs w:val="24"/>
              </w:rPr>
              <w:t>001348</w:t>
            </w:r>
          </w:p>
        </w:tc>
        <w:tc>
          <w:tcPr>
            <w:tcW w:w="2970" w:type="dxa"/>
            <w:tcBorders>
              <w:top w:val="single" w:sz="4" w:space="0" w:color="7F7F7F"/>
              <w:bottom w:val="single" w:sz="4" w:space="0" w:color="7F7F7F"/>
            </w:tcBorders>
            <w:shd w:val="clear" w:color="auto" w:fill="auto"/>
          </w:tcPr>
          <w:p w14:paraId="09ADD258" w14:textId="77777777" w:rsidR="00323D68" w:rsidRPr="00734092" w:rsidRDefault="00323D68" w:rsidP="009F6D2D">
            <w:pPr>
              <w:spacing w:before="0" w:line="240" w:lineRule="auto"/>
              <w:rPr>
                <w:szCs w:val="24"/>
              </w:rPr>
            </w:pPr>
            <w:r w:rsidRPr="00734092">
              <w:rPr>
                <w:szCs w:val="24"/>
              </w:rPr>
              <w:t>.01</w:t>
            </w:r>
            <w:r>
              <w:rPr>
                <w:szCs w:val="24"/>
              </w:rPr>
              <w:t>72</w:t>
            </w:r>
            <w:r w:rsidRPr="00734092">
              <w:rPr>
                <w:szCs w:val="24"/>
              </w:rPr>
              <w:t>748</w:t>
            </w:r>
          </w:p>
        </w:tc>
      </w:tr>
      <w:tr w:rsidR="00323D68" w:rsidRPr="00734092" w14:paraId="63B7F2FB" w14:textId="77777777" w:rsidTr="00572115">
        <w:tc>
          <w:tcPr>
            <w:tcW w:w="2059" w:type="dxa"/>
            <w:tcBorders>
              <w:top w:val="single" w:sz="4" w:space="0" w:color="7F7F7F"/>
              <w:bottom w:val="single" w:sz="4" w:space="0" w:color="7F7F7F"/>
            </w:tcBorders>
            <w:shd w:val="clear" w:color="auto" w:fill="auto"/>
          </w:tcPr>
          <w:p w14:paraId="69EB9B5B" w14:textId="77777777" w:rsidR="00323D68" w:rsidRPr="002C3A2F" w:rsidRDefault="00323D68" w:rsidP="009F6D2D">
            <w:pPr>
              <w:spacing w:before="0" w:line="240" w:lineRule="auto"/>
              <w:rPr>
                <w:szCs w:val="24"/>
              </w:rPr>
            </w:pPr>
            <w:r>
              <w:rPr>
                <w:szCs w:val="24"/>
              </w:rPr>
              <w:t>RITC</w:t>
            </w:r>
          </w:p>
        </w:tc>
        <w:tc>
          <w:tcPr>
            <w:tcW w:w="1379" w:type="dxa"/>
            <w:tcBorders>
              <w:top w:val="single" w:sz="4" w:space="0" w:color="7F7F7F"/>
              <w:bottom w:val="single" w:sz="4" w:space="0" w:color="7F7F7F"/>
            </w:tcBorders>
            <w:shd w:val="clear" w:color="auto" w:fill="auto"/>
          </w:tcPr>
          <w:p w14:paraId="0EB3DE7C" w14:textId="77777777" w:rsidR="00323D68" w:rsidRPr="00734092" w:rsidRDefault="00323D68" w:rsidP="009F6D2D">
            <w:pPr>
              <w:spacing w:before="0" w:line="240" w:lineRule="auto"/>
              <w:rPr>
                <w:szCs w:val="24"/>
              </w:rPr>
            </w:pPr>
            <w:r>
              <w:rPr>
                <w:szCs w:val="24"/>
              </w:rPr>
              <w:t>.391965</w:t>
            </w:r>
          </w:p>
        </w:tc>
        <w:tc>
          <w:tcPr>
            <w:tcW w:w="1530" w:type="dxa"/>
            <w:tcBorders>
              <w:top w:val="single" w:sz="4" w:space="0" w:color="7F7F7F"/>
              <w:bottom w:val="single" w:sz="4" w:space="0" w:color="7F7F7F"/>
            </w:tcBorders>
            <w:shd w:val="clear" w:color="auto" w:fill="auto"/>
          </w:tcPr>
          <w:p w14:paraId="256AE828" w14:textId="77777777" w:rsidR="00323D68" w:rsidRPr="00734092" w:rsidRDefault="00323D68" w:rsidP="009F6D2D">
            <w:pPr>
              <w:spacing w:before="0" w:line="240" w:lineRule="auto"/>
              <w:rPr>
                <w:szCs w:val="24"/>
              </w:rPr>
            </w:pPr>
            <w:r>
              <w:rPr>
                <w:szCs w:val="24"/>
              </w:rPr>
              <w:t>.311545</w:t>
            </w:r>
          </w:p>
        </w:tc>
        <w:tc>
          <w:tcPr>
            <w:tcW w:w="1530" w:type="dxa"/>
            <w:tcBorders>
              <w:top w:val="single" w:sz="4" w:space="0" w:color="7F7F7F"/>
              <w:bottom w:val="single" w:sz="4" w:space="0" w:color="7F7F7F"/>
            </w:tcBorders>
            <w:shd w:val="clear" w:color="auto" w:fill="auto"/>
          </w:tcPr>
          <w:p w14:paraId="11590759" w14:textId="77777777" w:rsidR="00323D68" w:rsidRPr="00734092" w:rsidRDefault="00323D68" w:rsidP="009F6D2D">
            <w:pPr>
              <w:spacing w:before="0" w:line="240" w:lineRule="auto"/>
              <w:rPr>
                <w:szCs w:val="24"/>
              </w:rPr>
            </w:pPr>
            <w:r>
              <w:rPr>
                <w:szCs w:val="24"/>
              </w:rPr>
              <w:t>.080420</w:t>
            </w:r>
          </w:p>
        </w:tc>
        <w:tc>
          <w:tcPr>
            <w:tcW w:w="2970" w:type="dxa"/>
            <w:tcBorders>
              <w:top w:val="single" w:sz="4" w:space="0" w:color="7F7F7F"/>
              <w:bottom w:val="single" w:sz="4" w:space="0" w:color="7F7F7F"/>
            </w:tcBorders>
            <w:shd w:val="clear" w:color="auto" w:fill="auto"/>
          </w:tcPr>
          <w:p w14:paraId="1F7B9961" w14:textId="77777777" w:rsidR="00323D68" w:rsidRPr="00734092" w:rsidRDefault="00323D68" w:rsidP="009F6D2D">
            <w:pPr>
              <w:spacing w:before="0" w:line="240" w:lineRule="auto"/>
              <w:rPr>
                <w:szCs w:val="24"/>
              </w:rPr>
            </w:pPr>
            <w:r>
              <w:rPr>
                <w:szCs w:val="24"/>
              </w:rPr>
              <w:t>.0366453</w:t>
            </w:r>
          </w:p>
        </w:tc>
      </w:tr>
      <w:tr w:rsidR="00323D68" w:rsidRPr="00734092" w14:paraId="033B77B3" w14:textId="77777777" w:rsidTr="00572115">
        <w:tc>
          <w:tcPr>
            <w:tcW w:w="2059" w:type="dxa"/>
            <w:tcBorders>
              <w:top w:val="single" w:sz="4" w:space="0" w:color="7F7F7F"/>
              <w:bottom w:val="single" w:sz="4" w:space="0" w:color="7F7F7F"/>
            </w:tcBorders>
            <w:shd w:val="clear" w:color="auto" w:fill="auto"/>
          </w:tcPr>
          <w:p w14:paraId="22F171BC" w14:textId="77777777" w:rsidR="00323D68" w:rsidRDefault="00323D68" w:rsidP="009F6D2D">
            <w:pPr>
              <w:spacing w:before="0" w:line="240" w:lineRule="auto"/>
              <w:rPr>
                <w:szCs w:val="24"/>
              </w:rPr>
            </w:pPr>
            <w:r>
              <w:rPr>
                <w:szCs w:val="24"/>
              </w:rPr>
              <w:t xml:space="preserve">chi2 </w:t>
            </w:r>
            <w:r>
              <w:rPr>
                <w:szCs w:val="24"/>
              </w:rPr>
              <w:tab/>
              <w:t xml:space="preserve"> = 0.82</w:t>
            </w:r>
          </w:p>
        </w:tc>
        <w:tc>
          <w:tcPr>
            <w:tcW w:w="1379" w:type="dxa"/>
            <w:tcBorders>
              <w:top w:val="single" w:sz="4" w:space="0" w:color="7F7F7F"/>
              <w:bottom w:val="single" w:sz="4" w:space="0" w:color="7F7F7F"/>
            </w:tcBorders>
            <w:shd w:val="clear" w:color="auto" w:fill="auto"/>
          </w:tcPr>
          <w:p w14:paraId="23A4F804" w14:textId="77777777" w:rsidR="00323D68" w:rsidRDefault="00323D68" w:rsidP="009F6D2D">
            <w:pPr>
              <w:spacing w:before="0" w:line="240" w:lineRule="auto"/>
              <w:rPr>
                <w:szCs w:val="24"/>
              </w:rPr>
            </w:pPr>
          </w:p>
        </w:tc>
        <w:tc>
          <w:tcPr>
            <w:tcW w:w="1530" w:type="dxa"/>
            <w:tcBorders>
              <w:top w:val="single" w:sz="4" w:space="0" w:color="7F7F7F"/>
              <w:bottom w:val="single" w:sz="4" w:space="0" w:color="7F7F7F"/>
            </w:tcBorders>
            <w:shd w:val="clear" w:color="auto" w:fill="auto"/>
          </w:tcPr>
          <w:p w14:paraId="0ACB6635" w14:textId="77777777" w:rsidR="00323D68" w:rsidRDefault="00323D68" w:rsidP="009F6D2D">
            <w:pPr>
              <w:spacing w:before="0" w:line="240" w:lineRule="auto"/>
              <w:rPr>
                <w:szCs w:val="24"/>
              </w:rPr>
            </w:pPr>
          </w:p>
        </w:tc>
        <w:tc>
          <w:tcPr>
            <w:tcW w:w="1530" w:type="dxa"/>
            <w:tcBorders>
              <w:top w:val="single" w:sz="4" w:space="0" w:color="7F7F7F"/>
              <w:bottom w:val="single" w:sz="4" w:space="0" w:color="7F7F7F"/>
            </w:tcBorders>
            <w:shd w:val="clear" w:color="auto" w:fill="auto"/>
          </w:tcPr>
          <w:p w14:paraId="381CADEF" w14:textId="77777777" w:rsidR="00323D68" w:rsidRDefault="00323D68" w:rsidP="009F6D2D">
            <w:pPr>
              <w:spacing w:before="0" w:line="240" w:lineRule="auto"/>
              <w:rPr>
                <w:szCs w:val="24"/>
              </w:rPr>
            </w:pPr>
          </w:p>
        </w:tc>
        <w:tc>
          <w:tcPr>
            <w:tcW w:w="2970" w:type="dxa"/>
            <w:tcBorders>
              <w:top w:val="single" w:sz="4" w:space="0" w:color="7F7F7F"/>
              <w:bottom w:val="single" w:sz="4" w:space="0" w:color="7F7F7F"/>
            </w:tcBorders>
            <w:shd w:val="clear" w:color="auto" w:fill="auto"/>
          </w:tcPr>
          <w:p w14:paraId="3F4989E2" w14:textId="77777777" w:rsidR="00323D68" w:rsidRDefault="00323D68" w:rsidP="009F6D2D">
            <w:pPr>
              <w:spacing w:before="0" w:line="240" w:lineRule="auto"/>
              <w:rPr>
                <w:szCs w:val="24"/>
              </w:rPr>
            </w:pPr>
          </w:p>
        </w:tc>
      </w:tr>
      <w:tr w:rsidR="00323D68" w:rsidRPr="00734092" w14:paraId="1432AF39" w14:textId="77777777" w:rsidTr="00572115">
        <w:tc>
          <w:tcPr>
            <w:tcW w:w="2059" w:type="dxa"/>
            <w:tcBorders>
              <w:top w:val="single" w:sz="4" w:space="0" w:color="7F7F7F"/>
              <w:bottom w:val="single" w:sz="4" w:space="0" w:color="7F7F7F"/>
            </w:tcBorders>
            <w:shd w:val="clear" w:color="auto" w:fill="auto"/>
          </w:tcPr>
          <w:p w14:paraId="1B6BC447" w14:textId="77777777" w:rsidR="00323D68" w:rsidRDefault="00323D68" w:rsidP="009F6D2D">
            <w:pPr>
              <w:spacing w:before="0" w:line="240" w:lineRule="auto"/>
              <w:rPr>
                <w:szCs w:val="24"/>
              </w:rPr>
            </w:pPr>
            <w:r>
              <w:rPr>
                <w:szCs w:val="24"/>
              </w:rPr>
              <w:t>prob &gt; chi2</w:t>
            </w:r>
            <w:r w:rsidRPr="002B4648">
              <w:rPr>
                <w:szCs w:val="24"/>
              </w:rPr>
              <w:t>=</w:t>
            </w:r>
            <w:r>
              <w:rPr>
                <w:szCs w:val="24"/>
              </w:rPr>
              <w:t>0.6310</w:t>
            </w:r>
          </w:p>
        </w:tc>
        <w:tc>
          <w:tcPr>
            <w:tcW w:w="1379" w:type="dxa"/>
            <w:tcBorders>
              <w:top w:val="single" w:sz="4" w:space="0" w:color="7F7F7F"/>
              <w:bottom w:val="single" w:sz="4" w:space="0" w:color="7F7F7F"/>
            </w:tcBorders>
            <w:shd w:val="clear" w:color="auto" w:fill="auto"/>
          </w:tcPr>
          <w:p w14:paraId="10559EC1" w14:textId="77777777" w:rsidR="00323D68" w:rsidRDefault="00323D68" w:rsidP="009F6D2D">
            <w:pPr>
              <w:spacing w:before="0" w:line="240" w:lineRule="auto"/>
              <w:rPr>
                <w:szCs w:val="24"/>
              </w:rPr>
            </w:pPr>
          </w:p>
        </w:tc>
        <w:tc>
          <w:tcPr>
            <w:tcW w:w="1530" w:type="dxa"/>
            <w:tcBorders>
              <w:top w:val="single" w:sz="4" w:space="0" w:color="7F7F7F"/>
              <w:bottom w:val="single" w:sz="4" w:space="0" w:color="7F7F7F"/>
            </w:tcBorders>
            <w:shd w:val="clear" w:color="auto" w:fill="auto"/>
          </w:tcPr>
          <w:p w14:paraId="3FB81D1E" w14:textId="77777777" w:rsidR="00323D68" w:rsidRDefault="00323D68" w:rsidP="009F6D2D">
            <w:pPr>
              <w:spacing w:before="0" w:line="240" w:lineRule="auto"/>
              <w:rPr>
                <w:szCs w:val="24"/>
              </w:rPr>
            </w:pPr>
          </w:p>
        </w:tc>
        <w:tc>
          <w:tcPr>
            <w:tcW w:w="1530" w:type="dxa"/>
            <w:tcBorders>
              <w:top w:val="single" w:sz="4" w:space="0" w:color="7F7F7F"/>
              <w:bottom w:val="single" w:sz="4" w:space="0" w:color="7F7F7F"/>
            </w:tcBorders>
            <w:shd w:val="clear" w:color="auto" w:fill="auto"/>
          </w:tcPr>
          <w:p w14:paraId="1541DAEC" w14:textId="77777777" w:rsidR="00323D68" w:rsidRDefault="00323D68" w:rsidP="009F6D2D">
            <w:pPr>
              <w:spacing w:before="0" w:line="240" w:lineRule="auto"/>
              <w:rPr>
                <w:szCs w:val="24"/>
              </w:rPr>
            </w:pPr>
          </w:p>
        </w:tc>
        <w:tc>
          <w:tcPr>
            <w:tcW w:w="2970" w:type="dxa"/>
            <w:tcBorders>
              <w:top w:val="single" w:sz="4" w:space="0" w:color="7F7F7F"/>
              <w:bottom w:val="single" w:sz="4" w:space="0" w:color="7F7F7F"/>
            </w:tcBorders>
            <w:shd w:val="clear" w:color="auto" w:fill="auto"/>
          </w:tcPr>
          <w:p w14:paraId="1A784D1A" w14:textId="77777777" w:rsidR="00323D68" w:rsidRDefault="00323D68" w:rsidP="009F6D2D">
            <w:pPr>
              <w:spacing w:before="0" w:line="240" w:lineRule="auto"/>
              <w:rPr>
                <w:szCs w:val="24"/>
              </w:rPr>
            </w:pPr>
          </w:p>
        </w:tc>
      </w:tr>
    </w:tbl>
    <w:p w14:paraId="7778C9D6" w14:textId="77777777" w:rsidR="00323D68" w:rsidRDefault="00323D68" w:rsidP="00505972">
      <w:pPr>
        <w:spacing w:line="240" w:lineRule="auto"/>
        <w:rPr>
          <w:rFonts w:eastAsia="Times New Roman" w:cs="Times New Roman"/>
          <w:b/>
          <w:szCs w:val="24"/>
        </w:rPr>
      </w:pPr>
      <w:r>
        <w:rPr>
          <w:rFonts w:eastAsia="Times New Roman" w:cs="Times New Roman"/>
          <w:b/>
          <w:szCs w:val="24"/>
        </w:rPr>
        <w:t>Source (Researcher 2025)</w:t>
      </w:r>
    </w:p>
    <w:p w14:paraId="5BD70A0E" w14:textId="27CA7E7F" w:rsidR="00F111A2" w:rsidRPr="009F6D2D" w:rsidRDefault="009F6D2D" w:rsidP="00505972">
      <w:pPr>
        <w:spacing w:line="240" w:lineRule="auto"/>
        <w:rPr>
          <w:rFonts w:cs="Times New Roman"/>
          <w:b/>
          <w:bCs/>
          <w:color w:val="000000" w:themeColor="text1"/>
          <w:sz w:val="32"/>
          <w:szCs w:val="32"/>
        </w:rPr>
      </w:pPr>
      <w:r w:rsidRPr="009F6D2D">
        <w:rPr>
          <w:rFonts w:eastAsia="Times New Roman" w:cs="Times New Roman"/>
          <w:b/>
          <w:color w:val="000000" w:themeColor="text1"/>
          <w:sz w:val="28"/>
          <w:szCs w:val="28"/>
        </w:rPr>
        <w:t xml:space="preserve">4.3 </w:t>
      </w:r>
      <w:r w:rsidR="00714562" w:rsidRPr="009F6D2D">
        <w:rPr>
          <w:rFonts w:eastAsia="Times New Roman" w:cs="Times New Roman"/>
          <w:b/>
          <w:color w:val="000000" w:themeColor="text1"/>
          <w:sz w:val="28"/>
          <w:szCs w:val="28"/>
        </w:rPr>
        <w:t>Inferential Statistics</w:t>
      </w:r>
    </w:p>
    <w:p w14:paraId="297E6E55" w14:textId="1E0E9584" w:rsidR="00323D68" w:rsidRPr="00714562" w:rsidRDefault="00714562" w:rsidP="00505972">
      <w:pPr>
        <w:spacing w:line="240" w:lineRule="auto"/>
        <w:rPr>
          <w:rFonts w:cs="Times New Roman"/>
          <w:b/>
          <w:bCs/>
          <w:color w:val="000000" w:themeColor="text1"/>
          <w:sz w:val="28"/>
          <w:szCs w:val="28"/>
        </w:rPr>
      </w:pPr>
      <w:r w:rsidRPr="00714562">
        <w:rPr>
          <w:b/>
          <w:bCs/>
        </w:rPr>
        <w:t>Pearson’s Correlation Assessment</w:t>
      </w:r>
    </w:p>
    <w:p w14:paraId="3C12CD73" w14:textId="1BED0951" w:rsidR="00323D68" w:rsidRDefault="00714562" w:rsidP="00505972">
      <w:pPr>
        <w:spacing w:line="240" w:lineRule="auto"/>
        <w:rPr>
          <w:rFonts w:cs="Times New Roman"/>
          <w:color w:val="000000" w:themeColor="text1"/>
          <w:szCs w:val="24"/>
        </w:rPr>
      </w:pPr>
      <w:r w:rsidRPr="00714562">
        <w:rPr>
          <w:rFonts w:cs="Times New Roman"/>
          <w:color w:val="000000" w:themeColor="text1"/>
          <w:szCs w:val="24"/>
        </w:rPr>
        <w:t>Inferential analysis using Pearson’s correlation and regression assessed the relationship between residential income tax compliance and tax literacy, awareness, cost acceptance, and tax rates. Results showed significant positive correlations for tax literacy (r = 0.525, p = 0.000), awareness (r = 0.471, p = 0.000), and cost acceptance (r = 0.464, p = 0.001). However, tax rates had a negative correlation with compliance (r = -0.234, p = 0.003), indicating higher tax rates reduce compliance.</w:t>
      </w:r>
    </w:p>
    <w:p w14:paraId="4E80DC6B" w14:textId="77777777" w:rsidR="009F6D2D" w:rsidRDefault="009F6D2D" w:rsidP="00505972">
      <w:pPr>
        <w:spacing w:line="240" w:lineRule="auto"/>
        <w:rPr>
          <w:rFonts w:cs="Times New Roman"/>
          <w:color w:val="000000" w:themeColor="text1"/>
          <w:szCs w:val="24"/>
        </w:rPr>
      </w:pPr>
    </w:p>
    <w:p w14:paraId="27D94D25" w14:textId="77777777" w:rsidR="009F6D2D" w:rsidRDefault="009F6D2D" w:rsidP="00505972">
      <w:pPr>
        <w:spacing w:line="240" w:lineRule="auto"/>
        <w:rPr>
          <w:rFonts w:cs="Times New Roman"/>
          <w:color w:val="000000" w:themeColor="text1"/>
          <w:szCs w:val="24"/>
        </w:rPr>
      </w:pPr>
    </w:p>
    <w:p w14:paraId="5313062B" w14:textId="77777777" w:rsidR="009F6D2D" w:rsidRDefault="009F6D2D" w:rsidP="00505972">
      <w:pPr>
        <w:spacing w:line="240" w:lineRule="auto"/>
        <w:rPr>
          <w:rFonts w:cs="Times New Roman"/>
          <w:color w:val="000000" w:themeColor="text1"/>
          <w:szCs w:val="24"/>
        </w:rPr>
      </w:pPr>
    </w:p>
    <w:p w14:paraId="0EA04A08" w14:textId="77777777" w:rsidR="009F6D2D" w:rsidRPr="00714562" w:rsidRDefault="009F6D2D" w:rsidP="00505972">
      <w:pPr>
        <w:spacing w:line="240" w:lineRule="auto"/>
        <w:rPr>
          <w:rFonts w:cs="Times New Roman"/>
          <w:color w:val="000000" w:themeColor="text1"/>
          <w:szCs w:val="24"/>
        </w:rPr>
      </w:pPr>
    </w:p>
    <w:p w14:paraId="72C94F28" w14:textId="421C2699" w:rsidR="00935ABF" w:rsidRPr="00A73CDC" w:rsidRDefault="00935ABF" w:rsidP="00505972">
      <w:pPr>
        <w:spacing w:line="240" w:lineRule="auto"/>
        <w:rPr>
          <w:rFonts w:eastAsia="Times New Roman" w:cs="Times New Roman"/>
          <w:b/>
          <w:szCs w:val="24"/>
        </w:rPr>
      </w:pPr>
      <w:r w:rsidRPr="00A73CDC">
        <w:rPr>
          <w:rFonts w:eastAsia="Times New Roman" w:cs="Times New Roman"/>
          <w:b/>
          <w:szCs w:val="24"/>
        </w:rPr>
        <w:lastRenderedPageBreak/>
        <w:t xml:space="preserve">Table </w:t>
      </w:r>
      <w:r w:rsidR="009F6D2D">
        <w:rPr>
          <w:rFonts w:eastAsia="Times New Roman" w:cs="Times New Roman"/>
          <w:b/>
          <w:szCs w:val="24"/>
        </w:rPr>
        <w:t xml:space="preserve">5 </w:t>
      </w:r>
      <w:r w:rsidRPr="00A73CDC">
        <w:rPr>
          <w:rFonts w:eastAsia="Times New Roman" w:cs="Times New Roman"/>
          <w:b/>
          <w:szCs w:val="24"/>
        </w:rPr>
        <w:t>Pearson’s Correlation</w:t>
      </w:r>
    </w:p>
    <w:tbl>
      <w:tblPr>
        <w:tblW w:w="0" w:type="auto"/>
        <w:tblBorders>
          <w:top w:val="single" w:sz="4" w:space="0" w:color="7F7F7F"/>
          <w:bottom w:val="single" w:sz="4" w:space="0" w:color="7F7F7F"/>
        </w:tblBorders>
        <w:tblLook w:val="04A0" w:firstRow="1" w:lastRow="0" w:firstColumn="1" w:lastColumn="0" w:noHBand="0" w:noVBand="1"/>
      </w:tblPr>
      <w:tblGrid>
        <w:gridCol w:w="1579"/>
        <w:gridCol w:w="1443"/>
        <w:gridCol w:w="1413"/>
        <w:gridCol w:w="1496"/>
        <w:gridCol w:w="1462"/>
        <w:gridCol w:w="1204"/>
      </w:tblGrid>
      <w:tr w:rsidR="00935ABF" w:rsidRPr="00BD49F1" w14:paraId="48DDDA6F" w14:textId="77777777" w:rsidTr="00572115">
        <w:tc>
          <w:tcPr>
            <w:tcW w:w="1579" w:type="dxa"/>
            <w:tcBorders>
              <w:bottom w:val="single" w:sz="4" w:space="0" w:color="7F7F7F"/>
            </w:tcBorders>
            <w:shd w:val="clear" w:color="auto" w:fill="auto"/>
          </w:tcPr>
          <w:p w14:paraId="2FEE9C28" w14:textId="77777777" w:rsidR="00935ABF" w:rsidRPr="00BD49F1" w:rsidRDefault="00935ABF" w:rsidP="009F6D2D">
            <w:pPr>
              <w:spacing w:before="0" w:line="240" w:lineRule="auto"/>
              <w:rPr>
                <w:szCs w:val="24"/>
              </w:rPr>
            </w:pPr>
            <w:r w:rsidRPr="00BD49F1">
              <w:rPr>
                <w:szCs w:val="24"/>
              </w:rPr>
              <w:t>Items</w:t>
            </w:r>
          </w:p>
        </w:tc>
        <w:tc>
          <w:tcPr>
            <w:tcW w:w="1443" w:type="dxa"/>
            <w:tcBorders>
              <w:bottom w:val="single" w:sz="4" w:space="0" w:color="7F7F7F"/>
            </w:tcBorders>
            <w:shd w:val="clear" w:color="auto" w:fill="auto"/>
          </w:tcPr>
          <w:p w14:paraId="6FE97049" w14:textId="77777777" w:rsidR="00935ABF" w:rsidRPr="00A73CDC" w:rsidRDefault="00935ABF" w:rsidP="009F6D2D">
            <w:pPr>
              <w:spacing w:before="0" w:line="240" w:lineRule="auto"/>
              <w:rPr>
                <w:b/>
                <w:szCs w:val="24"/>
              </w:rPr>
            </w:pPr>
            <w:r w:rsidRPr="00967CDE">
              <w:rPr>
                <w:b/>
                <w:szCs w:val="24"/>
              </w:rPr>
              <w:t xml:space="preserve">Compliance </w:t>
            </w:r>
          </w:p>
        </w:tc>
        <w:tc>
          <w:tcPr>
            <w:tcW w:w="1413" w:type="dxa"/>
            <w:tcBorders>
              <w:bottom w:val="single" w:sz="4" w:space="0" w:color="7F7F7F"/>
            </w:tcBorders>
            <w:shd w:val="clear" w:color="auto" w:fill="auto"/>
          </w:tcPr>
          <w:p w14:paraId="6985A4D7" w14:textId="77777777" w:rsidR="00935ABF" w:rsidRPr="00A73CDC" w:rsidRDefault="00935ABF" w:rsidP="009F6D2D">
            <w:pPr>
              <w:spacing w:before="0" w:line="240" w:lineRule="auto"/>
              <w:rPr>
                <w:b/>
                <w:szCs w:val="24"/>
              </w:rPr>
            </w:pPr>
            <w:r w:rsidRPr="00A73CDC">
              <w:rPr>
                <w:b/>
                <w:szCs w:val="24"/>
              </w:rPr>
              <w:t>Literacy</w:t>
            </w:r>
            <w:r>
              <w:rPr>
                <w:b/>
                <w:szCs w:val="24"/>
              </w:rPr>
              <w:t xml:space="preserve"> on Tax</w:t>
            </w:r>
          </w:p>
        </w:tc>
        <w:tc>
          <w:tcPr>
            <w:tcW w:w="1496" w:type="dxa"/>
            <w:tcBorders>
              <w:bottom w:val="single" w:sz="4" w:space="0" w:color="7F7F7F"/>
            </w:tcBorders>
            <w:shd w:val="clear" w:color="auto" w:fill="auto"/>
          </w:tcPr>
          <w:p w14:paraId="4711C3EA" w14:textId="77777777" w:rsidR="00935ABF" w:rsidRPr="00A73CDC" w:rsidRDefault="00935ABF" w:rsidP="009F6D2D">
            <w:pPr>
              <w:spacing w:before="0" w:line="240" w:lineRule="auto"/>
              <w:rPr>
                <w:b/>
                <w:szCs w:val="24"/>
              </w:rPr>
            </w:pPr>
            <w:r w:rsidRPr="00A73CDC">
              <w:rPr>
                <w:b/>
                <w:szCs w:val="24"/>
              </w:rPr>
              <w:t>Awareness</w:t>
            </w:r>
            <w:r>
              <w:rPr>
                <w:b/>
                <w:szCs w:val="24"/>
              </w:rPr>
              <w:t xml:space="preserve"> on Tax</w:t>
            </w:r>
          </w:p>
        </w:tc>
        <w:tc>
          <w:tcPr>
            <w:tcW w:w="1462" w:type="dxa"/>
            <w:tcBorders>
              <w:bottom w:val="single" w:sz="4" w:space="0" w:color="7F7F7F"/>
            </w:tcBorders>
            <w:shd w:val="clear" w:color="auto" w:fill="auto"/>
          </w:tcPr>
          <w:p w14:paraId="0F95D2DC" w14:textId="77777777" w:rsidR="00935ABF" w:rsidRPr="00A73CDC" w:rsidRDefault="00935ABF" w:rsidP="009F6D2D">
            <w:pPr>
              <w:spacing w:before="0" w:line="240" w:lineRule="auto"/>
              <w:rPr>
                <w:b/>
                <w:szCs w:val="24"/>
              </w:rPr>
            </w:pPr>
            <w:r w:rsidRPr="00A73CDC">
              <w:rPr>
                <w:b/>
                <w:szCs w:val="24"/>
              </w:rPr>
              <w:t>Cost Acceptance</w:t>
            </w:r>
          </w:p>
        </w:tc>
        <w:tc>
          <w:tcPr>
            <w:tcW w:w="1204" w:type="dxa"/>
            <w:tcBorders>
              <w:bottom w:val="single" w:sz="4" w:space="0" w:color="7F7F7F"/>
            </w:tcBorders>
            <w:shd w:val="clear" w:color="auto" w:fill="auto"/>
          </w:tcPr>
          <w:p w14:paraId="01C6F627" w14:textId="373B9252" w:rsidR="00935ABF" w:rsidRPr="00A73CDC" w:rsidRDefault="00935ABF" w:rsidP="009F6D2D">
            <w:pPr>
              <w:spacing w:before="0" w:line="240" w:lineRule="auto"/>
              <w:rPr>
                <w:b/>
                <w:szCs w:val="24"/>
              </w:rPr>
            </w:pPr>
            <w:r>
              <w:rPr>
                <w:b/>
                <w:szCs w:val="24"/>
              </w:rPr>
              <w:t xml:space="preserve"> </w:t>
            </w:r>
            <w:r w:rsidR="009F6D2D">
              <w:rPr>
                <w:b/>
                <w:szCs w:val="24"/>
              </w:rPr>
              <w:t>Rate on</w:t>
            </w:r>
            <w:r>
              <w:rPr>
                <w:b/>
                <w:szCs w:val="24"/>
              </w:rPr>
              <w:t xml:space="preserve"> Tax</w:t>
            </w:r>
          </w:p>
        </w:tc>
      </w:tr>
      <w:tr w:rsidR="00935ABF" w:rsidRPr="00BD49F1" w14:paraId="53C2DE48" w14:textId="77777777" w:rsidTr="009F6D2D">
        <w:trPr>
          <w:trHeight w:val="426"/>
        </w:trPr>
        <w:tc>
          <w:tcPr>
            <w:tcW w:w="1579" w:type="dxa"/>
            <w:tcBorders>
              <w:top w:val="single" w:sz="4" w:space="0" w:color="7F7F7F"/>
              <w:bottom w:val="single" w:sz="4" w:space="0" w:color="7F7F7F"/>
            </w:tcBorders>
            <w:shd w:val="clear" w:color="auto" w:fill="auto"/>
          </w:tcPr>
          <w:p w14:paraId="0211AADF" w14:textId="77777777" w:rsidR="00935ABF" w:rsidRPr="00BD49F1" w:rsidRDefault="00935ABF" w:rsidP="009F6D2D">
            <w:pPr>
              <w:spacing w:before="0" w:line="240" w:lineRule="auto"/>
              <w:rPr>
                <w:szCs w:val="24"/>
              </w:rPr>
            </w:pPr>
            <w:r>
              <w:rPr>
                <w:szCs w:val="24"/>
              </w:rPr>
              <w:t xml:space="preserve">Compliance </w:t>
            </w:r>
          </w:p>
        </w:tc>
        <w:tc>
          <w:tcPr>
            <w:tcW w:w="1443" w:type="dxa"/>
            <w:tcBorders>
              <w:top w:val="single" w:sz="4" w:space="0" w:color="7F7F7F"/>
              <w:bottom w:val="single" w:sz="4" w:space="0" w:color="7F7F7F"/>
            </w:tcBorders>
            <w:shd w:val="clear" w:color="auto" w:fill="auto"/>
          </w:tcPr>
          <w:p w14:paraId="7AD4EF9F" w14:textId="77777777" w:rsidR="00935ABF" w:rsidRPr="00BD49F1" w:rsidRDefault="00935ABF" w:rsidP="009F6D2D">
            <w:pPr>
              <w:spacing w:before="0" w:line="240" w:lineRule="auto"/>
              <w:rPr>
                <w:szCs w:val="24"/>
              </w:rPr>
            </w:pPr>
            <w:r w:rsidRPr="00BD49F1">
              <w:rPr>
                <w:szCs w:val="24"/>
              </w:rPr>
              <w:t>1</w:t>
            </w:r>
          </w:p>
        </w:tc>
        <w:tc>
          <w:tcPr>
            <w:tcW w:w="1413" w:type="dxa"/>
            <w:tcBorders>
              <w:top w:val="single" w:sz="4" w:space="0" w:color="7F7F7F"/>
              <w:bottom w:val="single" w:sz="4" w:space="0" w:color="7F7F7F"/>
            </w:tcBorders>
            <w:shd w:val="clear" w:color="auto" w:fill="auto"/>
          </w:tcPr>
          <w:p w14:paraId="55F992F6" w14:textId="77777777" w:rsidR="00935ABF" w:rsidRPr="00BD49F1" w:rsidRDefault="00935ABF" w:rsidP="009F6D2D">
            <w:pPr>
              <w:spacing w:before="0" w:line="240" w:lineRule="auto"/>
              <w:rPr>
                <w:szCs w:val="24"/>
              </w:rPr>
            </w:pPr>
          </w:p>
        </w:tc>
        <w:tc>
          <w:tcPr>
            <w:tcW w:w="1496" w:type="dxa"/>
            <w:tcBorders>
              <w:top w:val="single" w:sz="4" w:space="0" w:color="7F7F7F"/>
              <w:bottom w:val="single" w:sz="4" w:space="0" w:color="7F7F7F"/>
            </w:tcBorders>
            <w:shd w:val="clear" w:color="auto" w:fill="auto"/>
          </w:tcPr>
          <w:p w14:paraId="6287BD02" w14:textId="77777777" w:rsidR="00935ABF" w:rsidRPr="00BD49F1" w:rsidRDefault="00935ABF" w:rsidP="009F6D2D">
            <w:pPr>
              <w:spacing w:before="0" w:line="240" w:lineRule="auto"/>
              <w:rPr>
                <w:szCs w:val="24"/>
              </w:rPr>
            </w:pPr>
          </w:p>
        </w:tc>
        <w:tc>
          <w:tcPr>
            <w:tcW w:w="1462" w:type="dxa"/>
            <w:tcBorders>
              <w:top w:val="single" w:sz="4" w:space="0" w:color="7F7F7F"/>
              <w:bottom w:val="single" w:sz="4" w:space="0" w:color="7F7F7F"/>
            </w:tcBorders>
            <w:shd w:val="clear" w:color="auto" w:fill="auto"/>
          </w:tcPr>
          <w:p w14:paraId="0C6AE72C" w14:textId="77777777" w:rsidR="00935ABF" w:rsidRPr="00BD49F1" w:rsidRDefault="00935ABF" w:rsidP="009F6D2D">
            <w:pPr>
              <w:spacing w:before="0" w:line="240" w:lineRule="auto"/>
              <w:rPr>
                <w:szCs w:val="24"/>
              </w:rPr>
            </w:pPr>
          </w:p>
        </w:tc>
        <w:tc>
          <w:tcPr>
            <w:tcW w:w="1204" w:type="dxa"/>
            <w:tcBorders>
              <w:top w:val="single" w:sz="4" w:space="0" w:color="7F7F7F"/>
              <w:bottom w:val="single" w:sz="4" w:space="0" w:color="7F7F7F"/>
            </w:tcBorders>
            <w:shd w:val="clear" w:color="auto" w:fill="auto"/>
          </w:tcPr>
          <w:p w14:paraId="7C33369B" w14:textId="77777777" w:rsidR="00935ABF" w:rsidRPr="00BD49F1" w:rsidRDefault="00935ABF" w:rsidP="009F6D2D">
            <w:pPr>
              <w:spacing w:before="0" w:line="240" w:lineRule="auto"/>
              <w:rPr>
                <w:szCs w:val="24"/>
              </w:rPr>
            </w:pPr>
          </w:p>
        </w:tc>
      </w:tr>
      <w:tr w:rsidR="00935ABF" w:rsidRPr="00BD49F1" w14:paraId="77D284F2" w14:textId="77777777" w:rsidTr="00572115">
        <w:tc>
          <w:tcPr>
            <w:tcW w:w="1579" w:type="dxa"/>
            <w:shd w:val="clear" w:color="auto" w:fill="auto"/>
          </w:tcPr>
          <w:p w14:paraId="75D6414D" w14:textId="77777777" w:rsidR="00935ABF" w:rsidRPr="00BD49F1" w:rsidRDefault="00935ABF" w:rsidP="009F6D2D">
            <w:pPr>
              <w:spacing w:before="0" w:line="240" w:lineRule="auto"/>
              <w:rPr>
                <w:szCs w:val="24"/>
              </w:rPr>
            </w:pPr>
            <w:r w:rsidRPr="00BD49F1">
              <w:rPr>
                <w:szCs w:val="24"/>
              </w:rPr>
              <w:t xml:space="preserve"> Literacy</w:t>
            </w:r>
            <w:r>
              <w:rPr>
                <w:szCs w:val="24"/>
              </w:rPr>
              <w:t xml:space="preserve"> on Tax</w:t>
            </w:r>
          </w:p>
        </w:tc>
        <w:tc>
          <w:tcPr>
            <w:tcW w:w="1443" w:type="dxa"/>
            <w:shd w:val="clear" w:color="auto" w:fill="auto"/>
          </w:tcPr>
          <w:p w14:paraId="37941C50" w14:textId="77777777" w:rsidR="00935ABF" w:rsidRPr="00BD49F1" w:rsidRDefault="00935ABF" w:rsidP="009F6D2D">
            <w:pPr>
              <w:spacing w:before="0" w:line="240" w:lineRule="auto"/>
              <w:rPr>
                <w:szCs w:val="24"/>
              </w:rPr>
            </w:pPr>
            <w:r w:rsidRPr="00BD49F1">
              <w:rPr>
                <w:szCs w:val="24"/>
              </w:rPr>
              <w:t>0.525</w:t>
            </w:r>
          </w:p>
          <w:p w14:paraId="480EEDEC" w14:textId="77777777" w:rsidR="00935ABF" w:rsidRPr="00BD49F1" w:rsidRDefault="00935ABF" w:rsidP="009F6D2D">
            <w:pPr>
              <w:spacing w:before="0" w:line="240" w:lineRule="auto"/>
              <w:rPr>
                <w:szCs w:val="24"/>
              </w:rPr>
            </w:pPr>
            <w:r w:rsidRPr="00BD49F1">
              <w:rPr>
                <w:szCs w:val="24"/>
              </w:rPr>
              <w:t>0.000</w:t>
            </w:r>
          </w:p>
        </w:tc>
        <w:tc>
          <w:tcPr>
            <w:tcW w:w="1413" w:type="dxa"/>
            <w:shd w:val="clear" w:color="auto" w:fill="auto"/>
          </w:tcPr>
          <w:p w14:paraId="7FCA4DCC" w14:textId="77777777" w:rsidR="00935ABF" w:rsidRPr="00BD49F1" w:rsidRDefault="00935ABF" w:rsidP="009F6D2D">
            <w:pPr>
              <w:spacing w:before="0" w:line="240" w:lineRule="auto"/>
              <w:rPr>
                <w:szCs w:val="24"/>
              </w:rPr>
            </w:pPr>
            <w:r w:rsidRPr="00BD49F1">
              <w:rPr>
                <w:szCs w:val="24"/>
              </w:rPr>
              <w:t>1</w:t>
            </w:r>
          </w:p>
        </w:tc>
        <w:tc>
          <w:tcPr>
            <w:tcW w:w="1496" w:type="dxa"/>
            <w:shd w:val="clear" w:color="auto" w:fill="auto"/>
          </w:tcPr>
          <w:p w14:paraId="0F178DDD" w14:textId="77777777" w:rsidR="00935ABF" w:rsidRPr="00BD49F1" w:rsidRDefault="00935ABF" w:rsidP="009F6D2D">
            <w:pPr>
              <w:spacing w:before="0" w:line="240" w:lineRule="auto"/>
              <w:rPr>
                <w:szCs w:val="24"/>
              </w:rPr>
            </w:pPr>
          </w:p>
        </w:tc>
        <w:tc>
          <w:tcPr>
            <w:tcW w:w="1462" w:type="dxa"/>
            <w:shd w:val="clear" w:color="auto" w:fill="auto"/>
          </w:tcPr>
          <w:p w14:paraId="15AA096A" w14:textId="77777777" w:rsidR="00935ABF" w:rsidRPr="00BD49F1" w:rsidRDefault="00935ABF" w:rsidP="009F6D2D">
            <w:pPr>
              <w:spacing w:before="0" w:line="240" w:lineRule="auto"/>
              <w:rPr>
                <w:szCs w:val="24"/>
              </w:rPr>
            </w:pPr>
          </w:p>
        </w:tc>
        <w:tc>
          <w:tcPr>
            <w:tcW w:w="1204" w:type="dxa"/>
            <w:shd w:val="clear" w:color="auto" w:fill="auto"/>
          </w:tcPr>
          <w:p w14:paraId="3737EED7" w14:textId="77777777" w:rsidR="00935ABF" w:rsidRPr="00BD49F1" w:rsidRDefault="00935ABF" w:rsidP="009F6D2D">
            <w:pPr>
              <w:spacing w:before="0" w:line="240" w:lineRule="auto"/>
              <w:rPr>
                <w:szCs w:val="24"/>
              </w:rPr>
            </w:pPr>
          </w:p>
        </w:tc>
      </w:tr>
      <w:tr w:rsidR="00935ABF" w:rsidRPr="00BD49F1" w14:paraId="4996368F" w14:textId="77777777" w:rsidTr="00572115">
        <w:tc>
          <w:tcPr>
            <w:tcW w:w="1579" w:type="dxa"/>
            <w:tcBorders>
              <w:top w:val="single" w:sz="4" w:space="0" w:color="7F7F7F"/>
              <w:bottom w:val="single" w:sz="4" w:space="0" w:color="7F7F7F"/>
            </w:tcBorders>
            <w:shd w:val="clear" w:color="auto" w:fill="auto"/>
          </w:tcPr>
          <w:p w14:paraId="624325C2" w14:textId="77777777" w:rsidR="00935ABF" w:rsidRPr="00BD49F1" w:rsidRDefault="00935ABF" w:rsidP="009F6D2D">
            <w:pPr>
              <w:spacing w:before="0" w:line="240" w:lineRule="auto"/>
              <w:rPr>
                <w:szCs w:val="24"/>
              </w:rPr>
            </w:pPr>
            <w:r w:rsidRPr="00BD49F1">
              <w:rPr>
                <w:szCs w:val="24"/>
              </w:rPr>
              <w:t>Tax Awareness</w:t>
            </w:r>
          </w:p>
        </w:tc>
        <w:tc>
          <w:tcPr>
            <w:tcW w:w="1443" w:type="dxa"/>
            <w:tcBorders>
              <w:top w:val="single" w:sz="4" w:space="0" w:color="7F7F7F"/>
              <w:bottom w:val="single" w:sz="4" w:space="0" w:color="7F7F7F"/>
            </w:tcBorders>
            <w:shd w:val="clear" w:color="auto" w:fill="auto"/>
          </w:tcPr>
          <w:p w14:paraId="450C6868" w14:textId="77777777" w:rsidR="00935ABF" w:rsidRPr="00BD49F1" w:rsidRDefault="00935ABF" w:rsidP="009F6D2D">
            <w:pPr>
              <w:spacing w:before="0" w:line="240" w:lineRule="auto"/>
              <w:rPr>
                <w:szCs w:val="24"/>
              </w:rPr>
            </w:pPr>
            <w:r w:rsidRPr="00BD49F1">
              <w:rPr>
                <w:szCs w:val="24"/>
              </w:rPr>
              <w:t>0.471</w:t>
            </w:r>
          </w:p>
          <w:p w14:paraId="080E2AF6" w14:textId="77777777" w:rsidR="00935ABF" w:rsidRPr="00BD49F1" w:rsidRDefault="00935ABF" w:rsidP="009F6D2D">
            <w:pPr>
              <w:spacing w:before="0" w:line="240" w:lineRule="auto"/>
              <w:rPr>
                <w:szCs w:val="24"/>
              </w:rPr>
            </w:pPr>
            <w:r w:rsidRPr="00BD49F1">
              <w:rPr>
                <w:szCs w:val="24"/>
              </w:rPr>
              <w:t xml:space="preserve"> 0.000                                                               </w:t>
            </w:r>
          </w:p>
        </w:tc>
        <w:tc>
          <w:tcPr>
            <w:tcW w:w="1413" w:type="dxa"/>
            <w:tcBorders>
              <w:top w:val="single" w:sz="4" w:space="0" w:color="7F7F7F"/>
              <w:bottom w:val="single" w:sz="4" w:space="0" w:color="7F7F7F"/>
            </w:tcBorders>
            <w:shd w:val="clear" w:color="auto" w:fill="auto"/>
          </w:tcPr>
          <w:p w14:paraId="2292D64B" w14:textId="77777777" w:rsidR="00935ABF" w:rsidRPr="00BD49F1" w:rsidRDefault="00935ABF" w:rsidP="009F6D2D">
            <w:pPr>
              <w:spacing w:before="0" w:line="240" w:lineRule="auto"/>
              <w:rPr>
                <w:szCs w:val="24"/>
              </w:rPr>
            </w:pPr>
            <w:r w:rsidRPr="00BD49F1">
              <w:rPr>
                <w:szCs w:val="24"/>
              </w:rPr>
              <w:t>0.482</w:t>
            </w:r>
          </w:p>
          <w:p w14:paraId="7633B430" w14:textId="77777777" w:rsidR="00935ABF" w:rsidRPr="00BD49F1" w:rsidRDefault="00935ABF" w:rsidP="009F6D2D">
            <w:pPr>
              <w:spacing w:before="0" w:line="240" w:lineRule="auto"/>
              <w:rPr>
                <w:szCs w:val="24"/>
              </w:rPr>
            </w:pPr>
            <w:r w:rsidRPr="00BD49F1">
              <w:rPr>
                <w:szCs w:val="24"/>
              </w:rPr>
              <w:t>0.002</w:t>
            </w:r>
          </w:p>
        </w:tc>
        <w:tc>
          <w:tcPr>
            <w:tcW w:w="1496" w:type="dxa"/>
            <w:tcBorders>
              <w:top w:val="single" w:sz="4" w:space="0" w:color="7F7F7F"/>
              <w:bottom w:val="single" w:sz="4" w:space="0" w:color="7F7F7F"/>
            </w:tcBorders>
            <w:shd w:val="clear" w:color="auto" w:fill="auto"/>
          </w:tcPr>
          <w:p w14:paraId="38949770" w14:textId="77777777" w:rsidR="00935ABF" w:rsidRPr="00BD49F1" w:rsidRDefault="00935ABF" w:rsidP="009F6D2D">
            <w:pPr>
              <w:spacing w:before="0" w:line="240" w:lineRule="auto"/>
              <w:rPr>
                <w:szCs w:val="24"/>
              </w:rPr>
            </w:pPr>
            <w:r w:rsidRPr="00BD49F1">
              <w:rPr>
                <w:szCs w:val="24"/>
              </w:rPr>
              <w:t>1</w:t>
            </w:r>
          </w:p>
        </w:tc>
        <w:tc>
          <w:tcPr>
            <w:tcW w:w="1462" w:type="dxa"/>
            <w:tcBorders>
              <w:top w:val="single" w:sz="4" w:space="0" w:color="7F7F7F"/>
              <w:bottom w:val="single" w:sz="4" w:space="0" w:color="7F7F7F"/>
            </w:tcBorders>
            <w:shd w:val="clear" w:color="auto" w:fill="auto"/>
          </w:tcPr>
          <w:p w14:paraId="37828339" w14:textId="77777777" w:rsidR="00935ABF" w:rsidRPr="00BD49F1" w:rsidRDefault="00935ABF" w:rsidP="009F6D2D">
            <w:pPr>
              <w:spacing w:before="0" w:line="240" w:lineRule="auto"/>
              <w:rPr>
                <w:szCs w:val="24"/>
              </w:rPr>
            </w:pPr>
          </w:p>
        </w:tc>
        <w:tc>
          <w:tcPr>
            <w:tcW w:w="1204" w:type="dxa"/>
            <w:tcBorders>
              <w:top w:val="single" w:sz="4" w:space="0" w:color="7F7F7F"/>
              <w:bottom w:val="single" w:sz="4" w:space="0" w:color="7F7F7F"/>
            </w:tcBorders>
            <w:shd w:val="clear" w:color="auto" w:fill="auto"/>
          </w:tcPr>
          <w:p w14:paraId="24F0EBE3" w14:textId="77777777" w:rsidR="00935ABF" w:rsidRPr="00BD49F1" w:rsidRDefault="00935ABF" w:rsidP="009F6D2D">
            <w:pPr>
              <w:spacing w:before="0" w:line="240" w:lineRule="auto"/>
              <w:rPr>
                <w:szCs w:val="24"/>
              </w:rPr>
            </w:pPr>
          </w:p>
        </w:tc>
      </w:tr>
      <w:tr w:rsidR="00935ABF" w:rsidRPr="00BD49F1" w14:paraId="3074B0FA" w14:textId="77777777" w:rsidTr="00572115">
        <w:tc>
          <w:tcPr>
            <w:tcW w:w="1579" w:type="dxa"/>
            <w:shd w:val="clear" w:color="auto" w:fill="auto"/>
          </w:tcPr>
          <w:p w14:paraId="22B7F6A6" w14:textId="77777777" w:rsidR="00935ABF" w:rsidRPr="00BD49F1" w:rsidRDefault="00935ABF" w:rsidP="009F6D2D">
            <w:pPr>
              <w:spacing w:before="0" w:line="240" w:lineRule="auto"/>
              <w:rPr>
                <w:szCs w:val="24"/>
              </w:rPr>
            </w:pPr>
            <w:r w:rsidRPr="00BD49F1">
              <w:rPr>
                <w:szCs w:val="24"/>
              </w:rPr>
              <w:t>Cost Acceptance</w:t>
            </w:r>
          </w:p>
        </w:tc>
        <w:tc>
          <w:tcPr>
            <w:tcW w:w="1443" w:type="dxa"/>
            <w:shd w:val="clear" w:color="auto" w:fill="auto"/>
          </w:tcPr>
          <w:p w14:paraId="067E0AF6" w14:textId="77777777" w:rsidR="00935ABF" w:rsidRPr="00BD49F1" w:rsidRDefault="00935ABF" w:rsidP="009F6D2D">
            <w:pPr>
              <w:spacing w:before="0" w:line="240" w:lineRule="auto"/>
              <w:rPr>
                <w:szCs w:val="24"/>
              </w:rPr>
            </w:pPr>
            <w:r w:rsidRPr="00BD49F1">
              <w:rPr>
                <w:szCs w:val="24"/>
              </w:rPr>
              <w:t>0.464</w:t>
            </w:r>
          </w:p>
          <w:p w14:paraId="2C772BE0" w14:textId="77777777" w:rsidR="00935ABF" w:rsidRPr="00BD49F1" w:rsidRDefault="00935ABF" w:rsidP="009F6D2D">
            <w:pPr>
              <w:spacing w:before="0" w:line="240" w:lineRule="auto"/>
              <w:rPr>
                <w:szCs w:val="24"/>
              </w:rPr>
            </w:pPr>
            <w:r w:rsidRPr="00BD49F1">
              <w:rPr>
                <w:szCs w:val="24"/>
              </w:rPr>
              <w:t>0.001</w:t>
            </w:r>
          </w:p>
        </w:tc>
        <w:tc>
          <w:tcPr>
            <w:tcW w:w="1413" w:type="dxa"/>
            <w:shd w:val="clear" w:color="auto" w:fill="auto"/>
          </w:tcPr>
          <w:p w14:paraId="72DB062A" w14:textId="77777777" w:rsidR="00935ABF" w:rsidRPr="00BD49F1" w:rsidRDefault="00935ABF" w:rsidP="009F6D2D">
            <w:pPr>
              <w:spacing w:before="0" w:line="240" w:lineRule="auto"/>
              <w:rPr>
                <w:szCs w:val="24"/>
              </w:rPr>
            </w:pPr>
            <w:r w:rsidRPr="00BD49F1">
              <w:rPr>
                <w:szCs w:val="24"/>
              </w:rPr>
              <w:t>0.451</w:t>
            </w:r>
          </w:p>
          <w:p w14:paraId="578878A3" w14:textId="77777777" w:rsidR="00935ABF" w:rsidRPr="00BD49F1" w:rsidRDefault="00935ABF" w:rsidP="009F6D2D">
            <w:pPr>
              <w:spacing w:before="0" w:line="240" w:lineRule="auto"/>
              <w:rPr>
                <w:szCs w:val="24"/>
              </w:rPr>
            </w:pPr>
            <w:r w:rsidRPr="00BD49F1">
              <w:rPr>
                <w:szCs w:val="24"/>
              </w:rPr>
              <w:t>0.001</w:t>
            </w:r>
          </w:p>
        </w:tc>
        <w:tc>
          <w:tcPr>
            <w:tcW w:w="1496" w:type="dxa"/>
            <w:shd w:val="clear" w:color="auto" w:fill="auto"/>
          </w:tcPr>
          <w:p w14:paraId="2988D6F7" w14:textId="77777777" w:rsidR="00935ABF" w:rsidRPr="00BD49F1" w:rsidRDefault="00935ABF" w:rsidP="009F6D2D">
            <w:pPr>
              <w:spacing w:before="0" w:line="240" w:lineRule="auto"/>
              <w:rPr>
                <w:szCs w:val="24"/>
              </w:rPr>
            </w:pPr>
            <w:r w:rsidRPr="00BD49F1">
              <w:rPr>
                <w:szCs w:val="24"/>
              </w:rPr>
              <w:t>0.423</w:t>
            </w:r>
          </w:p>
        </w:tc>
        <w:tc>
          <w:tcPr>
            <w:tcW w:w="1462" w:type="dxa"/>
            <w:shd w:val="clear" w:color="auto" w:fill="auto"/>
          </w:tcPr>
          <w:p w14:paraId="01AB7BBB" w14:textId="77777777" w:rsidR="00935ABF" w:rsidRPr="00BD49F1" w:rsidRDefault="00935ABF" w:rsidP="009F6D2D">
            <w:pPr>
              <w:spacing w:before="0" w:line="240" w:lineRule="auto"/>
              <w:rPr>
                <w:szCs w:val="24"/>
              </w:rPr>
            </w:pPr>
            <w:r w:rsidRPr="00BD49F1">
              <w:rPr>
                <w:szCs w:val="24"/>
              </w:rPr>
              <w:t>1</w:t>
            </w:r>
          </w:p>
        </w:tc>
        <w:tc>
          <w:tcPr>
            <w:tcW w:w="1204" w:type="dxa"/>
            <w:shd w:val="clear" w:color="auto" w:fill="auto"/>
          </w:tcPr>
          <w:p w14:paraId="2AB658AD" w14:textId="77777777" w:rsidR="00935ABF" w:rsidRPr="00BD49F1" w:rsidRDefault="00935ABF" w:rsidP="009F6D2D">
            <w:pPr>
              <w:spacing w:before="0" w:line="240" w:lineRule="auto"/>
              <w:rPr>
                <w:szCs w:val="24"/>
              </w:rPr>
            </w:pPr>
          </w:p>
        </w:tc>
      </w:tr>
      <w:tr w:rsidR="00935ABF" w:rsidRPr="00BD49F1" w14:paraId="3BC825FC" w14:textId="77777777" w:rsidTr="00572115">
        <w:tc>
          <w:tcPr>
            <w:tcW w:w="1579" w:type="dxa"/>
            <w:tcBorders>
              <w:top w:val="single" w:sz="4" w:space="0" w:color="7F7F7F"/>
              <w:bottom w:val="single" w:sz="4" w:space="0" w:color="7F7F7F"/>
            </w:tcBorders>
            <w:shd w:val="clear" w:color="auto" w:fill="auto"/>
          </w:tcPr>
          <w:p w14:paraId="07B64648" w14:textId="77777777" w:rsidR="00935ABF" w:rsidRPr="00BD49F1" w:rsidRDefault="00935ABF" w:rsidP="009F6D2D">
            <w:pPr>
              <w:spacing w:before="0" w:line="240" w:lineRule="auto"/>
              <w:rPr>
                <w:szCs w:val="24"/>
              </w:rPr>
            </w:pPr>
            <w:r w:rsidRPr="00BD49F1">
              <w:rPr>
                <w:szCs w:val="24"/>
              </w:rPr>
              <w:t>Tax Rate Fee</w:t>
            </w:r>
          </w:p>
        </w:tc>
        <w:tc>
          <w:tcPr>
            <w:tcW w:w="1443" w:type="dxa"/>
            <w:tcBorders>
              <w:top w:val="single" w:sz="4" w:space="0" w:color="7F7F7F"/>
              <w:bottom w:val="single" w:sz="4" w:space="0" w:color="7F7F7F"/>
            </w:tcBorders>
            <w:shd w:val="clear" w:color="auto" w:fill="auto"/>
          </w:tcPr>
          <w:p w14:paraId="76B2FB5D" w14:textId="77777777" w:rsidR="00935ABF" w:rsidRPr="00BD49F1" w:rsidRDefault="00935ABF" w:rsidP="009F6D2D">
            <w:pPr>
              <w:spacing w:before="0" w:line="240" w:lineRule="auto"/>
              <w:rPr>
                <w:szCs w:val="24"/>
              </w:rPr>
            </w:pPr>
            <w:r w:rsidRPr="00BD49F1">
              <w:rPr>
                <w:szCs w:val="24"/>
              </w:rPr>
              <w:t>-.234</w:t>
            </w:r>
          </w:p>
          <w:p w14:paraId="4B621C5D" w14:textId="77777777" w:rsidR="00935ABF" w:rsidRPr="00BD49F1" w:rsidRDefault="00935ABF" w:rsidP="009F6D2D">
            <w:pPr>
              <w:spacing w:before="0" w:line="240" w:lineRule="auto"/>
              <w:rPr>
                <w:szCs w:val="24"/>
              </w:rPr>
            </w:pPr>
            <w:r w:rsidRPr="00BD49F1">
              <w:rPr>
                <w:szCs w:val="24"/>
              </w:rPr>
              <w:t>0.003</w:t>
            </w:r>
          </w:p>
        </w:tc>
        <w:tc>
          <w:tcPr>
            <w:tcW w:w="1413" w:type="dxa"/>
            <w:tcBorders>
              <w:top w:val="single" w:sz="4" w:space="0" w:color="7F7F7F"/>
              <w:bottom w:val="single" w:sz="4" w:space="0" w:color="7F7F7F"/>
            </w:tcBorders>
            <w:shd w:val="clear" w:color="auto" w:fill="auto"/>
          </w:tcPr>
          <w:p w14:paraId="0DE7061D" w14:textId="77777777" w:rsidR="00935ABF" w:rsidRPr="00BD49F1" w:rsidRDefault="00935ABF" w:rsidP="009F6D2D">
            <w:pPr>
              <w:spacing w:before="0" w:line="240" w:lineRule="auto"/>
              <w:rPr>
                <w:szCs w:val="24"/>
              </w:rPr>
            </w:pPr>
            <w:r w:rsidRPr="00BD49F1">
              <w:rPr>
                <w:szCs w:val="24"/>
              </w:rPr>
              <w:t>0.414</w:t>
            </w:r>
          </w:p>
          <w:p w14:paraId="72E23058" w14:textId="77777777" w:rsidR="00935ABF" w:rsidRPr="00BD49F1" w:rsidRDefault="00935ABF" w:rsidP="009F6D2D">
            <w:pPr>
              <w:spacing w:before="0" w:line="240" w:lineRule="auto"/>
              <w:rPr>
                <w:szCs w:val="24"/>
              </w:rPr>
            </w:pPr>
            <w:r w:rsidRPr="00BD49F1">
              <w:rPr>
                <w:szCs w:val="24"/>
              </w:rPr>
              <w:t>0.002</w:t>
            </w:r>
          </w:p>
        </w:tc>
        <w:tc>
          <w:tcPr>
            <w:tcW w:w="1496" w:type="dxa"/>
            <w:tcBorders>
              <w:top w:val="single" w:sz="4" w:space="0" w:color="7F7F7F"/>
              <w:bottom w:val="single" w:sz="4" w:space="0" w:color="7F7F7F"/>
            </w:tcBorders>
            <w:shd w:val="clear" w:color="auto" w:fill="auto"/>
          </w:tcPr>
          <w:p w14:paraId="6A658771" w14:textId="77777777" w:rsidR="00935ABF" w:rsidRPr="00BD49F1" w:rsidRDefault="00935ABF" w:rsidP="009F6D2D">
            <w:pPr>
              <w:spacing w:before="0" w:line="240" w:lineRule="auto"/>
              <w:rPr>
                <w:szCs w:val="24"/>
              </w:rPr>
            </w:pPr>
            <w:r w:rsidRPr="00BD49F1">
              <w:rPr>
                <w:szCs w:val="24"/>
              </w:rPr>
              <w:t>0.376</w:t>
            </w:r>
          </w:p>
          <w:p w14:paraId="5409F468" w14:textId="77777777" w:rsidR="00935ABF" w:rsidRPr="00BD49F1" w:rsidRDefault="00935ABF" w:rsidP="009F6D2D">
            <w:pPr>
              <w:spacing w:before="0" w:line="240" w:lineRule="auto"/>
              <w:rPr>
                <w:szCs w:val="24"/>
              </w:rPr>
            </w:pPr>
            <w:r w:rsidRPr="00BD49F1">
              <w:rPr>
                <w:szCs w:val="24"/>
              </w:rPr>
              <w:t>0.000</w:t>
            </w:r>
          </w:p>
        </w:tc>
        <w:tc>
          <w:tcPr>
            <w:tcW w:w="1462" w:type="dxa"/>
            <w:tcBorders>
              <w:top w:val="single" w:sz="4" w:space="0" w:color="7F7F7F"/>
              <w:bottom w:val="single" w:sz="4" w:space="0" w:color="7F7F7F"/>
            </w:tcBorders>
            <w:shd w:val="clear" w:color="auto" w:fill="auto"/>
          </w:tcPr>
          <w:p w14:paraId="1CF22B60" w14:textId="77777777" w:rsidR="00935ABF" w:rsidRPr="00BD49F1" w:rsidRDefault="00935ABF" w:rsidP="009F6D2D">
            <w:pPr>
              <w:spacing w:before="0" w:line="240" w:lineRule="auto"/>
              <w:rPr>
                <w:szCs w:val="24"/>
              </w:rPr>
            </w:pPr>
            <w:r w:rsidRPr="00BD49F1">
              <w:rPr>
                <w:szCs w:val="24"/>
              </w:rPr>
              <w:t>0.4334</w:t>
            </w:r>
          </w:p>
          <w:p w14:paraId="1176C371" w14:textId="77777777" w:rsidR="00935ABF" w:rsidRPr="00BD49F1" w:rsidRDefault="00935ABF" w:rsidP="009F6D2D">
            <w:pPr>
              <w:spacing w:before="0" w:line="240" w:lineRule="auto"/>
              <w:rPr>
                <w:szCs w:val="24"/>
              </w:rPr>
            </w:pPr>
            <w:r w:rsidRPr="00BD49F1">
              <w:rPr>
                <w:szCs w:val="24"/>
              </w:rPr>
              <w:t>0.001</w:t>
            </w:r>
          </w:p>
        </w:tc>
        <w:tc>
          <w:tcPr>
            <w:tcW w:w="1204" w:type="dxa"/>
            <w:tcBorders>
              <w:top w:val="single" w:sz="4" w:space="0" w:color="7F7F7F"/>
              <w:bottom w:val="single" w:sz="4" w:space="0" w:color="7F7F7F"/>
            </w:tcBorders>
            <w:shd w:val="clear" w:color="auto" w:fill="auto"/>
          </w:tcPr>
          <w:p w14:paraId="1434770F" w14:textId="77777777" w:rsidR="00935ABF" w:rsidRPr="00BD49F1" w:rsidRDefault="00935ABF" w:rsidP="009F6D2D">
            <w:pPr>
              <w:spacing w:before="0" w:line="240" w:lineRule="auto"/>
              <w:rPr>
                <w:szCs w:val="24"/>
              </w:rPr>
            </w:pPr>
            <w:r w:rsidRPr="00BD49F1">
              <w:rPr>
                <w:szCs w:val="24"/>
              </w:rPr>
              <w:t>1</w:t>
            </w:r>
          </w:p>
        </w:tc>
      </w:tr>
    </w:tbl>
    <w:p w14:paraId="69C526A8" w14:textId="028D68A9" w:rsidR="00323D68" w:rsidRPr="009F6D2D" w:rsidRDefault="00935ABF" w:rsidP="00505972">
      <w:pPr>
        <w:spacing w:line="240" w:lineRule="auto"/>
        <w:rPr>
          <w:rFonts w:eastAsia="Times New Roman" w:cs="Times New Roman"/>
          <w:b/>
          <w:szCs w:val="24"/>
        </w:rPr>
      </w:pPr>
      <w:r w:rsidRPr="00BD49F1">
        <w:rPr>
          <w:rFonts w:eastAsia="Times New Roman" w:cs="Times New Roman"/>
          <w:b/>
          <w:szCs w:val="24"/>
        </w:rPr>
        <w:t>Source (Researcher 2025)</w:t>
      </w:r>
    </w:p>
    <w:p w14:paraId="7165BC33" w14:textId="6E20FCC1" w:rsidR="00935ABF" w:rsidRPr="00935ABF" w:rsidRDefault="009F6D2D" w:rsidP="00505972">
      <w:pPr>
        <w:spacing w:line="240" w:lineRule="auto"/>
        <w:rPr>
          <w:rFonts w:cs="Times New Roman"/>
          <w:b/>
          <w:bCs/>
          <w:color w:val="000000" w:themeColor="text1"/>
          <w:sz w:val="32"/>
          <w:szCs w:val="32"/>
        </w:rPr>
      </w:pPr>
      <w:r>
        <w:rPr>
          <w:b/>
          <w:bCs/>
          <w:sz w:val="28"/>
          <w:szCs w:val="24"/>
        </w:rPr>
        <w:t xml:space="preserve">4.4 </w:t>
      </w:r>
      <w:r w:rsidR="00935ABF" w:rsidRPr="00935ABF">
        <w:rPr>
          <w:b/>
          <w:bCs/>
          <w:sz w:val="28"/>
          <w:szCs w:val="24"/>
        </w:rPr>
        <w:t>Model Summary</w:t>
      </w:r>
    </w:p>
    <w:p w14:paraId="74CFEB74" w14:textId="64BBC39D" w:rsidR="00774F84" w:rsidRPr="00774F84" w:rsidRDefault="00774F84" w:rsidP="00505972">
      <w:pPr>
        <w:spacing w:line="240" w:lineRule="auto"/>
        <w:rPr>
          <w:rFonts w:cs="Times New Roman"/>
          <w:color w:val="000000" w:themeColor="text1"/>
          <w:szCs w:val="24"/>
        </w:rPr>
      </w:pPr>
      <w:r w:rsidRPr="00774F84">
        <w:rPr>
          <w:rFonts w:cs="Times New Roman"/>
          <w:color w:val="000000" w:themeColor="text1"/>
          <w:szCs w:val="24"/>
        </w:rPr>
        <w:t xml:space="preserve">Table </w:t>
      </w:r>
      <w:r w:rsidR="009F6D2D" w:rsidRPr="00F01BA4">
        <w:rPr>
          <w:rFonts w:cs="Times New Roman"/>
          <w:color w:val="000000" w:themeColor="text1"/>
          <w:szCs w:val="24"/>
        </w:rPr>
        <w:t>6</w:t>
      </w:r>
      <w:r w:rsidRPr="00774F84">
        <w:rPr>
          <w:rFonts w:cs="Times New Roman"/>
          <w:color w:val="000000" w:themeColor="text1"/>
          <w:szCs w:val="24"/>
        </w:rPr>
        <w:t xml:space="preserve"> reveals a strong positive correlation (R = 0.737) between tax compliance and factors like tax literacy, tax awareness, cost acceptance, and tax rate. These factors explain 62.95% of tax compliance variations (R² = 0.6295), while 37.05% remains unexplained, suggesting the influence of additional unaccounted variables.</w:t>
      </w:r>
    </w:p>
    <w:p w14:paraId="68DD6D7F" w14:textId="4662144D" w:rsidR="00935ABF" w:rsidRPr="009F6D2D" w:rsidRDefault="00935ABF" w:rsidP="009F6D2D">
      <w:pPr>
        <w:rPr>
          <w:b/>
          <w:bCs/>
          <w:i/>
          <w:iCs/>
        </w:rPr>
      </w:pPr>
      <w:bookmarkStart w:id="5" w:name="_Toc192056856"/>
      <w:r w:rsidRPr="009F6D2D">
        <w:rPr>
          <w:b/>
          <w:bCs/>
          <w:i/>
          <w:iCs/>
        </w:rPr>
        <w:t xml:space="preserve">Table </w:t>
      </w:r>
      <w:bookmarkEnd w:id="5"/>
      <w:r w:rsidR="009F6D2D">
        <w:rPr>
          <w:b/>
          <w:bCs/>
          <w:i/>
          <w:iCs/>
        </w:rPr>
        <w:t>6</w:t>
      </w:r>
      <w:r w:rsidRPr="009F6D2D">
        <w:rPr>
          <w:b/>
          <w:bCs/>
          <w:i/>
          <w:iCs/>
        </w:rPr>
        <w:t xml:space="preserve"> </w:t>
      </w:r>
      <w:r w:rsidR="009F6D2D" w:rsidRPr="009F6D2D">
        <w:rPr>
          <w:b/>
          <w:bCs/>
          <w:i/>
          <w:iCs/>
        </w:rPr>
        <w:t>Model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800"/>
        <w:gridCol w:w="2070"/>
        <w:gridCol w:w="1980"/>
        <w:gridCol w:w="2070"/>
      </w:tblGrid>
      <w:tr w:rsidR="00935ABF" w:rsidRPr="002B4648" w14:paraId="54669025" w14:textId="77777777" w:rsidTr="00572115">
        <w:tc>
          <w:tcPr>
            <w:tcW w:w="9738" w:type="dxa"/>
            <w:gridSpan w:val="5"/>
            <w:shd w:val="clear" w:color="auto" w:fill="auto"/>
          </w:tcPr>
          <w:p w14:paraId="11BE80F9" w14:textId="77777777" w:rsidR="00935ABF" w:rsidRPr="002B4648" w:rsidRDefault="00935ABF" w:rsidP="00505972">
            <w:pPr>
              <w:spacing w:line="240" w:lineRule="auto"/>
              <w:jc w:val="center"/>
              <w:rPr>
                <w:szCs w:val="24"/>
              </w:rPr>
            </w:pPr>
            <w:r w:rsidRPr="002B4648">
              <w:rPr>
                <w:szCs w:val="24"/>
              </w:rPr>
              <w:t xml:space="preserve"> Analysis</w:t>
            </w:r>
          </w:p>
        </w:tc>
      </w:tr>
      <w:tr w:rsidR="00935ABF" w:rsidRPr="002B4648" w14:paraId="126973C4" w14:textId="77777777" w:rsidTr="00572115">
        <w:tc>
          <w:tcPr>
            <w:tcW w:w="1818" w:type="dxa"/>
            <w:shd w:val="clear" w:color="auto" w:fill="auto"/>
          </w:tcPr>
          <w:p w14:paraId="7DB4C46A" w14:textId="77777777" w:rsidR="00935ABF" w:rsidRPr="002B4648" w:rsidRDefault="00935ABF" w:rsidP="00505972">
            <w:pPr>
              <w:spacing w:line="240" w:lineRule="auto"/>
              <w:rPr>
                <w:szCs w:val="24"/>
              </w:rPr>
            </w:pPr>
            <w:r w:rsidRPr="002B4648">
              <w:rPr>
                <w:szCs w:val="24"/>
              </w:rPr>
              <w:t xml:space="preserve"> R</w:t>
            </w:r>
          </w:p>
        </w:tc>
        <w:tc>
          <w:tcPr>
            <w:tcW w:w="1800" w:type="dxa"/>
            <w:shd w:val="clear" w:color="auto" w:fill="auto"/>
          </w:tcPr>
          <w:p w14:paraId="1AE002B5" w14:textId="77777777" w:rsidR="00935ABF" w:rsidRPr="002B4648" w:rsidRDefault="00935ABF" w:rsidP="00505972">
            <w:pPr>
              <w:spacing w:line="240" w:lineRule="auto"/>
              <w:rPr>
                <w:szCs w:val="24"/>
              </w:rPr>
            </w:pPr>
            <w:r w:rsidRPr="002B4648">
              <w:rPr>
                <w:szCs w:val="24"/>
              </w:rPr>
              <w:t>R</w:t>
            </w:r>
            <w:r w:rsidRPr="002B4648">
              <w:rPr>
                <w:szCs w:val="24"/>
                <w:vertAlign w:val="superscript"/>
              </w:rPr>
              <w:t>2</w:t>
            </w:r>
          </w:p>
        </w:tc>
        <w:tc>
          <w:tcPr>
            <w:tcW w:w="2070" w:type="dxa"/>
            <w:shd w:val="clear" w:color="auto" w:fill="auto"/>
          </w:tcPr>
          <w:p w14:paraId="1ED49852" w14:textId="77777777" w:rsidR="00935ABF" w:rsidRPr="002B4648" w:rsidRDefault="00935ABF" w:rsidP="00505972">
            <w:pPr>
              <w:spacing w:line="240" w:lineRule="auto"/>
              <w:rPr>
                <w:szCs w:val="24"/>
              </w:rPr>
            </w:pPr>
            <w:r w:rsidRPr="002B4648">
              <w:rPr>
                <w:szCs w:val="24"/>
              </w:rPr>
              <w:t>Adjusted R</w:t>
            </w:r>
            <w:r w:rsidRPr="002B4648">
              <w:rPr>
                <w:szCs w:val="24"/>
                <w:vertAlign w:val="superscript"/>
              </w:rPr>
              <w:t>2</w:t>
            </w:r>
          </w:p>
        </w:tc>
        <w:tc>
          <w:tcPr>
            <w:tcW w:w="1980" w:type="dxa"/>
            <w:shd w:val="clear" w:color="auto" w:fill="auto"/>
          </w:tcPr>
          <w:p w14:paraId="5CE44EF7" w14:textId="77777777" w:rsidR="00935ABF" w:rsidRPr="002B4648" w:rsidRDefault="00935ABF" w:rsidP="00505972">
            <w:pPr>
              <w:spacing w:line="240" w:lineRule="auto"/>
              <w:rPr>
                <w:szCs w:val="24"/>
              </w:rPr>
            </w:pPr>
            <w:r w:rsidRPr="002B4648">
              <w:rPr>
                <w:szCs w:val="24"/>
              </w:rPr>
              <w:t>Standard Error</w:t>
            </w:r>
          </w:p>
        </w:tc>
        <w:tc>
          <w:tcPr>
            <w:tcW w:w="2070" w:type="dxa"/>
            <w:shd w:val="clear" w:color="auto" w:fill="auto"/>
          </w:tcPr>
          <w:p w14:paraId="3DB63704" w14:textId="77777777" w:rsidR="00935ABF" w:rsidRPr="002B4648" w:rsidRDefault="00935ABF" w:rsidP="00505972">
            <w:pPr>
              <w:spacing w:line="240" w:lineRule="auto"/>
              <w:rPr>
                <w:szCs w:val="24"/>
              </w:rPr>
            </w:pPr>
          </w:p>
        </w:tc>
      </w:tr>
      <w:tr w:rsidR="00935ABF" w:rsidRPr="002B4648" w14:paraId="523BE911" w14:textId="77777777" w:rsidTr="00572115">
        <w:tc>
          <w:tcPr>
            <w:tcW w:w="1818" w:type="dxa"/>
            <w:shd w:val="clear" w:color="auto" w:fill="auto"/>
          </w:tcPr>
          <w:p w14:paraId="728ADB79" w14:textId="77777777" w:rsidR="00935ABF" w:rsidRPr="002B4648" w:rsidRDefault="00935ABF" w:rsidP="00505972">
            <w:pPr>
              <w:spacing w:line="240" w:lineRule="auto"/>
              <w:rPr>
                <w:szCs w:val="24"/>
              </w:rPr>
            </w:pPr>
            <w:r w:rsidRPr="002B4648">
              <w:rPr>
                <w:szCs w:val="24"/>
              </w:rPr>
              <w:t>0.</w:t>
            </w:r>
            <w:r>
              <w:rPr>
                <w:szCs w:val="24"/>
              </w:rPr>
              <w:t>737</w:t>
            </w:r>
          </w:p>
        </w:tc>
        <w:tc>
          <w:tcPr>
            <w:tcW w:w="1800" w:type="dxa"/>
            <w:shd w:val="clear" w:color="auto" w:fill="auto"/>
          </w:tcPr>
          <w:p w14:paraId="5412B6C7" w14:textId="77777777" w:rsidR="00935ABF" w:rsidRPr="002B4648" w:rsidRDefault="00935ABF" w:rsidP="00505972">
            <w:pPr>
              <w:spacing w:line="240" w:lineRule="auto"/>
              <w:rPr>
                <w:szCs w:val="24"/>
              </w:rPr>
            </w:pPr>
            <w:r w:rsidRPr="002B4648">
              <w:rPr>
                <w:szCs w:val="24"/>
              </w:rPr>
              <w:t>0.</w:t>
            </w:r>
            <w:r>
              <w:rPr>
                <w:szCs w:val="24"/>
              </w:rPr>
              <w:t>6295</w:t>
            </w:r>
          </w:p>
        </w:tc>
        <w:tc>
          <w:tcPr>
            <w:tcW w:w="2070" w:type="dxa"/>
            <w:shd w:val="clear" w:color="auto" w:fill="auto"/>
          </w:tcPr>
          <w:p w14:paraId="6CFADA04" w14:textId="77777777" w:rsidR="00935ABF" w:rsidRPr="002B4648" w:rsidRDefault="00935ABF" w:rsidP="00505972">
            <w:pPr>
              <w:spacing w:line="240" w:lineRule="auto"/>
              <w:rPr>
                <w:szCs w:val="24"/>
              </w:rPr>
            </w:pPr>
            <w:r w:rsidRPr="00B22E9F">
              <w:rPr>
                <w:szCs w:val="24"/>
              </w:rPr>
              <w:t>0.6115</w:t>
            </w:r>
          </w:p>
        </w:tc>
        <w:tc>
          <w:tcPr>
            <w:tcW w:w="1980" w:type="dxa"/>
            <w:shd w:val="clear" w:color="auto" w:fill="auto"/>
          </w:tcPr>
          <w:p w14:paraId="6E8AB09B" w14:textId="77777777" w:rsidR="00935ABF" w:rsidRPr="002B4648" w:rsidRDefault="00935ABF" w:rsidP="00505972">
            <w:pPr>
              <w:spacing w:line="240" w:lineRule="auto"/>
              <w:rPr>
                <w:szCs w:val="24"/>
              </w:rPr>
            </w:pPr>
            <w:r>
              <w:rPr>
                <w:szCs w:val="24"/>
              </w:rPr>
              <w:t>0.7234</w:t>
            </w:r>
          </w:p>
        </w:tc>
        <w:tc>
          <w:tcPr>
            <w:tcW w:w="2070" w:type="dxa"/>
            <w:shd w:val="clear" w:color="auto" w:fill="auto"/>
          </w:tcPr>
          <w:p w14:paraId="59A60C8A" w14:textId="77777777" w:rsidR="00935ABF" w:rsidRPr="002B4648" w:rsidRDefault="00935ABF" w:rsidP="00505972">
            <w:pPr>
              <w:spacing w:line="240" w:lineRule="auto"/>
              <w:rPr>
                <w:szCs w:val="24"/>
              </w:rPr>
            </w:pPr>
          </w:p>
        </w:tc>
      </w:tr>
    </w:tbl>
    <w:p w14:paraId="5F691055" w14:textId="77777777" w:rsidR="00935ABF" w:rsidRDefault="00935ABF" w:rsidP="00505972">
      <w:pPr>
        <w:spacing w:line="240" w:lineRule="auto"/>
        <w:rPr>
          <w:rFonts w:eastAsia="Times New Roman" w:cs="Times New Roman"/>
          <w:b/>
          <w:szCs w:val="24"/>
        </w:rPr>
      </w:pPr>
      <w:r w:rsidRPr="0088230E">
        <w:rPr>
          <w:rFonts w:eastAsia="Times New Roman" w:cs="Times New Roman"/>
          <w:b/>
          <w:szCs w:val="24"/>
        </w:rPr>
        <w:t>Source (Researcher 2025)</w:t>
      </w:r>
    </w:p>
    <w:p w14:paraId="0E8C7A01" w14:textId="6CAD93AD" w:rsidR="00323D68" w:rsidRPr="009F6D2D" w:rsidRDefault="009F6D2D" w:rsidP="00505972">
      <w:pPr>
        <w:spacing w:line="240" w:lineRule="auto"/>
        <w:rPr>
          <w:b/>
          <w:bCs/>
          <w:sz w:val="28"/>
          <w:szCs w:val="24"/>
        </w:rPr>
      </w:pPr>
      <w:r w:rsidRPr="009F6D2D">
        <w:rPr>
          <w:b/>
          <w:bCs/>
          <w:sz w:val="28"/>
          <w:szCs w:val="24"/>
        </w:rPr>
        <w:t xml:space="preserve">4.5 </w:t>
      </w:r>
      <w:r w:rsidR="00774F84" w:rsidRPr="009F6D2D">
        <w:rPr>
          <w:b/>
          <w:bCs/>
          <w:sz w:val="28"/>
          <w:szCs w:val="24"/>
        </w:rPr>
        <w:t>Analysis of Variance</w:t>
      </w:r>
    </w:p>
    <w:p w14:paraId="50C1A402" w14:textId="61705F19" w:rsidR="00774F84" w:rsidRPr="00774F84" w:rsidRDefault="00774F84" w:rsidP="00505972">
      <w:pPr>
        <w:spacing w:line="240" w:lineRule="auto"/>
      </w:pPr>
      <w:r w:rsidRPr="00774F84">
        <w:t xml:space="preserve">Additional ANOVA tests were conducted to assess the model's effectiveness in explaining relationships within the theoretical framework. Table </w:t>
      </w:r>
      <w:r w:rsidR="009F6D2D">
        <w:t>7</w:t>
      </w:r>
      <w:r w:rsidRPr="00774F84">
        <w:t xml:space="preserve"> shows an F-statistic of 12.214 with a significance level of 0.000, below the 0.05 threshold. This confirms the model's statistical validity and the significant impact of each predictor variable on the outcome.</w:t>
      </w:r>
    </w:p>
    <w:p w14:paraId="60E9621F" w14:textId="419A8216" w:rsidR="00774F84" w:rsidRPr="009F6D2D" w:rsidRDefault="00774F84" w:rsidP="00505972">
      <w:pPr>
        <w:spacing w:line="240" w:lineRule="auto"/>
        <w:rPr>
          <w:rFonts w:eastAsia="Times New Roman" w:cs="Times New Roman"/>
          <w:b/>
          <w:i/>
          <w:iCs/>
          <w:szCs w:val="24"/>
        </w:rPr>
      </w:pPr>
      <w:r w:rsidRPr="009F6D2D">
        <w:rPr>
          <w:rFonts w:eastAsia="Times New Roman" w:cs="Times New Roman"/>
          <w:b/>
          <w:i/>
          <w:iCs/>
          <w:szCs w:val="24"/>
        </w:rPr>
        <w:t xml:space="preserve">Table </w:t>
      </w:r>
      <w:r w:rsidR="009F6D2D" w:rsidRPr="009F6D2D">
        <w:rPr>
          <w:rFonts w:eastAsia="Times New Roman" w:cs="Times New Roman"/>
          <w:b/>
          <w:i/>
          <w:iCs/>
          <w:szCs w:val="24"/>
        </w:rPr>
        <w:t>7</w:t>
      </w:r>
      <w:r w:rsidRPr="009F6D2D">
        <w:rPr>
          <w:rFonts w:eastAsia="Times New Roman" w:cs="Times New Roman"/>
          <w:b/>
          <w:i/>
          <w:iCs/>
          <w:szCs w:val="24"/>
        </w:rPr>
        <w:t>. ANOVA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632"/>
        <w:gridCol w:w="1633"/>
        <w:gridCol w:w="1633"/>
        <w:gridCol w:w="1633"/>
        <w:gridCol w:w="1633"/>
      </w:tblGrid>
      <w:tr w:rsidR="00774F84" w:rsidRPr="002B4648" w14:paraId="76CF8182" w14:textId="77777777" w:rsidTr="00572115">
        <w:tc>
          <w:tcPr>
            <w:tcW w:w="1524" w:type="dxa"/>
            <w:shd w:val="clear" w:color="auto" w:fill="auto"/>
          </w:tcPr>
          <w:p w14:paraId="746633C6" w14:textId="77777777" w:rsidR="00774F84" w:rsidRPr="002B4648" w:rsidRDefault="00774F84" w:rsidP="00505972">
            <w:pPr>
              <w:spacing w:line="240" w:lineRule="auto"/>
              <w:rPr>
                <w:szCs w:val="24"/>
              </w:rPr>
            </w:pPr>
            <w:r w:rsidRPr="00A900F1">
              <w:rPr>
                <w:szCs w:val="24"/>
              </w:rPr>
              <w:t>Regression model</w:t>
            </w:r>
          </w:p>
        </w:tc>
        <w:tc>
          <w:tcPr>
            <w:tcW w:w="1632" w:type="dxa"/>
            <w:shd w:val="clear" w:color="auto" w:fill="auto"/>
          </w:tcPr>
          <w:p w14:paraId="0FDD1E15" w14:textId="77777777" w:rsidR="00774F84" w:rsidRPr="002B4648" w:rsidRDefault="00774F84" w:rsidP="00505972">
            <w:pPr>
              <w:spacing w:line="240" w:lineRule="auto"/>
              <w:rPr>
                <w:szCs w:val="24"/>
              </w:rPr>
            </w:pPr>
            <w:r w:rsidRPr="00A900F1">
              <w:rPr>
                <w:szCs w:val="24"/>
              </w:rPr>
              <w:t>Freedom degrees</w:t>
            </w:r>
          </w:p>
        </w:tc>
        <w:tc>
          <w:tcPr>
            <w:tcW w:w="1633" w:type="dxa"/>
            <w:shd w:val="clear" w:color="auto" w:fill="auto"/>
          </w:tcPr>
          <w:p w14:paraId="30D7B584" w14:textId="77777777" w:rsidR="00774F84" w:rsidRPr="002B4648" w:rsidRDefault="00774F84" w:rsidP="00505972">
            <w:pPr>
              <w:spacing w:line="240" w:lineRule="auto"/>
              <w:jc w:val="center"/>
              <w:rPr>
                <w:szCs w:val="24"/>
              </w:rPr>
            </w:pPr>
            <w:r w:rsidRPr="002B4648">
              <w:rPr>
                <w:szCs w:val="24"/>
              </w:rPr>
              <w:t>SS</w:t>
            </w:r>
          </w:p>
        </w:tc>
        <w:tc>
          <w:tcPr>
            <w:tcW w:w="1633" w:type="dxa"/>
            <w:shd w:val="clear" w:color="auto" w:fill="auto"/>
          </w:tcPr>
          <w:p w14:paraId="5E5B5108" w14:textId="77777777" w:rsidR="00774F84" w:rsidRPr="002B4648" w:rsidRDefault="00774F84" w:rsidP="00505972">
            <w:pPr>
              <w:spacing w:line="240" w:lineRule="auto"/>
              <w:jc w:val="center"/>
              <w:rPr>
                <w:szCs w:val="24"/>
              </w:rPr>
            </w:pPr>
            <w:r w:rsidRPr="002B4648">
              <w:rPr>
                <w:szCs w:val="24"/>
              </w:rPr>
              <w:t>MS</w:t>
            </w:r>
          </w:p>
        </w:tc>
        <w:tc>
          <w:tcPr>
            <w:tcW w:w="1633" w:type="dxa"/>
            <w:shd w:val="clear" w:color="auto" w:fill="auto"/>
          </w:tcPr>
          <w:p w14:paraId="70409611" w14:textId="77777777" w:rsidR="00774F84" w:rsidRPr="002B4648" w:rsidRDefault="00774F84" w:rsidP="00505972">
            <w:pPr>
              <w:spacing w:line="240" w:lineRule="auto"/>
              <w:jc w:val="center"/>
              <w:rPr>
                <w:szCs w:val="24"/>
              </w:rPr>
            </w:pPr>
            <w:r w:rsidRPr="002B4648">
              <w:rPr>
                <w:szCs w:val="24"/>
              </w:rPr>
              <w:t>F</w:t>
            </w:r>
          </w:p>
        </w:tc>
        <w:tc>
          <w:tcPr>
            <w:tcW w:w="1633" w:type="dxa"/>
            <w:shd w:val="clear" w:color="auto" w:fill="auto"/>
          </w:tcPr>
          <w:p w14:paraId="78C9F52C" w14:textId="77777777" w:rsidR="00774F84" w:rsidRPr="002B4648" w:rsidRDefault="00774F84" w:rsidP="00505972">
            <w:pPr>
              <w:spacing w:line="240" w:lineRule="auto"/>
              <w:jc w:val="center"/>
              <w:rPr>
                <w:szCs w:val="24"/>
              </w:rPr>
            </w:pPr>
            <w:r>
              <w:rPr>
                <w:szCs w:val="24"/>
              </w:rPr>
              <w:t xml:space="preserve">Significance </w:t>
            </w:r>
          </w:p>
        </w:tc>
      </w:tr>
      <w:tr w:rsidR="00774F84" w:rsidRPr="002B4648" w14:paraId="13F7BE1D" w14:textId="77777777" w:rsidTr="00572115">
        <w:tc>
          <w:tcPr>
            <w:tcW w:w="1524" w:type="dxa"/>
            <w:shd w:val="clear" w:color="auto" w:fill="auto"/>
          </w:tcPr>
          <w:p w14:paraId="11A8410E" w14:textId="77777777" w:rsidR="00774F84" w:rsidRPr="002B4648" w:rsidRDefault="00774F84" w:rsidP="00505972">
            <w:pPr>
              <w:spacing w:line="240" w:lineRule="auto"/>
              <w:rPr>
                <w:szCs w:val="24"/>
              </w:rPr>
            </w:pPr>
            <w:r w:rsidRPr="00A900F1">
              <w:rPr>
                <w:szCs w:val="24"/>
              </w:rPr>
              <w:t>Predictive analysis</w:t>
            </w:r>
          </w:p>
        </w:tc>
        <w:tc>
          <w:tcPr>
            <w:tcW w:w="1632" w:type="dxa"/>
            <w:shd w:val="clear" w:color="auto" w:fill="auto"/>
          </w:tcPr>
          <w:p w14:paraId="7ED46E0E" w14:textId="77777777" w:rsidR="00774F84" w:rsidRPr="002B4648" w:rsidRDefault="00774F84" w:rsidP="00505972">
            <w:pPr>
              <w:spacing w:line="240" w:lineRule="auto"/>
              <w:rPr>
                <w:szCs w:val="24"/>
              </w:rPr>
            </w:pPr>
            <w:r>
              <w:rPr>
                <w:szCs w:val="24"/>
              </w:rPr>
              <w:t>4</w:t>
            </w:r>
          </w:p>
        </w:tc>
        <w:tc>
          <w:tcPr>
            <w:tcW w:w="1633" w:type="dxa"/>
            <w:shd w:val="clear" w:color="auto" w:fill="auto"/>
          </w:tcPr>
          <w:p w14:paraId="368F033A" w14:textId="77777777" w:rsidR="00774F84" w:rsidRPr="002B4648" w:rsidRDefault="00774F84" w:rsidP="00505972">
            <w:pPr>
              <w:spacing w:line="240" w:lineRule="auto"/>
              <w:rPr>
                <w:szCs w:val="24"/>
              </w:rPr>
            </w:pPr>
            <w:r>
              <w:rPr>
                <w:szCs w:val="24"/>
              </w:rPr>
              <w:t>28.147</w:t>
            </w:r>
          </w:p>
        </w:tc>
        <w:tc>
          <w:tcPr>
            <w:tcW w:w="1633" w:type="dxa"/>
            <w:shd w:val="clear" w:color="auto" w:fill="auto"/>
          </w:tcPr>
          <w:p w14:paraId="277B9087" w14:textId="77777777" w:rsidR="00774F84" w:rsidRPr="002B4648" w:rsidRDefault="00774F84" w:rsidP="00505972">
            <w:pPr>
              <w:spacing w:line="240" w:lineRule="auto"/>
              <w:rPr>
                <w:szCs w:val="24"/>
              </w:rPr>
            </w:pPr>
            <w:r>
              <w:rPr>
                <w:szCs w:val="24"/>
              </w:rPr>
              <w:t>7.9963</w:t>
            </w:r>
          </w:p>
        </w:tc>
        <w:tc>
          <w:tcPr>
            <w:tcW w:w="1633" w:type="dxa"/>
            <w:shd w:val="clear" w:color="auto" w:fill="auto"/>
          </w:tcPr>
          <w:p w14:paraId="4A645752" w14:textId="77777777" w:rsidR="00774F84" w:rsidRPr="002B4648" w:rsidRDefault="00774F84" w:rsidP="00505972">
            <w:pPr>
              <w:spacing w:line="240" w:lineRule="auto"/>
              <w:rPr>
                <w:szCs w:val="24"/>
              </w:rPr>
            </w:pPr>
            <w:r>
              <w:rPr>
                <w:szCs w:val="24"/>
              </w:rPr>
              <w:t>12</w:t>
            </w:r>
            <w:r w:rsidRPr="002B4648">
              <w:rPr>
                <w:szCs w:val="24"/>
              </w:rPr>
              <w:t>.</w:t>
            </w:r>
            <w:r>
              <w:rPr>
                <w:szCs w:val="24"/>
              </w:rPr>
              <w:t>214</w:t>
            </w:r>
          </w:p>
        </w:tc>
        <w:tc>
          <w:tcPr>
            <w:tcW w:w="1633" w:type="dxa"/>
            <w:shd w:val="clear" w:color="auto" w:fill="auto"/>
          </w:tcPr>
          <w:p w14:paraId="0676BB2F" w14:textId="77777777" w:rsidR="00774F84" w:rsidRPr="002B4648" w:rsidRDefault="00774F84" w:rsidP="00505972">
            <w:pPr>
              <w:spacing w:line="240" w:lineRule="auto"/>
              <w:rPr>
                <w:szCs w:val="24"/>
              </w:rPr>
            </w:pPr>
            <w:r>
              <w:rPr>
                <w:szCs w:val="24"/>
              </w:rPr>
              <w:t>0.000</w:t>
            </w:r>
          </w:p>
        </w:tc>
      </w:tr>
      <w:tr w:rsidR="00774F84" w:rsidRPr="002B4648" w14:paraId="13DB14DA" w14:textId="77777777" w:rsidTr="00572115">
        <w:tc>
          <w:tcPr>
            <w:tcW w:w="1524" w:type="dxa"/>
            <w:shd w:val="clear" w:color="auto" w:fill="auto"/>
          </w:tcPr>
          <w:p w14:paraId="22450F51" w14:textId="77777777" w:rsidR="00774F84" w:rsidRPr="002B4648" w:rsidRDefault="00774F84" w:rsidP="00505972">
            <w:pPr>
              <w:spacing w:line="240" w:lineRule="auto"/>
              <w:rPr>
                <w:szCs w:val="24"/>
              </w:rPr>
            </w:pPr>
            <w:r w:rsidRPr="002B4648">
              <w:rPr>
                <w:szCs w:val="24"/>
              </w:rPr>
              <w:t>Residual</w:t>
            </w:r>
          </w:p>
        </w:tc>
        <w:tc>
          <w:tcPr>
            <w:tcW w:w="1632" w:type="dxa"/>
            <w:shd w:val="clear" w:color="auto" w:fill="auto"/>
          </w:tcPr>
          <w:p w14:paraId="4E69536B" w14:textId="77777777" w:rsidR="00774F84" w:rsidRPr="002B4648" w:rsidRDefault="00774F84" w:rsidP="00505972">
            <w:pPr>
              <w:spacing w:line="240" w:lineRule="auto"/>
              <w:rPr>
                <w:szCs w:val="24"/>
              </w:rPr>
            </w:pPr>
            <w:r>
              <w:rPr>
                <w:szCs w:val="24"/>
              </w:rPr>
              <w:t>205</w:t>
            </w:r>
          </w:p>
        </w:tc>
        <w:tc>
          <w:tcPr>
            <w:tcW w:w="1633" w:type="dxa"/>
            <w:shd w:val="clear" w:color="auto" w:fill="auto"/>
          </w:tcPr>
          <w:p w14:paraId="39B2042B" w14:textId="77777777" w:rsidR="00774F84" w:rsidRPr="002B4648" w:rsidRDefault="00774F84" w:rsidP="00505972">
            <w:pPr>
              <w:spacing w:line="240" w:lineRule="auto"/>
              <w:rPr>
                <w:szCs w:val="24"/>
              </w:rPr>
            </w:pPr>
            <w:r>
              <w:rPr>
                <w:szCs w:val="24"/>
              </w:rPr>
              <w:t>120.571</w:t>
            </w:r>
          </w:p>
        </w:tc>
        <w:tc>
          <w:tcPr>
            <w:tcW w:w="1633" w:type="dxa"/>
            <w:shd w:val="clear" w:color="auto" w:fill="auto"/>
          </w:tcPr>
          <w:p w14:paraId="7D56A65B" w14:textId="77777777" w:rsidR="00774F84" w:rsidRPr="002B4648" w:rsidRDefault="00774F84" w:rsidP="00505972">
            <w:pPr>
              <w:spacing w:line="240" w:lineRule="auto"/>
              <w:rPr>
                <w:szCs w:val="24"/>
              </w:rPr>
            </w:pPr>
            <w:r>
              <w:rPr>
                <w:szCs w:val="24"/>
              </w:rPr>
              <w:t>0.6475</w:t>
            </w:r>
          </w:p>
        </w:tc>
        <w:tc>
          <w:tcPr>
            <w:tcW w:w="1633" w:type="dxa"/>
            <w:shd w:val="clear" w:color="auto" w:fill="auto"/>
          </w:tcPr>
          <w:p w14:paraId="0038EEDE" w14:textId="77777777" w:rsidR="00774F84" w:rsidRPr="002B4648" w:rsidRDefault="00774F84" w:rsidP="00505972">
            <w:pPr>
              <w:spacing w:line="240" w:lineRule="auto"/>
              <w:rPr>
                <w:szCs w:val="24"/>
              </w:rPr>
            </w:pPr>
          </w:p>
        </w:tc>
        <w:tc>
          <w:tcPr>
            <w:tcW w:w="1633" w:type="dxa"/>
            <w:shd w:val="clear" w:color="auto" w:fill="auto"/>
          </w:tcPr>
          <w:p w14:paraId="23306D3A" w14:textId="77777777" w:rsidR="00774F84" w:rsidRPr="002B4648" w:rsidRDefault="00774F84" w:rsidP="00505972">
            <w:pPr>
              <w:spacing w:line="240" w:lineRule="auto"/>
              <w:rPr>
                <w:szCs w:val="24"/>
              </w:rPr>
            </w:pPr>
          </w:p>
        </w:tc>
      </w:tr>
      <w:tr w:rsidR="00774F84" w:rsidRPr="002B4648" w14:paraId="440CAED5" w14:textId="77777777" w:rsidTr="00572115">
        <w:tc>
          <w:tcPr>
            <w:tcW w:w="1524" w:type="dxa"/>
            <w:shd w:val="clear" w:color="auto" w:fill="auto"/>
          </w:tcPr>
          <w:p w14:paraId="56BBBBB2" w14:textId="77777777" w:rsidR="00774F84" w:rsidRPr="002B4648" w:rsidRDefault="00774F84" w:rsidP="00505972">
            <w:pPr>
              <w:spacing w:line="240" w:lineRule="auto"/>
              <w:rPr>
                <w:szCs w:val="24"/>
              </w:rPr>
            </w:pPr>
            <w:r w:rsidRPr="002B4648">
              <w:rPr>
                <w:szCs w:val="24"/>
              </w:rPr>
              <w:t>Total</w:t>
            </w:r>
          </w:p>
        </w:tc>
        <w:tc>
          <w:tcPr>
            <w:tcW w:w="1632" w:type="dxa"/>
            <w:shd w:val="clear" w:color="auto" w:fill="auto"/>
          </w:tcPr>
          <w:p w14:paraId="7B1C86F5" w14:textId="77777777" w:rsidR="00774F84" w:rsidRPr="002B4648" w:rsidRDefault="00774F84" w:rsidP="00505972">
            <w:pPr>
              <w:spacing w:line="240" w:lineRule="auto"/>
              <w:rPr>
                <w:szCs w:val="24"/>
              </w:rPr>
            </w:pPr>
            <w:r>
              <w:rPr>
                <w:szCs w:val="24"/>
              </w:rPr>
              <w:t>209</w:t>
            </w:r>
          </w:p>
        </w:tc>
        <w:tc>
          <w:tcPr>
            <w:tcW w:w="1633" w:type="dxa"/>
            <w:shd w:val="clear" w:color="auto" w:fill="auto"/>
          </w:tcPr>
          <w:p w14:paraId="10726968" w14:textId="77777777" w:rsidR="00774F84" w:rsidRPr="002B4648" w:rsidRDefault="00774F84" w:rsidP="00505972">
            <w:pPr>
              <w:spacing w:line="240" w:lineRule="auto"/>
              <w:rPr>
                <w:szCs w:val="24"/>
              </w:rPr>
            </w:pPr>
            <w:r>
              <w:rPr>
                <w:szCs w:val="24"/>
              </w:rPr>
              <w:t>148.718</w:t>
            </w:r>
          </w:p>
        </w:tc>
        <w:tc>
          <w:tcPr>
            <w:tcW w:w="1633" w:type="dxa"/>
            <w:shd w:val="clear" w:color="auto" w:fill="auto"/>
          </w:tcPr>
          <w:p w14:paraId="10426CC3" w14:textId="77777777" w:rsidR="00774F84" w:rsidRPr="002B4648" w:rsidRDefault="00774F84" w:rsidP="00505972">
            <w:pPr>
              <w:spacing w:line="240" w:lineRule="auto"/>
              <w:rPr>
                <w:szCs w:val="24"/>
              </w:rPr>
            </w:pPr>
          </w:p>
        </w:tc>
        <w:tc>
          <w:tcPr>
            <w:tcW w:w="1633" w:type="dxa"/>
            <w:shd w:val="clear" w:color="auto" w:fill="auto"/>
          </w:tcPr>
          <w:p w14:paraId="5F532E3C" w14:textId="77777777" w:rsidR="00774F84" w:rsidRPr="002B4648" w:rsidRDefault="00774F84" w:rsidP="00505972">
            <w:pPr>
              <w:spacing w:line="240" w:lineRule="auto"/>
              <w:rPr>
                <w:szCs w:val="24"/>
              </w:rPr>
            </w:pPr>
          </w:p>
        </w:tc>
        <w:tc>
          <w:tcPr>
            <w:tcW w:w="1633" w:type="dxa"/>
            <w:shd w:val="clear" w:color="auto" w:fill="auto"/>
          </w:tcPr>
          <w:p w14:paraId="152192E2" w14:textId="77777777" w:rsidR="00774F84" w:rsidRPr="002B4648" w:rsidRDefault="00774F84" w:rsidP="00505972">
            <w:pPr>
              <w:spacing w:line="240" w:lineRule="auto"/>
              <w:rPr>
                <w:szCs w:val="24"/>
              </w:rPr>
            </w:pPr>
          </w:p>
        </w:tc>
      </w:tr>
    </w:tbl>
    <w:p w14:paraId="359C0D34" w14:textId="77777777" w:rsidR="00774F84" w:rsidRDefault="00774F84" w:rsidP="00505972">
      <w:pPr>
        <w:spacing w:line="240" w:lineRule="auto"/>
        <w:rPr>
          <w:rFonts w:eastAsia="Times New Roman" w:cs="Times New Roman"/>
          <w:b/>
          <w:szCs w:val="24"/>
        </w:rPr>
      </w:pPr>
      <w:r w:rsidRPr="0088230E">
        <w:rPr>
          <w:rFonts w:eastAsia="Times New Roman" w:cs="Times New Roman"/>
          <w:b/>
          <w:szCs w:val="24"/>
        </w:rPr>
        <w:lastRenderedPageBreak/>
        <w:t>Source (Researcher 2025)</w:t>
      </w:r>
    </w:p>
    <w:p w14:paraId="490FC793" w14:textId="48BA39ED" w:rsidR="00323D68" w:rsidRPr="009F6D2D" w:rsidRDefault="009F6D2D" w:rsidP="00505972">
      <w:pPr>
        <w:spacing w:line="240" w:lineRule="auto"/>
        <w:rPr>
          <w:b/>
          <w:bCs/>
          <w:sz w:val="28"/>
          <w:szCs w:val="24"/>
        </w:rPr>
      </w:pPr>
      <w:r w:rsidRPr="009F6D2D">
        <w:rPr>
          <w:b/>
          <w:bCs/>
          <w:sz w:val="28"/>
          <w:szCs w:val="24"/>
        </w:rPr>
        <w:t xml:space="preserve">4.6 </w:t>
      </w:r>
      <w:r w:rsidR="00A96A1E" w:rsidRPr="009F6D2D">
        <w:rPr>
          <w:b/>
          <w:bCs/>
          <w:sz w:val="28"/>
          <w:szCs w:val="24"/>
        </w:rPr>
        <w:t>Coefficients of Regression</w:t>
      </w:r>
    </w:p>
    <w:p w14:paraId="6C5E1C1D" w14:textId="29C201DD" w:rsidR="00A96A1E" w:rsidRPr="00A96A1E" w:rsidRDefault="00A96A1E" w:rsidP="00505972">
      <w:pPr>
        <w:spacing w:line="240" w:lineRule="auto"/>
        <w:rPr>
          <w:rFonts w:cs="Times New Roman"/>
          <w:color w:val="000000" w:themeColor="text1"/>
          <w:szCs w:val="24"/>
        </w:rPr>
      </w:pPr>
      <w:r w:rsidRPr="00A96A1E">
        <w:rPr>
          <w:rFonts w:cs="Times New Roman"/>
          <w:color w:val="000000" w:themeColor="text1"/>
          <w:szCs w:val="24"/>
        </w:rPr>
        <w:t>A regression analysis was conducted to evaluate the combined impact of tax literacy, taxpayer awareness, cost acceptance, and tax rates on tax adherence by residential property owners. The regression model used was \( Y = 1.058 + 0.364X1 + 0.254X2 + 0.235X3 - 0.221X4 \), where Y represents tax compliance, and X1, X2, X3, and X4 denote tax literacy, tax awareness, cost acceptance, and tax rate, respectively. The findings revealed a statistically significant intercept (β0 = 1.058, p = 0.000). Tax literacy (β1 = 0.364, p = 0.000), tax awareness (β2 = 0.254, p = 0.015), and cost acceptance (β3 = 0.235, p = 0.002) positively influenced tax compliance. Conversely, an increase in the tax rate (β4 = -0.221, p = 0.007) negatively affected adherence. These results suggest that improving tax literacy, awareness, and cost acceptance enhances compliance, while higher tax rates reduce adherence among residential property owners.</w:t>
      </w:r>
    </w:p>
    <w:p w14:paraId="511E96C4" w14:textId="45750306" w:rsidR="00A96A1E" w:rsidRPr="009F6D2D" w:rsidRDefault="00A96A1E" w:rsidP="009F6D2D">
      <w:pPr>
        <w:rPr>
          <w:b/>
          <w:bCs/>
          <w:i/>
          <w:iCs/>
        </w:rPr>
      </w:pPr>
      <w:bookmarkStart w:id="6" w:name="_Toc192056859"/>
      <w:r w:rsidRPr="009F6D2D">
        <w:rPr>
          <w:b/>
          <w:bCs/>
          <w:i/>
          <w:iCs/>
        </w:rPr>
        <w:t xml:space="preserve">Table </w:t>
      </w:r>
      <w:r w:rsidR="009F6D2D" w:rsidRPr="009F6D2D">
        <w:rPr>
          <w:b/>
          <w:bCs/>
          <w:i/>
          <w:iCs/>
        </w:rPr>
        <w:t>8</w:t>
      </w:r>
      <w:r w:rsidRPr="009F6D2D">
        <w:rPr>
          <w:b/>
          <w:bCs/>
          <w:i/>
          <w:iCs/>
        </w:rPr>
        <w:t>. Coefficients of regression</w:t>
      </w:r>
      <w:bookmarkEnd w:id="6"/>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2"/>
        <w:gridCol w:w="1389"/>
        <w:gridCol w:w="1794"/>
        <w:gridCol w:w="1257"/>
        <w:gridCol w:w="1078"/>
      </w:tblGrid>
      <w:tr w:rsidR="00A96A1E" w:rsidRPr="00B22E9F" w14:paraId="61D837DE" w14:textId="77777777" w:rsidTr="00572115">
        <w:tc>
          <w:tcPr>
            <w:tcW w:w="3842" w:type="dxa"/>
            <w:shd w:val="clear" w:color="auto" w:fill="auto"/>
          </w:tcPr>
          <w:p w14:paraId="1D8AB4B9" w14:textId="77777777" w:rsidR="00A96A1E" w:rsidRPr="00B22E9F" w:rsidRDefault="00A96A1E" w:rsidP="00505972">
            <w:pPr>
              <w:pStyle w:val="BodyText"/>
              <w:ind w:right="114"/>
              <w:jc w:val="both"/>
              <w:rPr>
                <w:rFonts w:eastAsia="Calibri"/>
              </w:rPr>
            </w:pPr>
            <w:r w:rsidRPr="00B22E9F">
              <w:rPr>
                <w:rFonts w:eastAsia="Calibri"/>
              </w:rPr>
              <w:t>Items</w:t>
            </w:r>
          </w:p>
        </w:tc>
        <w:tc>
          <w:tcPr>
            <w:tcW w:w="1389" w:type="dxa"/>
            <w:shd w:val="clear" w:color="auto" w:fill="auto"/>
          </w:tcPr>
          <w:p w14:paraId="6D43D6AD" w14:textId="77777777" w:rsidR="00A96A1E" w:rsidRPr="00B22E9F" w:rsidRDefault="00A96A1E" w:rsidP="00505972">
            <w:pPr>
              <w:pStyle w:val="BodyText"/>
              <w:ind w:right="114"/>
              <w:jc w:val="both"/>
              <w:rPr>
                <w:rFonts w:eastAsia="Calibri"/>
              </w:rPr>
            </w:pPr>
            <w:r>
              <w:t>Regressors</w:t>
            </w:r>
          </w:p>
        </w:tc>
        <w:tc>
          <w:tcPr>
            <w:tcW w:w="1794" w:type="dxa"/>
            <w:shd w:val="clear" w:color="auto" w:fill="auto"/>
          </w:tcPr>
          <w:p w14:paraId="5E8F90E6" w14:textId="77777777" w:rsidR="00A96A1E" w:rsidRPr="00B22E9F" w:rsidRDefault="00A96A1E" w:rsidP="00505972">
            <w:pPr>
              <w:pStyle w:val="BodyText"/>
              <w:ind w:right="114"/>
              <w:jc w:val="both"/>
              <w:rPr>
                <w:rFonts w:eastAsia="Calibri"/>
              </w:rPr>
            </w:pPr>
            <w:r w:rsidRPr="00B22E9F">
              <w:rPr>
                <w:rFonts w:eastAsia="Calibri"/>
              </w:rPr>
              <w:t>Standard Error</w:t>
            </w:r>
          </w:p>
        </w:tc>
        <w:tc>
          <w:tcPr>
            <w:tcW w:w="1257" w:type="dxa"/>
            <w:shd w:val="clear" w:color="auto" w:fill="auto"/>
          </w:tcPr>
          <w:p w14:paraId="44B6B0AE" w14:textId="77777777" w:rsidR="00A96A1E" w:rsidRPr="00B22E9F" w:rsidRDefault="00A96A1E" w:rsidP="00505972">
            <w:pPr>
              <w:pStyle w:val="BodyText"/>
              <w:ind w:right="114"/>
              <w:jc w:val="both"/>
              <w:rPr>
                <w:rFonts w:eastAsia="Calibri"/>
              </w:rPr>
            </w:pPr>
            <w:r w:rsidRPr="00B22E9F">
              <w:rPr>
                <w:rFonts w:eastAsia="Calibri"/>
              </w:rPr>
              <w:t>t-Stat</w:t>
            </w:r>
          </w:p>
        </w:tc>
        <w:tc>
          <w:tcPr>
            <w:tcW w:w="1078" w:type="dxa"/>
            <w:shd w:val="clear" w:color="auto" w:fill="auto"/>
          </w:tcPr>
          <w:p w14:paraId="2FA4D6FB" w14:textId="77777777" w:rsidR="00A96A1E" w:rsidRPr="00B22E9F" w:rsidRDefault="00A96A1E" w:rsidP="00505972">
            <w:pPr>
              <w:pStyle w:val="BodyText"/>
              <w:ind w:right="114"/>
              <w:jc w:val="both"/>
              <w:rPr>
                <w:rFonts w:eastAsia="Calibri"/>
              </w:rPr>
            </w:pPr>
            <w:r w:rsidRPr="00B22E9F">
              <w:rPr>
                <w:rFonts w:eastAsia="Calibri"/>
              </w:rPr>
              <w:t>p-value</w:t>
            </w:r>
          </w:p>
        </w:tc>
      </w:tr>
      <w:tr w:rsidR="00A96A1E" w:rsidRPr="00B22E9F" w14:paraId="7E379BB3" w14:textId="77777777" w:rsidTr="00572115">
        <w:tc>
          <w:tcPr>
            <w:tcW w:w="3842" w:type="dxa"/>
            <w:shd w:val="clear" w:color="auto" w:fill="auto"/>
          </w:tcPr>
          <w:p w14:paraId="3EE433F0" w14:textId="77777777" w:rsidR="00A96A1E" w:rsidRPr="00B22E9F" w:rsidRDefault="00A96A1E" w:rsidP="00505972">
            <w:pPr>
              <w:pStyle w:val="BodyText"/>
              <w:ind w:right="114"/>
              <w:jc w:val="both"/>
              <w:rPr>
                <w:rFonts w:eastAsia="Calibri"/>
              </w:rPr>
            </w:pPr>
            <w:r w:rsidRPr="00B22E9F">
              <w:rPr>
                <w:rFonts w:eastAsia="Calibri"/>
              </w:rPr>
              <w:t>Intercept</w:t>
            </w:r>
          </w:p>
        </w:tc>
        <w:tc>
          <w:tcPr>
            <w:tcW w:w="1389" w:type="dxa"/>
            <w:shd w:val="clear" w:color="auto" w:fill="auto"/>
          </w:tcPr>
          <w:p w14:paraId="53A9546E" w14:textId="77777777" w:rsidR="00A96A1E" w:rsidRPr="00B22E9F" w:rsidRDefault="00A96A1E" w:rsidP="00505972">
            <w:pPr>
              <w:pStyle w:val="BodyText"/>
              <w:ind w:right="114"/>
              <w:jc w:val="both"/>
              <w:rPr>
                <w:rFonts w:eastAsia="Calibri"/>
              </w:rPr>
            </w:pPr>
            <w:r w:rsidRPr="00B22E9F">
              <w:rPr>
                <w:rFonts w:eastAsia="Calibri"/>
              </w:rPr>
              <w:t>1.058</w:t>
            </w:r>
          </w:p>
        </w:tc>
        <w:tc>
          <w:tcPr>
            <w:tcW w:w="1794" w:type="dxa"/>
            <w:shd w:val="clear" w:color="auto" w:fill="auto"/>
          </w:tcPr>
          <w:p w14:paraId="2218DC6D" w14:textId="77777777" w:rsidR="00A96A1E" w:rsidRPr="00B22E9F" w:rsidRDefault="00A96A1E" w:rsidP="00505972">
            <w:pPr>
              <w:pStyle w:val="BodyText"/>
              <w:ind w:right="114"/>
              <w:jc w:val="both"/>
              <w:rPr>
                <w:rFonts w:eastAsia="Calibri"/>
              </w:rPr>
            </w:pPr>
            <w:r w:rsidRPr="00B22E9F">
              <w:rPr>
                <w:rFonts w:eastAsia="Calibri"/>
              </w:rPr>
              <w:t>0.489</w:t>
            </w:r>
          </w:p>
        </w:tc>
        <w:tc>
          <w:tcPr>
            <w:tcW w:w="1257" w:type="dxa"/>
            <w:shd w:val="clear" w:color="auto" w:fill="auto"/>
          </w:tcPr>
          <w:p w14:paraId="2ECCFA9F" w14:textId="77777777" w:rsidR="00A96A1E" w:rsidRPr="00B22E9F" w:rsidRDefault="00A96A1E" w:rsidP="00505972">
            <w:pPr>
              <w:pStyle w:val="BodyText"/>
              <w:ind w:right="114"/>
              <w:jc w:val="both"/>
              <w:rPr>
                <w:rFonts w:eastAsia="Calibri"/>
              </w:rPr>
            </w:pPr>
            <w:r w:rsidRPr="00B22E9F">
              <w:rPr>
                <w:rFonts w:eastAsia="Calibri"/>
              </w:rPr>
              <w:t>4.237</w:t>
            </w:r>
          </w:p>
        </w:tc>
        <w:tc>
          <w:tcPr>
            <w:tcW w:w="1078" w:type="dxa"/>
            <w:shd w:val="clear" w:color="auto" w:fill="auto"/>
          </w:tcPr>
          <w:p w14:paraId="08B76202" w14:textId="77777777" w:rsidR="00A96A1E" w:rsidRPr="00B22E9F" w:rsidRDefault="00A96A1E" w:rsidP="00505972">
            <w:pPr>
              <w:pStyle w:val="BodyText"/>
              <w:ind w:right="114"/>
              <w:jc w:val="both"/>
              <w:rPr>
                <w:rFonts w:eastAsia="Calibri"/>
              </w:rPr>
            </w:pPr>
            <w:r w:rsidRPr="00B22E9F">
              <w:rPr>
                <w:rFonts w:eastAsia="Calibri"/>
              </w:rPr>
              <w:t>0.000</w:t>
            </w:r>
          </w:p>
        </w:tc>
      </w:tr>
      <w:tr w:rsidR="00A96A1E" w:rsidRPr="00B22E9F" w14:paraId="64700926" w14:textId="77777777" w:rsidTr="00572115">
        <w:tc>
          <w:tcPr>
            <w:tcW w:w="3842" w:type="dxa"/>
            <w:shd w:val="clear" w:color="auto" w:fill="auto"/>
          </w:tcPr>
          <w:p w14:paraId="365D0BFA" w14:textId="77777777" w:rsidR="00A96A1E" w:rsidRPr="00B22E9F" w:rsidRDefault="00A96A1E" w:rsidP="00505972">
            <w:pPr>
              <w:pStyle w:val="BodyText"/>
              <w:ind w:right="114"/>
              <w:jc w:val="both"/>
              <w:rPr>
                <w:rFonts w:eastAsia="Calibri"/>
              </w:rPr>
            </w:pPr>
            <w:r w:rsidRPr="00B22E9F">
              <w:rPr>
                <w:rFonts w:eastAsia="Calibri"/>
              </w:rPr>
              <w:t>Tax Literacy (X1)</w:t>
            </w:r>
          </w:p>
        </w:tc>
        <w:tc>
          <w:tcPr>
            <w:tcW w:w="1389" w:type="dxa"/>
            <w:shd w:val="clear" w:color="auto" w:fill="auto"/>
          </w:tcPr>
          <w:p w14:paraId="2AA149AB" w14:textId="77777777" w:rsidR="00A96A1E" w:rsidRPr="00B22E9F" w:rsidRDefault="00A96A1E" w:rsidP="00505972">
            <w:pPr>
              <w:pStyle w:val="BodyText"/>
              <w:ind w:right="114"/>
              <w:jc w:val="both"/>
              <w:rPr>
                <w:rFonts w:eastAsia="Calibri"/>
              </w:rPr>
            </w:pPr>
            <w:r w:rsidRPr="00B22E9F">
              <w:rPr>
                <w:rFonts w:eastAsia="Calibri"/>
              </w:rPr>
              <w:t>0.364</w:t>
            </w:r>
          </w:p>
        </w:tc>
        <w:tc>
          <w:tcPr>
            <w:tcW w:w="1794" w:type="dxa"/>
            <w:shd w:val="clear" w:color="auto" w:fill="auto"/>
          </w:tcPr>
          <w:p w14:paraId="0893E26B" w14:textId="77777777" w:rsidR="00A96A1E" w:rsidRPr="00B22E9F" w:rsidRDefault="00A96A1E" w:rsidP="00505972">
            <w:pPr>
              <w:pStyle w:val="BodyText"/>
              <w:ind w:right="114"/>
              <w:jc w:val="both"/>
              <w:rPr>
                <w:rFonts w:eastAsia="Calibri"/>
              </w:rPr>
            </w:pPr>
            <w:r w:rsidRPr="00B22E9F">
              <w:rPr>
                <w:rFonts w:eastAsia="Calibri"/>
              </w:rPr>
              <w:t>0.860</w:t>
            </w:r>
          </w:p>
        </w:tc>
        <w:tc>
          <w:tcPr>
            <w:tcW w:w="1257" w:type="dxa"/>
            <w:shd w:val="clear" w:color="auto" w:fill="auto"/>
          </w:tcPr>
          <w:p w14:paraId="2C61C650" w14:textId="77777777" w:rsidR="00A96A1E" w:rsidRPr="00B22E9F" w:rsidRDefault="00A96A1E" w:rsidP="00505972">
            <w:pPr>
              <w:pStyle w:val="BodyText"/>
              <w:ind w:right="114"/>
              <w:jc w:val="both"/>
              <w:rPr>
                <w:rFonts w:eastAsia="Calibri"/>
              </w:rPr>
            </w:pPr>
            <w:r w:rsidRPr="00B22E9F">
              <w:rPr>
                <w:rFonts w:eastAsia="Calibri"/>
              </w:rPr>
              <w:t>3.228</w:t>
            </w:r>
          </w:p>
        </w:tc>
        <w:tc>
          <w:tcPr>
            <w:tcW w:w="1078" w:type="dxa"/>
            <w:shd w:val="clear" w:color="auto" w:fill="auto"/>
          </w:tcPr>
          <w:p w14:paraId="3E01C1AE" w14:textId="77777777" w:rsidR="00A96A1E" w:rsidRPr="00B22E9F" w:rsidRDefault="00A96A1E" w:rsidP="00505972">
            <w:pPr>
              <w:pStyle w:val="BodyText"/>
              <w:ind w:right="114"/>
              <w:jc w:val="both"/>
              <w:rPr>
                <w:rFonts w:eastAsia="Calibri"/>
              </w:rPr>
            </w:pPr>
            <w:r w:rsidRPr="00B22E9F">
              <w:rPr>
                <w:rFonts w:eastAsia="Calibri"/>
              </w:rPr>
              <w:t>0.000</w:t>
            </w:r>
          </w:p>
        </w:tc>
      </w:tr>
      <w:tr w:rsidR="00A96A1E" w:rsidRPr="00B22E9F" w14:paraId="52B691A9" w14:textId="77777777" w:rsidTr="00572115">
        <w:tc>
          <w:tcPr>
            <w:tcW w:w="3842" w:type="dxa"/>
            <w:shd w:val="clear" w:color="auto" w:fill="auto"/>
          </w:tcPr>
          <w:p w14:paraId="391BE7F2" w14:textId="77777777" w:rsidR="00A96A1E" w:rsidRPr="00B22E9F" w:rsidRDefault="00A96A1E" w:rsidP="00505972">
            <w:pPr>
              <w:pStyle w:val="BodyText"/>
              <w:ind w:right="114"/>
              <w:jc w:val="both"/>
              <w:rPr>
                <w:rFonts w:eastAsia="Calibri"/>
              </w:rPr>
            </w:pPr>
            <w:r w:rsidRPr="00B22E9F">
              <w:rPr>
                <w:rFonts w:eastAsia="Calibri"/>
              </w:rPr>
              <w:t>Tax Awareness (X2)</w:t>
            </w:r>
          </w:p>
        </w:tc>
        <w:tc>
          <w:tcPr>
            <w:tcW w:w="1389" w:type="dxa"/>
            <w:shd w:val="clear" w:color="auto" w:fill="auto"/>
          </w:tcPr>
          <w:p w14:paraId="7E9E1364" w14:textId="77777777" w:rsidR="00A96A1E" w:rsidRPr="00B22E9F" w:rsidRDefault="00A96A1E" w:rsidP="00505972">
            <w:pPr>
              <w:pStyle w:val="BodyText"/>
              <w:ind w:right="114"/>
              <w:jc w:val="both"/>
              <w:rPr>
                <w:rFonts w:eastAsia="Calibri"/>
              </w:rPr>
            </w:pPr>
            <w:r w:rsidRPr="00B22E9F">
              <w:rPr>
                <w:rFonts w:eastAsia="Calibri"/>
              </w:rPr>
              <w:t>0.254</w:t>
            </w:r>
          </w:p>
        </w:tc>
        <w:tc>
          <w:tcPr>
            <w:tcW w:w="1794" w:type="dxa"/>
            <w:shd w:val="clear" w:color="auto" w:fill="auto"/>
          </w:tcPr>
          <w:p w14:paraId="115AD36D" w14:textId="77777777" w:rsidR="00A96A1E" w:rsidRPr="00B22E9F" w:rsidRDefault="00A96A1E" w:rsidP="00505972">
            <w:pPr>
              <w:pStyle w:val="BodyText"/>
              <w:ind w:right="114"/>
              <w:jc w:val="both"/>
              <w:rPr>
                <w:rFonts w:eastAsia="Calibri"/>
              </w:rPr>
            </w:pPr>
            <w:r w:rsidRPr="00B22E9F">
              <w:rPr>
                <w:rFonts w:eastAsia="Calibri"/>
              </w:rPr>
              <w:t>0.790</w:t>
            </w:r>
          </w:p>
        </w:tc>
        <w:tc>
          <w:tcPr>
            <w:tcW w:w="1257" w:type="dxa"/>
            <w:shd w:val="clear" w:color="auto" w:fill="auto"/>
          </w:tcPr>
          <w:p w14:paraId="646DA5E2" w14:textId="77777777" w:rsidR="00A96A1E" w:rsidRPr="00B22E9F" w:rsidRDefault="00A96A1E" w:rsidP="00505972">
            <w:pPr>
              <w:pStyle w:val="BodyText"/>
              <w:ind w:right="114"/>
              <w:jc w:val="both"/>
              <w:rPr>
                <w:rFonts w:eastAsia="Calibri"/>
              </w:rPr>
            </w:pPr>
            <w:r w:rsidRPr="00B22E9F">
              <w:rPr>
                <w:rFonts w:eastAsia="Calibri"/>
              </w:rPr>
              <w:t>2.561</w:t>
            </w:r>
          </w:p>
        </w:tc>
        <w:tc>
          <w:tcPr>
            <w:tcW w:w="1078" w:type="dxa"/>
            <w:shd w:val="clear" w:color="auto" w:fill="auto"/>
          </w:tcPr>
          <w:p w14:paraId="5D81AC29" w14:textId="77777777" w:rsidR="00A96A1E" w:rsidRPr="00B22E9F" w:rsidRDefault="00A96A1E" w:rsidP="00505972">
            <w:pPr>
              <w:pStyle w:val="BodyText"/>
              <w:ind w:right="114"/>
              <w:jc w:val="both"/>
              <w:rPr>
                <w:rFonts w:eastAsia="Calibri"/>
              </w:rPr>
            </w:pPr>
            <w:r w:rsidRPr="00B22E9F">
              <w:rPr>
                <w:rFonts w:eastAsia="Calibri"/>
              </w:rPr>
              <w:t>0.015</w:t>
            </w:r>
          </w:p>
        </w:tc>
      </w:tr>
      <w:tr w:rsidR="00A96A1E" w:rsidRPr="00B22E9F" w14:paraId="35DA53BE" w14:textId="77777777" w:rsidTr="00572115">
        <w:tc>
          <w:tcPr>
            <w:tcW w:w="3842" w:type="dxa"/>
            <w:shd w:val="clear" w:color="auto" w:fill="auto"/>
          </w:tcPr>
          <w:p w14:paraId="40FEE865" w14:textId="77777777" w:rsidR="00A96A1E" w:rsidRPr="00B22E9F" w:rsidRDefault="00A96A1E" w:rsidP="00505972">
            <w:pPr>
              <w:pStyle w:val="BodyText"/>
              <w:ind w:right="114"/>
              <w:jc w:val="both"/>
              <w:rPr>
                <w:rFonts w:eastAsia="Calibri"/>
              </w:rPr>
            </w:pPr>
            <w:r w:rsidRPr="00B22E9F">
              <w:rPr>
                <w:rFonts w:eastAsia="Calibri"/>
              </w:rPr>
              <w:t>Cost Acceptance (X3)</w:t>
            </w:r>
          </w:p>
        </w:tc>
        <w:tc>
          <w:tcPr>
            <w:tcW w:w="1389" w:type="dxa"/>
            <w:shd w:val="clear" w:color="auto" w:fill="auto"/>
          </w:tcPr>
          <w:p w14:paraId="0E264908" w14:textId="77777777" w:rsidR="00A96A1E" w:rsidRPr="00B22E9F" w:rsidRDefault="00A96A1E" w:rsidP="00505972">
            <w:pPr>
              <w:pStyle w:val="BodyText"/>
              <w:ind w:right="114"/>
              <w:jc w:val="both"/>
              <w:rPr>
                <w:rFonts w:eastAsia="Calibri"/>
              </w:rPr>
            </w:pPr>
            <w:r w:rsidRPr="00B22E9F">
              <w:rPr>
                <w:rFonts w:eastAsia="Calibri"/>
              </w:rPr>
              <w:t>0.235</w:t>
            </w:r>
          </w:p>
        </w:tc>
        <w:tc>
          <w:tcPr>
            <w:tcW w:w="1794" w:type="dxa"/>
            <w:shd w:val="clear" w:color="auto" w:fill="auto"/>
          </w:tcPr>
          <w:p w14:paraId="6DCC5F51" w14:textId="77777777" w:rsidR="00A96A1E" w:rsidRPr="00B22E9F" w:rsidRDefault="00A96A1E" w:rsidP="00505972">
            <w:pPr>
              <w:pStyle w:val="BodyText"/>
              <w:ind w:right="114"/>
              <w:jc w:val="both"/>
              <w:rPr>
                <w:rFonts w:eastAsia="Calibri"/>
              </w:rPr>
            </w:pPr>
            <w:r w:rsidRPr="00B22E9F">
              <w:rPr>
                <w:rFonts w:eastAsia="Calibri"/>
              </w:rPr>
              <w:t>0.743</w:t>
            </w:r>
          </w:p>
        </w:tc>
        <w:tc>
          <w:tcPr>
            <w:tcW w:w="1257" w:type="dxa"/>
            <w:shd w:val="clear" w:color="auto" w:fill="auto"/>
          </w:tcPr>
          <w:p w14:paraId="54719518" w14:textId="77777777" w:rsidR="00A96A1E" w:rsidRPr="00B22E9F" w:rsidRDefault="00A96A1E" w:rsidP="00505972">
            <w:pPr>
              <w:pStyle w:val="BodyText"/>
              <w:ind w:right="114"/>
              <w:jc w:val="both"/>
              <w:rPr>
                <w:rFonts w:eastAsia="Calibri"/>
              </w:rPr>
            </w:pPr>
            <w:r w:rsidRPr="00B22E9F">
              <w:rPr>
                <w:rFonts w:eastAsia="Calibri"/>
              </w:rPr>
              <w:t>2.342</w:t>
            </w:r>
          </w:p>
        </w:tc>
        <w:tc>
          <w:tcPr>
            <w:tcW w:w="1078" w:type="dxa"/>
            <w:shd w:val="clear" w:color="auto" w:fill="auto"/>
          </w:tcPr>
          <w:p w14:paraId="24719E80" w14:textId="77777777" w:rsidR="00A96A1E" w:rsidRPr="00B22E9F" w:rsidRDefault="00A96A1E" w:rsidP="00505972">
            <w:pPr>
              <w:pStyle w:val="BodyText"/>
              <w:ind w:right="114"/>
              <w:jc w:val="both"/>
              <w:rPr>
                <w:rFonts w:eastAsia="Calibri"/>
              </w:rPr>
            </w:pPr>
            <w:r w:rsidRPr="00B22E9F">
              <w:rPr>
                <w:rFonts w:eastAsia="Calibri"/>
              </w:rPr>
              <w:t>0.002</w:t>
            </w:r>
          </w:p>
        </w:tc>
      </w:tr>
      <w:tr w:rsidR="00A96A1E" w:rsidRPr="00B22E9F" w14:paraId="4F8451AC" w14:textId="77777777" w:rsidTr="00572115">
        <w:tc>
          <w:tcPr>
            <w:tcW w:w="3842" w:type="dxa"/>
            <w:shd w:val="clear" w:color="auto" w:fill="auto"/>
          </w:tcPr>
          <w:p w14:paraId="13CB5F31" w14:textId="77777777" w:rsidR="00A96A1E" w:rsidRPr="00B22E9F" w:rsidRDefault="00A96A1E" w:rsidP="00505972">
            <w:pPr>
              <w:pStyle w:val="BodyText"/>
              <w:ind w:right="114"/>
              <w:jc w:val="both"/>
              <w:rPr>
                <w:rFonts w:eastAsia="Calibri"/>
              </w:rPr>
            </w:pPr>
            <w:r w:rsidRPr="00B22E9F">
              <w:rPr>
                <w:rFonts w:eastAsia="Calibri"/>
              </w:rPr>
              <w:t>Tax Rate Fee (X4)</w:t>
            </w:r>
          </w:p>
        </w:tc>
        <w:tc>
          <w:tcPr>
            <w:tcW w:w="1389" w:type="dxa"/>
            <w:shd w:val="clear" w:color="auto" w:fill="auto"/>
          </w:tcPr>
          <w:p w14:paraId="7C0F92FE" w14:textId="77777777" w:rsidR="00A96A1E" w:rsidRPr="00B22E9F" w:rsidRDefault="00A96A1E" w:rsidP="00505972">
            <w:pPr>
              <w:pStyle w:val="BodyText"/>
              <w:ind w:right="114"/>
              <w:jc w:val="both"/>
              <w:rPr>
                <w:rFonts w:eastAsia="Calibri"/>
              </w:rPr>
            </w:pPr>
            <w:r w:rsidRPr="00B22E9F">
              <w:rPr>
                <w:rFonts w:eastAsia="Calibri"/>
              </w:rPr>
              <w:t>(0.221)</w:t>
            </w:r>
          </w:p>
        </w:tc>
        <w:tc>
          <w:tcPr>
            <w:tcW w:w="1794" w:type="dxa"/>
            <w:shd w:val="clear" w:color="auto" w:fill="auto"/>
          </w:tcPr>
          <w:p w14:paraId="7C872350" w14:textId="77777777" w:rsidR="00A96A1E" w:rsidRPr="00B22E9F" w:rsidRDefault="00A96A1E" w:rsidP="00505972">
            <w:pPr>
              <w:pStyle w:val="BodyText"/>
              <w:ind w:right="114"/>
              <w:jc w:val="both"/>
              <w:rPr>
                <w:rFonts w:eastAsia="Calibri"/>
              </w:rPr>
            </w:pPr>
            <w:r w:rsidRPr="00B22E9F">
              <w:rPr>
                <w:rFonts w:eastAsia="Calibri"/>
              </w:rPr>
              <w:t>0.729</w:t>
            </w:r>
          </w:p>
        </w:tc>
        <w:tc>
          <w:tcPr>
            <w:tcW w:w="1257" w:type="dxa"/>
            <w:shd w:val="clear" w:color="auto" w:fill="auto"/>
          </w:tcPr>
          <w:p w14:paraId="6762BCCE" w14:textId="77777777" w:rsidR="00A96A1E" w:rsidRPr="00B22E9F" w:rsidRDefault="00A96A1E" w:rsidP="00505972">
            <w:pPr>
              <w:pStyle w:val="BodyText"/>
              <w:ind w:right="114"/>
              <w:jc w:val="both"/>
              <w:rPr>
                <w:rFonts w:eastAsia="Calibri"/>
              </w:rPr>
            </w:pPr>
            <w:r w:rsidRPr="00B22E9F">
              <w:rPr>
                <w:rFonts w:eastAsia="Calibri"/>
              </w:rPr>
              <w:t>(2.230)</w:t>
            </w:r>
          </w:p>
        </w:tc>
        <w:tc>
          <w:tcPr>
            <w:tcW w:w="1078" w:type="dxa"/>
            <w:shd w:val="clear" w:color="auto" w:fill="auto"/>
          </w:tcPr>
          <w:p w14:paraId="51F217B5" w14:textId="77777777" w:rsidR="00A96A1E" w:rsidRPr="00B22E9F" w:rsidRDefault="00A96A1E" w:rsidP="00505972">
            <w:pPr>
              <w:pStyle w:val="BodyText"/>
              <w:ind w:right="114"/>
              <w:jc w:val="both"/>
              <w:rPr>
                <w:rFonts w:eastAsia="Calibri"/>
              </w:rPr>
            </w:pPr>
            <w:r w:rsidRPr="00B22E9F">
              <w:rPr>
                <w:rFonts w:eastAsia="Calibri"/>
              </w:rPr>
              <w:t>0.007</w:t>
            </w:r>
          </w:p>
        </w:tc>
      </w:tr>
    </w:tbl>
    <w:p w14:paraId="223E01F0" w14:textId="77777777" w:rsidR="00A96A1E" w:rsidRDefault="00A96A1E" w:rsidP="00505972">
      <w:pPr>
        <w:spacing w:line="240" w:lineRule="auto"/>
        <w:rPr>
          <w:rFonts w:eastAsia="Times New Roman" w:cs="Times New Roman"/>
          <w:b/>
          <w:szCs w:val="24"/>
        </w:rPr>
      </w:pPr>
      <w:r w:rsidRPr="0088230E">
        <w:rPr>
          <w:rFonts w:eastAsia="Times New Roman" w:cs="Times New Roman"/>
          <w:b/>
          <w:szCs w:val="24"/>
        </w:rPr>
        <w:t>Source (Researcher 2025)</w:t>
      </w:r>
    </w:p>
    <w:p w14:paraId="2383F505" w14:textId="77777777" w:rsidR="00323D68" w:rsidRDefault="00323D68" w:rsidP="00055D83">
      <w:pPr>
        <w:spacing w:line="240" w:lineRule="auto"/>
        <w:rPr>
          <w:rFonts w:cs="Times New Roman"/>
          <w:b/>
          <w:bCs/>
          <w:color w:val="000000" w:themeColor="text1"/>
          <w:sz w:val="28"/>
          <w:szCs w:val="28"/>
        </w:rPr>
      </w:pPr>
    </w:p>
    <w:p w14:paraId="359E84B3" w14:textId="77777777" w:rsidR="00055D83" w:rsidRPr="0092006B" w:rsidRDefault="00055D83" w:rsidP="00055D83">
      <w:pPr>
        <w:shd w:val="clear" w:color="auto" w:fill="FFFFFF"/>
        <w:spacing w:line="240" w:lineRule="auto"/>
        <w:rPr>
          <w:rFonts w:eastAsia="Times New Roman" w:cs="Times New Roman"/>
          <w:b/>
          <w:bCs/>
          <w:color w:val="000000" w:themeColor="text1"/>
          <w:sz w:val="28"/>
          <w:szCs w:val="28"/>
        </w:rPr>
      </w:pPr>
      <w:r w:rsidRPr="0092006B">
        <w:rPr>
          <w:rFonts w:eastAsia="Times New Roman" w:cs="Times New Roman"/>
          <w:b/>
          <w:bCs/>
          <w:color w:val="000000" w:themeColor="text1"/>
          <w:sz w:val="28"/>
          <w:szCs w:val="28"/>
        </w:rPr>
        <w:t xml:space="preserve">5.0 CONCLUSIONS </w:t>
      </w:r>
    </w:p>
    <w:p w14:paraId="50F0BC2F" w14:textId="79155F11" w:rsidR="00A27439" w:rsidRPr="0092006B" w:rsidRDefault="00496991" w:rsidP="00D26C8B">
      <w:pPr>
        <w:spacing w:line="240" w:lineRule="auto"/>
        <w:rPr>
          <w:rFonts w:cs="Times New Roman"/>
          <w:color w:val="000000" w:themeColor="text1"/>
          <w:szCs w:val="24"/>
        </w:rPr>
      </w:pPr>
      <w:r w:rsidRPr="00496991">
        <w:rPr>
          <w:rFonts w:cs="Times New Roman"/>
          <w:color w:val="000000" w:themeColor="text1"/>
          <w:szCs w:val="24"/>
        </w:rPr>
        <w:t>This research aimed to evaluate the role of the ITax system in tax adherence among residential landlords in Kiambu Town, Kiambu County. The findings highlighted that tax literacy significantly influences compliance, with respondents acknowledging that knowledge of tax returns, tax calculations, and the ITax system enhances adherence. The study confirmed that improving literacy levels is essential for ensuring tax compliance. Additionally, the research examined the impact of tax awareness on rental earnings compliance. Initially, it was assumed that awareness had no significant effect; however, findings demonstrated that adequate training, a positive attitude toward taxation, and trust in tax officials foster transparency and cooperation, reducing evasion and promoting voluntary compliance. The Kenya Revenue Authority (KRA) was recognized for its efforts in taxpayer education. Another key objective was to assess the role of cost acceptances in tax conformity. The results showed that professional tax filing services improve compliance by reducing administrative burdens, encouraging investors to meet tax obligations. Although initially hypothesized as insignificant, cost acceptances were found to have a notable impact on compliance. Lastly, the study analyzed how tax rates affect adherence, revealing that high or complex tax rates negatively influence compliance. Respondents cited ineffective tax structures and inconsistent policies as deterrents, leading to confusion, dissatisfaction, and tax evasion. Ultimately, the study concluded that tax literacy, awareness, cost acceptances, and tax rates play crucial roles in determining compliance levels among residential landlords in Kiambu, with policy adjustments necessary to enhance adherence to rental income tax laws.</w:t>
      </w:r>
    </w:p>
    <w:p w14:paraId="750144BF" w14:textId="7E52FE3F" w:rsidR="00055D83" w:rsidRPr="0092006B" w:rsidRDefault="00055D83" w:rsidP="00D26C8B">
      <w:pPr>
        <w:spacing w:line="240" w:lineRule="auto"/>
        <w:rPr>
          <w:rFonts w:cs="Times New Roman"/>
          <w:b/>
          <w:bCs/>
          <w:color w:val="000000" w:themeColor="text1"/>
          <w:sz w:val="28"/>
          <w:szCs w:val="28"/>
        </w:rPr>
      </w:pPr>
      <w:r w:rsidRPr="0092006B">
        <w:rPr>
          <w:rFonts w:cs="Times New Roman"/>
          <w:b/>
          <w:bCs/>
          <w:color w:val="000000" w:themeColor="text1"/>
          <w:sz w:val="28"/>
          <w:szCs w:val="28"/>
        </w:rPr>
        <w:t>6.0 RECOMMENDATIONS</w:t>
      </w:r>
    </w:p>
    <w:p w14:paraId="422B98D6" w14:textId="77777777" w:rsidR="00496991" w:rsidRPr="00496991" w:rsidRDefault="00496991" w:rsidP="00496991">
      <w:pPr>
        <w:spacing w:before="0" w:after="160" w:line="240" w:lineRule="auto"/>
        <w:rPr>
          <w:rFonts w:cs="Times New Roman"/>
          <w:color w:val="000000" w:themeColor="text1"/>
          <w:szCs w:val="24"/>
        </w:rPr>
      </w:pPr>
      <w:r w:rsidRPr="00496991">
        <w:rPr>
          <w:rFonts w:cs="Times New Roman"/>
          <w:color w:val="000000" w:themeColor="text1"/>
          <w:szCs w:val="24"/>
        </w:rPr>
        <w:t xml:space="preserve">The study revealed that tax literacy, awareness, cost acceptance, and tax rates significantly influence residential landlords' compliance with rental income tax regulations in Kiambu County. To enhance compliance, the Kenya Revenue Authority (KRA) should invest in educational programs to improve landlords' tax literacy. These initiatives </w:t>
      </w:r>
      <w:r w:rsidRPr="00496991">
        <w:rPr>
          <w:rFonts w:cs="Times New Roman"/>
          <w:color w:val="000000" w:themeColor="text1"/>
          <w:szCs w:val="24"/>
        </w:rPr>
        <w:lastRenderedPageBreak/>
        <w:t xml:space="preserve">should include detailed guidance on tax filing, calculations, and navigating the iTax system, supported by accessible materials such as online tutorials, workshops, and brochures. Similarly, raising tax awareness is essential, and KRA should prioritize regular training and outreach programs to highlight the benefits of tax adherence. Strengthening transparency and public trust through education campaigns can enhance landlords' understanding of how taxes contribute to public services and infrastructure.  </w:t>
      </w:r>
    </w:p>
    <w:p w14:paraId="71CDEAE5" w14:textId="2506F0F2" w:rsidR="00055D83" w:rsidRPr="0092006B" w:rsidRDefault="00496991" w:rsidP="00496991">
      <w:pPr>
        <w:spacing w:before="0" w:after="160" w:line="240" w:lineRule="auto"/>
        <w:rPr>
          <w:rFonts w:eastAsia="Times New Roman" w:cs="Times New Roman"/>
          <w:color w:val="000000" w:themeColor="text1"/>
          <w:szCs w:val="24"/>
        </w:rPr>
      </w:pPr>
      <w:r w:rsidRPr="00496991">
        <w:rPr>
          <w:rFonts w:cs="Times New Roman"/>
          <w:color w:val="000000" w:themeColor="text1"/>
          <w:szCs w:val="24"/>
        </w:rPr>
        <w:t>The study also found that cost acceptance positively influences tax compliance. Therefore, making professional tax filing services more affordable and accessible is recommended. KRA should collaborate with certified professionals to offer discounted services or incentives for landlords using online tax filing systems, reducing the need for in-person visits. However, high tax rates and complex calculations negatively impact compliance. Policymakers should review tax structures to ensure fairness and simplicity, possibly by introducing flat rates or clear guidelines. Broadening the tax base could also ease individual tax burdens.  Future research should explore additional factors influencing rental tax compliance, such as stakeholder engagement. The study's regression analysis showed that the examined factors accounted for 62.95% of compliance variations, leaving 37.05% unexplained, indicating the need for further investigation into other determinants of tax adherence.</w:t>
      </w:r>
      <w:r w:rsidR="00055D83" w:rsidRPr="0092006B">
        <w:rPr>
          <w:rFonts w:eastAsia="Times New Roman" w:cs="Times New Roman"/>
          <w:color w:val="000000" w:themeColor="text1"/>
          <w:szCs w:val="24"/>
        </w:rPr>
        <w:br w:type="page"/>
      </w:r>
    </w:p>
    <w:p w14:paraId="0172AC1A" w14:textId="77777777" w:rsidR="00CD18D9" w:rsidRPr="00CD18D9" w:rsidRDefault="00CD18D9" w:rsidP="00CD18D9">
      <w:pPr>
        <w:spacing w:before="0" w:after="160" w:line="259" w:lineRule="auto"/>
        <w:jc w:val="left"/>
        <w:rPr>
          <w:rFonts w:ascii="Calibri" w:hAnsi="Calibri" w:cs="Times New Roman"/>
          <w:b/>
          <w:color w:val="auto"/>
          <w:sz w:val="22"/>
          <w:highlight w:val="yellow"/>
          <w14:ligatures w14:val="none"/>
        </w:rPr>
      </w:pPr>
      <w:r w:rsidRPr="00CD18D9">
        <w:rPr>
          <w:rFonts w:ascii="Calibri" w:hAnsi="Calibri" w:cs="Times New Roman"/>
          <w:b/>
          <w:color w:val="auto"/>
          <w:sz w:val="22"/>
          <w:highlight w:val="yellow"/>
          <w14:ligatures w14:val="none"/>
        </w:rPr>
        <w:lastRenderedPageBreak/>
        <w:t>Disclaimer (Artificial intelligence)</w:t>
      </w:r>
    </w:p>
    <w:p w14:paraId="274104D0" w14:textId="77777777" w:rsidR="00CD18D9" w:rsidRPr="00CD18D9" w:rsidRDefault="00CD18D9" w:rsidP="00CD18D9">
      <w:pPr>
        <w:spacing w:before="0" w:after="160" w:line="259" w:lineRule="auto"/>
        <w:jc w:val="left"/>
        <w:rPr>
          <w:rFonts w:ascii="Calibri" w:hAnsi="Calibri" w:cs="Times New Roman"/>
          <w:color w:val="auto"/>
          <w:sz w:val="22"/>
          <w:highlight w:val="yellow"/>
          <w14:ligatures w14:val="none"/>
        </w:rPr>
      </w:pPr>
      <w:r w:rsidRPr="00CD18D9">
        <w:rPr>
          <w:rFonts w:ascii="Calibri" w:hAnsi="Calibri" w:cs="Times New Roman"/>
          <w:color w:val="auto"/>
          <w:sz w:val="22"/>
          <w:highlight w:val="yellow"/>
          <w14:ligatures w14:val="none"/>
        </w:rPr>
        <w:t xml:space="preserve">Option 1: </w:t>
      </w:r>
    </w:p>
    <w:p w14:paraId="04626F37" w14:textId="77777777" w:rsidR="00CD18D9" w:rsidRPr="00CD18D9" w:rsidRDefault="00CD18D9" w:rsidP="00CD18D9">
      <w:pPr>
        <w:spacing w:before="0" w:after="160" w:line="259" w:lineRule="auto"/>
        <w:jc w:val="left"/>
        <w:rPr>
          <w:rFonts w:ascii="Calibri" w:hAnsi="Calibri" w:cs="Times New Roman"/>
          <w:color w:val="auto"/>
          <w:sz w:val="22"/>
          <w:highlight w:val="yellow"/>
          <w14:ligatures w14:val="none"/>
        </w:rPr>
      </w:pPr>
      <w:r w:rsidRPr="00CD18D9">
        <w:rPr>
          <w:rFonts w:ascii="Calibri" w:hAnsi="Calibri" w:cs="Times New Roman"/>
          <w:color w:val="auto"/>
          <w:sz w:val="22"/>
          <w:highlight w:val="yellow"/>
          <w14:ligatures w14:val="none"/>
        </w:rPr>
        <w:t xml:space="preserve">Author(s) hereby declare that NO generative AI technologies such as Large Language Models (ChatGPT, COPILOT, etc.) and text-to-image generators have been used during the writing or editing of this manuscript. </w:t>
      </w:r>
    </w:p>
    <w:p w14:paraId="4F51532E" w14:textId="77777777" w:rsidR="00CD18D9" w:rsidRPr="00CD18D9" w:rsidRDefault="00CD18D9" w:rsidP="00CD18D9">
      <w:pPr>
        <w:spacing w:before="0" w:after="160" w:line="259" w:lineRule="auto"/>
        <w:jc w:val="left"/>
        <w:rPr>
          <w:rFonts w:ascii="Calibri" w:hAnsi="Calibri" w:cs="Times New Roman"/>
          <w:color w:val="auto"/>
          <w:sz w:val="22"/>
          <w:highlight w:val="yellow"/>
          <w14:ligatures w14:val="none"/>
        </w:rPr>
      </w:pPr>
      <w:r w:rsidRPr="00CD18D9">
        <w:rPr>
          <w:rFonts w:ascii="Calibri" w:hAnsi="Calibri" w:cs="Times New Roman"/>
          <w:color w:val="auto"/>
          <w:sz w:val="22"/>
          <w:highlight w:val="yellow"/>
          <w14:ligatures w14:val="none"/>
        </w:rPr>
        <w:t xml:space="preserve">Option 2: </w:t>
      </w:r>
    </w:p>
    <w:p w14:paraId="7DF0E4C2" w14:textId="77777777" w:rsidR="00CD18D9" w:rsidRPr="00CD18D9" w:rsidRDefault="00CD18D9" w:rsidP="00CD18D9">
      <w:pPr>
        <w:spacing w:before="0" w:after="160" w:line="259" w:lineRule="auto"/>
        <w:jc w:val="left"/>
        <w:rPr>
          <w:rFonts w:ascii="Calibri" w:hAnsi="Calibri" w:cs="Times New Roman"/>
          <w:color w:val="auto"/>
          <w:sz w:val="22"/>
          <w:highlight w:val="yellow"/>
          <w14:ligatures w14:val="none"/>
        </w:rPr>
      </w:pPr>
      <w:r w:rsidRPr="00CD18D9">
        <w:rPr>
          <w:rFonts w:ascii="Calibri" w:hAnsi="Calibri" w:cs="Times New Roman"/>
          <w:color w:val="auto"/>
          <w:sz w:val="22"/>
          <w:highlight w:val="yellow"/>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D84F54B" w14:textId="77777777" w:rsidR="00CD18D9" w:rsidRPr="00CD18D9" w:rsidRDefault="00CD18D9" w:rsidP="00CD18D9">
      <w:pPr>
        <w:spacing w:before="0" w:after="160" w:line="259" w:lineRule="auto"/>
        <w:jc w:val="left"/>
        <w:rPr>
          <w:rFonts w:ascii="Calibri" w:hAnsi="Calibri" w:cs="Times New Roman"/>
          <w:color w:val="auto"/>
          <w:sz w:val="22"/>
          <w:highlight w:val="yellow"/>
          <w14:ligatures w14:val="none"/>
        </w:rPr>
      </w:pPr>
      <w:r w:rsidRPr="00CD18D9">
        <w:rPr>
          <w:rFonts w:ascii="Calibri" w:hAnsi="Calibri" w:cs="Times New Roman"/>
          <w:color w:val="auto"/>
          <w:sz w:val="22"/>
          <w:highlight w:val="yellow"/>
          <w14:ligatures w14:val="none"/>
        </w:rPr>
        <w:t>Details of the AI usage are given below:</w:t>
      </w:r>
    </w:p>
    <w:p w14:paraId="10C2F9D1" w14:textId="77777777" w:rsidR="00CD18D9" w:rsidRPr="00CD18D9" w:rsidRDefault="00CD18D9" w:rsidP="00CD18D9">
      <w:pPr>
        <w:spacing w:before="0" w:after="160" w:line="259" w:lineRule="auto"/>
        <w:jc w:val="left"/>
        <w:rPr>
          <w:rFonts w:ascii="Calibri" w:hAnsi="Calibri" w:cs="Times New Roman"/>
          <w:color w:val="auto"/>
          <w:sz w:val="22"/>
          <w:highlight w:val="yellow"/>
          <w14:ligatures w14:val="none"/>
        </w:rPr>
      </w:pPr>
      <w:r w:rsidRPr="00CD18D9">
        <w:rPr>
          <w:rFonts w:ascii="Calibri" w:hAnsi="Calibri" w:cs="Times New Roman"/>
          <w:color w:val="auto"/>
          <w:sz w:val="22"/>
          <w:highlight w:val="yellow"/>
          <w14:ligatures w14:val="none"/>
        </w:rPr>
        <w:t>1.</w:t>
      </w:r>
    </w:p>
    <w:p w14:paraId="22F689EA" w14:textId="77777777" w:rsidR="00CD18D9" w:rsidRPr="00CD18D9" w:rsidRDefault="00CD18D9" w:rsidP="00CD18D9">
      <w:pPr>
        <w:spacing w:before="0" w:after="160" w:line="259" w:lineRule="auto"/>
        <w:jc w:val="left"/>
        <w:rPr>
          <w:rFonts w:ascii="Calibri" w:hAnsi="Calibri" w:cs="Times New Roman"/>
          <w:color w:val="auto"/>
          <w:sz w:val="22"/>
          <w:highlight w:val="yellow"/>
          <w14:ligatures w14:val="none"/>
        </w:rPr>
      </w:pPr>
      <w:r w:rsidRPr="00CD18D9">
        <w:rPr>
          <w:rFonts w:ascii="Calibri" w:hAnsi="Calibri" w:cs="Times New Roman"/>
          <w:color w:val="auto"/>
          <w:sz w:val="22"/>
          <w:highlight w:val="yellow"/>
          <w14:ligatures w14:val="none"/>
        </w:rPr>
        <w:t>2.</w:t>
      </w:r>
    </w:p>
    <w:p w14:paraId="67159851" w14:textId="77777777" w:rsidR="00CD18D9" w:rsidRPr="00CD18D9" w:rsidRDefault="00CD18D9" w:rsidP="00CD18D9">
      <w:pPr>
        <w:spacing w:before="0" w:after="160" w:line="259" w:lineRule="auto"/>
        <w:jc w:val="left"/>
        <w:rPr>
          <w:rFonts w:ascii="Calibri" w:hAnsi="Calibri" w:cs="Times New Roman"/>
          <w:color w:val="auto"/>
          <w:sz w:val="22"/>
          <w14:ligatures w14:val="none"/>
        </w:rPr>
      </w:pPr>
      <w:r w:rsidRPr="00CD18D9">
        <w:rPr>
          <w:rFonts w:ascii="Calibri" w:hAnsi="Calibri" w:cs="Times New Roman"/>
          <w:color w:val="auto"/>
          <w:sz w:val="22"/>
          <w:highlight w:val="yellow"/>
          <w14:ligatures w14:val="none"/>
        </w:rPr>
        <w:t>3.</w:t>
      </w:r>
    </w:p>
    <w:p w14:paraId="03FA5BBD" w14:textId="77777777" w:rsidR="00CD18D9" w:rsidRDefault="00CD18D9" w:rsidP="00055D83">
      <w:pPr>
        <w:shd w:val="clear" w:color="auto" w:fill="FFFFFF"/>
        <w:spacing w:line="240" w:lineRule="auto"/>
        <w:rPr>
          <w:rFonts w:eastAsia="Times New Roman" w:cs="Times New Roman"/>
          <w:b/>
          <w:bCs/>
          <w:color w:val="000000" w:themeColor="text1"/>
          <w:sz w:val="28"/>
          <w:szCs w:val="28"/>
        </w:rPr>
      </w:pPr>
    </w:p>
    <w:p w14:paraId="03B946E2" w14:textId="56793BDC" w:rsidR="00055D83" w:rsidRDefault="00055D83" w:rsidP="00055D83">
      <w:pPr>
        <w:shd w:val="clear" w:color="auto" w:fill="FFFFFF"/>
        <w:spacing w:line="240" w:lineRule="auto"/>
        <w:rPr>
          <w:rFonts w:eastAsia="Times New Roman" w:cs="Times New Roman"/>
          <w:b/>
          <w:bCs/>
          <w:color w:val="000000" w:themeColor="text1"/>
          <w:sz w:val="28"/>
          <w:szCs w:val="28"/>
        </w:rPr>
      </w:pPr>
      <w:r w:rsidRPr="0092006B">
        <w:rPr>
          <w:rFonts w:eastAsia="Times New Roman" w:cs="Times New Roman"/>
          <w:b/>
          <w:bCs/>
          <w:color w:val="000000" w:themeColor="text1"/>
          <w:sz w:val="28"/>
          <w:szCs w:val="28"/>
        </w:rPr>
        <w:t>REFERENCES</w:t>
      </w:r>
    </w:p>
    <w:p w14:paraId="13B49D94" w14:textId="77777777" w:rsidR="009A1D5D" w:rsidRDefault="009A1D5D" w:rsidP="009A1D5D">
      <w:pPr>
        <w:spacing w:line="240" w:lineRule="auto"/>
        <w:ind w:left="1170" w:hanging="1170"/>
        <w:rPr>
          <w:rFonts w:cs="Times New Roman"/>
          <w:szCs w:val="24"/>
        </w:rPr>
      </w:pPr>
      <w:r w:rsidRPr="00B97175">
        <w:rPr>
          <w:rFonts w:cs="Times New Roman"/>
          <w:szCs w:val="24"/>
        </w:rPr>
        <w:t>Agbetunde, L. A., Akinrinola, O. O., &amp; Odinakachi, I. (2020). A survey of religiosity, tax morale and compliance among micro, small and medium scale enterprises in Nigeria. Journal of Taxation and Economic Development, 19(1), 35-49</w:t>
      </w:r>
    </w:p>
    <w:p w14:paraId="130DFCD4" w14:textId="77777777" w:rsidR="009A1D5D" w:rsidRDefault="009A1D5D" w:rsidP="009A1D5D">
      <w:pPr>
        <w:spacing w:line="240" w:lineRule="auto"/>
        <w:ind w:left="1170" w:hanging="1170"/>
        <w:rPr>
          <w:rFonts w:cs="Times New Roman"/>
          <w:szCs w:val="24"/>
        </w:rPr>
      </w:pPr>
      <w:r w:rsidRPr="00CA0F50">
        <w:rPr>
          <w:rFonts w:cs="Times New Roman"/>
          <w:szCs w:val="24"/>
        </w:rPr>
        <w:t>Ahmed F.A, Hasan M.A, Manaf A., Lutfi A &amp; Hamed. A (2020). Do public governance and patriotism matter</w:t>
      </w:r>
      <w:r w:rsidRPr="00CA0F50">
        <w:rPr>
          <w:rFonts w:cs="Times New Roman"/>
          <w:i/>
          <w:szCs w:val="24"/>
        </w:rPr>
        <w:t>? Sales tax compliance among small and medium enterprises in developing countries: Jordanian evidence</w:t>
      </w:r>
      <w:r w:rsidRPr="00CA0F50">
        <w:rPr>
          <w:rFonts w:cs="Times New Roman"/>
          <w:szCs w:val="24"/>
        </w:rPr>
        <w:t>, EuroMed Journal of Business.</w:t>
      </w:r>
    </w:p>
    <w:p w14:paraId="1AA8FE20" w14:textId="77777777" w:rsidR="009A1D5D" w:rsidRPr="00CA0F50" w:rsidRDefault="009A1D5D" w:rsidP="009A1D5D">
      <w:pPr>
        <w:spacing w:line="240" w:lineRule="auto"/>
        <w:ind w:left="1170" w:hanging="1170"/>
        <w:rPr>
          <w:rFonts w:cs="Times New Roman"/>
          <w:szCs w:val="24"/>
        </w:rPr>
      </w:pPr>
      <w:r w:rsidRPr="004560EA">
        <w:rPr>
          <w:rFonts w:cs="Times New Roman"/>
          <w:szCs w:val="24"/>
        </w:rPr>
        <w:t>Ahmed, S., &amp; Heady, C. (2020). Institutional dimensions of tax reforms in Bangladesh. The Bangladesh Institutional Diagnostic. Oxford: Oxford Policy Management.</w:t>
      </w:r>
    </w:p>
    <w:p w14:paraId="6029D270" w14:textId="77777777" w:rsidR="009A1D5D" w:rsidRDefault="009A1D5D" w:rsidP="009A1D5D">
      <w:pPr>
        <w:spacing w:line="240" w:lineRule="auto"/>
        <w:ind w:left="1170" w:hanging="1170"/>
        <w:rPr>
          <w:rFonts w:cs="Times New Roman"/>
          <w:szCs w:val="24"/>
        </w:rPr>
      </w:pPr>
      <w:r w:rsidRPr="00B97175">
        <w:rPr>
          <w:rFonts w:cs="Times New Roman"/>
          <w:szCs w:val="24"/>
        </w:rPr>
        <w:t>Ali, M., Fjeldstad, O. H., &amp; Sjursen, I. H. (2013). Factors affecting tax compliant attitude in Africa: Evidence from Kenya, Tanzania, Uganda, and South Africa. In Centre for the Study of African Economies 2013 Conference, Oxford University.</w:t>
      </w:r>
    </w:p>
    <w:p w14:paraId="3F7AF119" w14:textId="77777777" w:rsidR="009A1D5D" w:rsidRPr="00754F03" w:rsidRDefault="009A1D5D" w:rsidP="009A1D5D">
      <w:pPr>
        <w:spacing w:line="240" w:lineRule="auto"/>
        <w:ind w:left="1170" w:hanging="1170"/>
        <w:rPr>
          <w:rFonts w:cs="Times New Roman"/>
          <w:szCs w:val="24"/>
        </w:rPr>
      </w:pPr>
      <w:r w:rsidRPr="00754F03">
        <w:rPr>
          <w:rFonts w:cs="Times New Roman"/>
          <w:color w:val="222222"/>
          <w:szCs w:val="24"/>
          <w:shd w:val="clear" w:color="auto" w:fill="FFFFFF"/>
        </w:rPr>
        <w:t>Al-Ttaffi, L. H. A., Bin-Nashwan, S. A., &amp; Amrah, M. R. (2020). The influence of tax knowledge on tax compliance behaviour: A case of Yemeni individual taxpayers. </w:t>
      </w:r>
      <w:r w:rsidRPr="00754F03">
        <w:rPr>
          <w:rFonts w:cs="Times New Roman"/>
          <w:i/>
          <w:iCs/>
          <w:color w:val="222222"/>
          <w:szCs w:val="24"/>
          <w:shd w:val="clear" w:color="auto" w:fill="FFFFFF"/>
        </w:rPr>
        <w:t>Journal of Business Management and Accounting</w:t>
      </w:r>
      <w:r w:rsidRPr="00754F03">
        <w:rPr>
          <w:rFonts w:cs="Times New Roman"/>
          <w:color w:val="222222"/>
          <w:szCs w:val="24"/>
          <w:shd w:val="clear" w:color="auto" w:fill="FFFFFF"/>
        </w:rPr>
        <w:t>, </w:t>
      </w:r>
      <w:r w:rsidRPr="00754F03">
        <w:rPr>
          <w:rFonts w:cs="Times New Roman"/>
          <w:i/>
          <w:iCs/>
          <w:color w:val="222222"/>
          <w:szCs w:val="24"/>
          <w:shd w:val="clear" w:color="auto" w:fill="FFFFFF"/>
        </w:rPr>
        <w:t>10</w:t>
      </w:r>
      <w:r w:rsidRPr="00754F03">
        <w:rPr>
          <w:rFonts w:cs="Times New Roman"/>
          <w:color w:val="222222"/>
          <w:szCs w:val="24"/>
          <w:shd w:val="clear" w:color="auto" w:fill="FFFFFF"/>
        </w:rPr>
        <w:t>(2), 15-30</w:t>
      </w:r>
    </w:p>
    <w:p w14:paraId="6A8020D3" w14:textId="77777777" w:rsidR="009A1D5D" w:rsidRPr="00701D50" w:rsidRDefault="009A1D5D" w:rsidP="009A1D5D">
      <w:pPr>
        <w:spacing w:line="240" w:lineRule="auto"/>
        <w:ind w:left="1170" w:hanging="1170"/>
        <w:rPr>
          <w:rFonts w:cs="Times New Roman"/>
          <w:color w:val="222222"/>
          <w:szCs w:val="24"/>
          <w:shd w:val="clear" w:color="auto" w:fill="FFFFFF"/>
        </w:rPr>
      </w:pPr>
      <w:r w:rsidRPr="00701D50">
        <w:rPr>
          <w:rFonts w:cs="Times New Roman"/>
          <w:color w:val="222222"/>
          <w:szCs w:val="24"/>
          <w:shd w:val="clear" w:color="auto" w:fill="FFFFFF"/>
        </w:rPr>
        <w:t>Awa, F. N., &amp; Ikpor, I. M. (2015). Factors that affect tax compliance among small and medium enterprises (SMEs) in Enugu, South-Eastern Nigeria. International Journal of Research in Business Management, 3(9), 25-36.</w:t>
      </w:r>
    </w:p>
    <w:p w14:paraId="50782933" w14:textId="77777777" w:rsidR="009A1D5D" w:rsidRDefault="009A1D5D" w:rsidP="009A1D5D">
      <w:pPr>
        <w:spacing w:line="240" w:lineRule="auto"/>
        <w:ind w:left="1170" w:hanging="1170"/>
        <w:rPr>
          <w:rFonts w:cs="Times New Roman"/>
          <w:szCs w:val="24"/>
        </w:rPr>
      </w:pPr>
      <w:r w:rsidRPr="00701D50">
        <w:rPr>
          <w:rFonts w:cs="Times New Roman"/>
          <w:szCs w:val="24"/>
        </w:rPr>
        <w:t>BĂTRÂNCEA, L. M., Nichita, R. A., Bătrâncea, I., &amp; Moldovan, B. A. (2012). Tax compliance models: From economic to behavioral approaches. Transylvanian Review of Administrative Sciences, 8(36), 13-26.</w:t>
      </w:r>
    </w:p>
    <w:p w14:paraId="2CD16E9B" w14:textId="77777777" w:rsidR="009A1D5D" w:rsidRPr="006370D1" w:rsidRDefault="009A1D5D" w:rsidP="009A1D5D">
      <w:pPr>
        <w:spacing w:line="240" w:lineRule="auto"/>
        <w:ind w:left="1170" w:hanging="1170"/>
        <w:rPr>
          <w:rFonts w:cs="Times New Roman"/>
          <w:color w:val="222222"/>
          <w:szCs w:val="24"/>
          <w:shd w:val="clear" w:color="auto" w:fill="FFFFFF"/>
        </w:rPr>
      </w:pPr>
      <w:r w:rsidRPr="00540529">
        <w:rPr>
          <w:rFonts w:cs="Times New Roman"/>
          <w:color w:val="222222"/>
          <w:szCs w:val="24"/>
          <w:shd w:val="clear" w:color="auto" w:fill="FFFFFF"/>
        </w:rPr>
        <w:t>Bernburg, J. G. (2002). Anomie, social change and crime. A theoretical examination of institutional‐anomie theory. British Journal of Criminology, 42(4), 729-742.</w:t>
      </w:r>
    </w:p>
    <w:p w14:paraId="798D0B6B" w14:textId="77777777" w:rsidR="009A1D5D" w:rsidRDefault="009A1D5D" w:rsidP="009A1D5D">
      <w:pPr>
        <w:spacing w:line="240" w:lineRule="auto"/>
        <w:ind w:left="1170" w:hanging="1170"/>
        <w:rPr>
          <w:rFonts w:cs="Times New Roman"/>
          <w:color w:val="222222"/>
          <w:szCs w:val="24"/>
          <w:shd w:val="clear" w:color="auto" w:fill="FFFFFF"/>
        </w:rPr>
      </w:pPr>
      <w:r w:rsidRPr="006370D1">
        <w:rPr>
          <w:rFonts w:cs="Times New Roman"/>
          <w:color w:val="222222"/>
          <w:szCs w:val="24"/>
          <w:shd w:val="clear" w:color="auto" w:fill="FFFFFF"/>
        </w:rPr>
        <w:lastRenderedPageBreak/>
        <w:t>Biru, A. M. (2020). Factors That Affect Tax Compliance Behavior of Small and Medium Enterprises: Evidence from Nekemte City. European Journal of Business and Management, 12(19), 29-41.</w:t>
      </w:r>
    </w:p>
    <w:p w14:paraId="32FC0347" w14:textId="77777777" w:rsidR="009A1D5D" w:rsidRDefault="009A1D5D" w:rsidP="009A1D5D">
      <w:pPr>
        <w:spacing w:line="240" w:lineRule="auto"/>
        <w:ind w:left="1170" w:hanging="1170"/>
        <w:rPr>
          <w:rFonts w:cs="Times New Roman"/>
          <w:szCs w:val="24"/>
        </w:rPr>
      </w:pPr>
      <w:r w:rsidRPr="003C0863">
        <w:rPr>
          <w:rFonts w:cs="Times New Roman"/>
          <w:szCs w:val="24"/>
        </w:rPr>
        <w:t>Chindengwike, J., &amp; Kira, A. R. (2022). The Effect of Tax Rate on Taxpayers' Voluntary Compliance in Tanzania. Universal Journal of Accounting and Finance, 10(5), 889-896.</w:t>
      </w:r>
    </w:p>
    <w:p w14:paraId="09169AEE" w14:textId="77777777" w:rsidR="009A1D5D" w:rsidRPr="00CA0F50" w:rsidRDefault="009A1D5D" w:rsidP="009A1D5D">
      <w:pPr>
        <w:spacing w:line="240" w:lineRule="auto"/>
        <w:ind w:left="1170" w:hanging="1170"/>
        <w:rPr>
          <w:rFonts w:cs="Times New Roman"/>
          <w:szCs w:val="24"/>
        </w:rPr>
      </w:pPr>
      <w:r w:rsidRPr="008708EC">
        <w:rPr>
          <w:rFonts w:cs="Times New Roman"/>
          <w:szCs w:val="24"/>
        </w:rPr>
        <w:t>Cooper, D. R., &amp; Schindler, P. (2014). Business research methods. Mcgraw-hill.</w:t>
      </w:r>
    </w:p>
    <w:p w14:paraId="434251A9" w14:textId="77777777" w:rsidR="009A1D5D" w:rsidRDefault="009A1D5D" w:rsidP="009A1D5D">
      <w:pPr>
        <w:spacing w:line="240" w:lineRule="auto"/>
        <w:ind w:left="1170" w:hanging="1170"/>
        <w:rPr>
          <w:rFonts w:cs="Times New Roman"/>
          <w:szCs w:val="24"/>
        </w:rPr>
      </w:pPr>
      <w:r w:rsidRPr="00CA0F50">
        <w:rPr>
          <w:rFonts w:cs="Times New Roman"/>
          <w:szCs w:val="24"/>
        </w:rPr>
        <w:t>Cowell, F. A., &amp; Gordon, J. P. (</w:t>
      </w:r>
      <w:r>
        <w:rPr>
          <w:rFonts w:cs="Times New Roman"/>
          <w:szCs w:val="24"/>
        </w:rPr>
        <w:t>2017</w:t>
      </w:r>
      <w:r w:rsidRPr="00CA0F50">
        <w:rPr>
          <w:rFonts w:cs="Times New Roman"/>
          <w:szCs w:val="24"/>
        </w:rPr>
        <w:t xml:space="preserve">). Unwillingness to pay: Tax evasion and public good provision. </w:t>
      </w:r>
      <w:r w:rsidRPr="00CA0F50">
        <w:rPr>
          <w:rFonts w:cs="Times New Roman"/>
          <w:i/>
          <w:szCs w:val="24"/>
        </w:rPr>
        <w:t>Journal of Public Economics</w:t>
      </w:r>
      <w:r w:rsidRPr="00CA0F50">
        <w:rPr>
          <w:rFonts w:cs="Times New Roman"/>
          <w:szCs w:val="24"/>
        </w:rPr>
        <w:t xml:space="preserve">, </w:t>
      </w:r>
      <w:r w:rsidRPr="00CA0F50">
        <w:rPr>
          <w:rFonts w:cs="Times New Roman"/>
          <w:i/>
          <w:szCs w:val="24"/>
        </w:rPr>
        <w:t>36</w:t>
      </w:r>
      <w:r w:rsidRPr="00CA0F50">
        <w:rPr>
          <w:rFonts w:cs="Times New Roman"/>
          <w:szCs w:val="24"/>
        </w:rPr>
        <w:t>(3), 305-321.</w:t>
      </w:r>
    </w:p>
    <w:p w14:paraId="624398E2" w14:textId="77777777" w:rsidR="009A1D5D" w:rsidRDefault="009A1D5D" w:rsidP="009A1D5D">
      <w:pPr>
        <w:shd w:val="clear" w:color="auto" w:fill="FFFFFF"/>
        <w:spacing w:line="240" w:lineRule="auto"/>
        <w:ind w:left="720" w:hanging="720"/>
        <w:rPr>
          <w:rFonts w:cs="Times New Roman"/>
          <w:szCs w:val="24"/>
        </w:rPr>
      </w:pPr>
      <w:r w:rsidRPr="008708EC">
        <w:rPr>
          <w:rFonts w:cs="Times New Roman"/>
          <w:szCs w:val="24"/>
        </w:rPr>
        <w:t>Creswell, J. W., &amp; Creswell, J. D. (2017). Research design: Qualitative, quantitative, and mixed methods approaches. Sage publications</w:t>
      </w:r>
    </w:p>
    <w:p w14:paraId="564D03CC" w14:textId="77777777" w:rsidR="009A1D5D" w:rsidRDefault="009A1D5D" w:rsidP="009A1D5D">
      <w:pPr>
        <w:spacing w:line="240" w:lineRule="auto"/>
        <w:ind w:left="1170" w:hanging="1170"/>
        <w:rPr>
          <w:rFonts w:cs="Times New Roman"/>
          <w:szCs w:val="24"/>
        </w:rPr>
      </w:pPr>
      <w:r w:rsidRPr="007606D2">
        <w:rPr>
          <w:rFonts w:cs="Times New Roman"/>
          <w:szCs w:val="24"/>
        </w:rPr>
        <w:t>Duve</w:t>
      </w:r>
      <w:r w:rsidRPr="002053F5">
        <w:rPr>
          <w:rFonts w:cs="Times New Roman"/>
          <w:szCs w:val="24"/>
        </w:rPr>
        <w:t>, M., &amp; Schutte, D. (2024). TAX COMPLIANCE COSTS AND SMALL BUSINESSES COMPLIANCE BEHAVIOUR IN ZIMBABWE. In Economic and Social Development (Book of Proceedings), 111th International Scientific Conference on Economic and Social Development (p. 60)</w:t>
      </w:r>
    </w:p>
    <w:p w14:paraId="63977FF3" w14:textId="77777777" w:rsidR="009A1D5D" w:rsidRPr="00CA0F50" w:rsidRDefault="009A1D5D" w:rsidP="009A1D5D">
      <w:pPr>
        <w:spacing w:line="240" w:lineRule="auto"/>
        <w:ind w:left="1170" w:hanging="1170"/>
        <w:rPr>
          <w:rFonts w:cs="Times New Roman"/>
          <w:szCs w:val="24"/>
        </w:rPr>
      </w:pPr>
      <w:r w:rsidRPr="00867171">
        <w:rPr>
          <w:rFonts w:cs="Times New Roman"/>
          <w:color w:val="222222"/>
          <w:szCs w:val="24"/>
          <w:shd w:val="clear" w:color="auto" w:fill="FFFFFF"/>
        </w:rPr>
        <w:t>ELIAS, G., &amp; KIMBURU, G. (2021). Assessment of factors hindering effective tax compliance by small businesses in Tanzania</w:t>
      </w:r>
      <w:r>
        <w:rPr>
          <w:rFonts w:ascii="Arial" w:hAnsi="Arial" w:cs="Arial"/>
          <w:color w:val="222222"/>
          <w:sz w:val="20"/>
          <w:szCs w:val="20"/>
          <w:shd w:val="clear" w:color="auto" w:fill="FFFFFF"/>
        </w:rPr>
        <w:t>.</w:t>
      </w:r>
    </w:p>
    <w:p w14:paraId="46147B1F" w14:textId="77777777" w:rsidR="009A1D5D" w:rsidRDefault="009A1D5D" w:rsidP="009A1D5D">
      <w:pPr>
        <w:spacing w:line="240" w:lineRule="auto"/>
        <w:ind w:left="1170" w:hanging="1170"/>
        <w:rPr>
          <w:rFonts w:cs="Times New Roman"/>
          <w:szCs w:val="24"/>
        </w:rPr>
      </w:pPr>
      <w:r w:rsidRPr="00CA0F50">
        <w:rPr>
          <w:rFonts w:cs="Times New Roman"/>
          <w:szCs w:val="24"/>
        </w:rPr>
        <w:t xml:space="preserve">Engida, T. G., &amp; Baisa, G. A. (2014). Factors influencing taxpayers' compliance with the tax system: </w:t>
      </w:r>
      <w:r w:rsidRPr="00CA0F50">
        <w:rPr>
          <w:rFonts w:cs="Times New Roman"/>
          <w:i/>
          <w:szCs w:val="24"/>
        </w:rPr>
        <w:t xml:space="preserve">An empirical study in </w:t>
      </w:r>
      <w:r>
        <w:rPr>
          <w:rFonts w:cs="Times New Roman"/>
          <w:i/>
          <w:szCs w:val="24"/>
        </w:rPr>
        <w:t>Mekelle</w:t>
      </w:r>
      <w:r w:rsidRPr="00CA0F50">
        <w:rPr>
          <w:rFonts w:cs="Times New Roman"/>
          <w:i/>
          <w:szCs w:val="24"/>
        </w:rPr>
        <w:t xml:space="preserve"> city, Ethiopia</w:t>
      </w:r>
      <w:r w:rsidRPr="00CA0F50">
        <w:rPr>
          <w:rFonts w:cs="Times New Roman"/>
          <w:szCs w:val="24"/>
        </w:rPr>
        <w:t xml:space="preserve">. </w:t>
      </w:r>
      <w:r w:rsidRPr="00CA0F50">
        <w:rPr>
          <w:rFonts w:cs="Times New Roman"/>
          <w:i/>
          <w:szCs w:val="24"/>
        </w:rPr>
        <w:t>eJTR</w:t>
      </w:r>
      <w:r w:rsidRPr="00CA0F50">
        <w:rPr>
          <w:rFonts w:cs="Times New Roman"/>
          <w:szCs w:val="24"/>
        </w:rPr>
        <w:t xml:space="preserve">, </w:t>
      </w:r>
      <w:r w:rsidRPr="00CA0F50">
        <w:rPr>
          <w:rFonts w:cs="Times New Roman"/>
          <w:i/>
          <w:szCs w:val="24"/>
        </w:rPr>
        <w:t>12</w:t>
      </w:r>
      <w:r w:rsidRPr="00CA0F50">
        <w:rPr>
          <w:rFonts w:cs="Times New Roman"/>
          <w:szCs w:val="24"/>
        </w:rPr>
        <w:t>, 433.</w:t>
      </w:r>
    </w:p>
    <w:p w14:paraId="1AC4390B" w14:textId="77777777" w:rsidR="009A1D5D" w:rsidRPr="00CA0F50" w:rsidRDefault="009A1D5D" w:rsidP="009A1D5D">
      <w:pPr>
        <w:spacing w:line="240" w:lineRule="auto"/>
        <w:ind w:left="1170" w:hanging="1170"/>
        <w:rPr>
          <w:rFonts w:cs="Times New Roman"/>
          <w:szCs w:val="24"/>
        </w:rPr>
      </w:pPr>
      <w:r w:rsidRPr="00B97175">
        <w:rPr>
          <w:rFonts w:cs="Times New Roman"/>
          <w:szCs w:val="24"/>
        </w:rPr>
        <w:t>Etim, R. S., Jeremiah, M. S., &amp; Dan, P. B. (2020). Tax compliance and digitalization of Nigerian economy: The empirical review. American International Journal of Social Science, 9(2), 42-50.</w:t>
      </w:r>
    </w:p>
    <w:p w14:paraId="74CD1A3C" w14:textId="77777777" w:rsidR="009A1D5D" w:rsidRDefault="009A1D5D" w:rsidP="009A1D5D">
      <w:pPr>
        <w:spacing w:line="240" w:lineRule="auto"/>
        <w:ind w:left="1170" w:hanging="1170"/>
        <w:rPr>
          <w:rFonts w:cs="Times New Roman"/>
          <w:szCs w:val="24"/>
        </w:rPr>
      </w:pPr>
      <w:r w:rsidRPr="0027535E">
        <w:rPr>
          <w:rFonts w:cs="Times New Roman"/>
          <w:szCs w:val="24"/>
        </w:rPr>
        <w:t>Fauziati, P., Minovia, A. F., Muslim, R. Y., &amp; Nasrah, R. (2020). The impact of tax knowledge on tax compliance case study in Kota Padang, Indonesia. Journal of Advanced Research in Business and Management Studies, 2(1), 22-30.</w:t>
      </w:r>
    </w:p>
    <w:p w14:paraId="7B745552" w14:textId="77777777" w:rsidR="009A1D5D" w:rsidRDefault="009A1D5D" w:rsidP="009A1D5D">
      <w:pPr>
        <w:spacing w:line="240" w:lineRule="auto"/>
        <w:ind w:left="1170" w:hanging="1170"/>
        <w:rPr>
          <w:rFonts w:cs="Times New Roman"/>
          <w:szCs w:val="24"/>
        </w:rPr>
      </w:pPr>
      <w:r>
        <w:rPr>
          <w:rFonts w:cs="Times New Roman"/>
          <w:szCs w:val="24"/>
        </w:rPr>
        <w:t>Felix &amp; Rufus</w:t>
      </w:r>
      <w:r w:rsidRPr="00B97175">
        <w:rPr>
          <w:rFonts w:cs="Times New Roman"/>
          <w:szCs w:val="24"/>
        </w:rPr>
        <w:t xml:space="preserve"> (2021). Good governance and personal income tax compliance in Nigeria. European journal of accounting, auditing and finance research, 9(5), 16-35.</w:t>
      </w:r>
    </w:p>
    <w:p w14:paraId="38FA2FCA" w14:textId="77777777" w:rsidR="009A1D5D" w:rsidRDefault="009A1D5D" w:rsidP="009A1D5D">
      <w:pPr>
        <w:spacing w:line="240" w:lineRule="auto"/>
        <w:ind w:left="1170" w:hanging="1170"/>
        <w:rPr>
          <w:rFonts w:cs="Times New Roman"/>
          <w:szCs w:val="24"/>
        </w:rPr>
      </w:pPr>
      <w:r w:rsidRPr="00F1021C">
        <w:rPr>
          <w:rFonts w:cs="Times New Roman"/>
          <w:szCs w:val="24"/>
        </w:rPr>
        <w:t>Fjeldstad, O. H., Schulz-Herzenberg, C., &amp; Hoem Sjursen, I. (2012). People's views of taxation in Africa: a review of research on determinants of tax compliance. Available at SSRN 2411424.</w:t>
      </w:r>
    </w:p>
    <w:p w14:paraId="71081BBE" w14:textId="77777777" w:rsidR="009A1D5D" w:rsidRPr="00CA0F50" w:rsidRDefault="009A1D5D" w:rsidP="009A1D5D">
      <w:pPr>
        <w:spacing w:line="240" w:lineRule="auto"/>
        <w:ind w:left="1170" w:hanging="1170"/>
        <w:rPr>
          <w:rFonts w:cs="Times New Roman"/>
          <w:szCs w:val="24"/>
        </w:rPr>
      </w:pPr>
      <w:r w:rsidRPr="00FE195E">
        <w:rPr>
          <w:rFonts w:cs="Times New Roman"/>
          <w:szCs w:val="24"/>
        </w:rPr>
        <w:t>Fjeldstad, O., Sjursen, I.H., &amp; Ali, M. (2013). Factors affecting tax compliant attitude in Africa: Evidence from Kenya, Tanzania, Uganda and South Africa.</w:t>
      </w:r>
    </w:p>
    <w:p w14:paraId="5F1D2D2D" w14:textId="77777777" w:rsidR="009A1D5D" w:rsidRDefault="009A1D5D" w:rsidP="009A1D5D">
      <w:pPr>
        <w:spacing w:line="240" w:lineRule="auto"/>
        <w:ind w:left="1170" w:hanging="1170"/>
        <w:rPr>
          <w:rFonts w:ascii="Arial" w:hAnsi="Arial" w:cs="Arial"/>
          <w:color w:val="222222"/>
          <w:sz w:val="20"/>
          <w:szCs w:val="20"/>
          <w:shd w:val="clear" w:color="auto" w:fill="FFFFFF"/>
        </w:rPr>
      </w:pPr>
      <w:r w:rsidRPr="004560EA">
        <w:rPr>
          <w:rFonts w:cs="Times New Roman"/>
          <w:szCs w:val="24"/>
        </w:rPr>
        <w:t>Ghani, H. H. A., Abd Hamid, N., Sanusi, S., &amp; Shamsuddin, R. (2020). The effect of tax knowledge, compliance costs, complexity and morale towards tax compliance among self-employed in Malaysia. Global Business and Management Research, 12(1), 18-32</w:t>
      </w:r>
      <w:r>
        <w:rPr>
          <w:rFonts w:ascii="Arial" w:hAnsi="Arial" w:cs="Arial"/>
          <w:color w:val="222222"/>
          <w:sz w:val="20"/>
          <w:szCs w:val="20"/>
          <w:shd w:val="clear" w:color="auto" w:fill="FFFFFF"/>
        </w:rPr>
        <w:t>.</w:t>
      </w:r>
    </w:p>
    <w:p w14:paraId="7D5AF993" w14:textId="77777777" w:rsidR="009A1D5D" w:rsidRPr="004560EA" w:rsidRDefault="009A1D5D" w:rsidP="009A1D5D">
      <w:pPr>
        <w:spacing w:line="240" w:lineRule="auto"/>
        <w:ind w:left="1170" w:hanging="1170"/>
        <w:rPr>
          <w:rFonts w:cs="Times New Roman"/>
          <w:color w:val="222222"/>
          <w:szCs w:val="24"/>
          <w:shd w:val="clear" w:color="auto" w:fill="FFFFFF"/>
        </w:rPr>
      </w:pPr>
      <w:r w:rsidRPr="004560EA">
        <w:rPr>
          <w:rFonts w:cs="Times New Roman"/>
          <w:color w:val="222222"/>
          <w:szCs w:val="24"/>
          <w:shd w:val="clear" w:color="auto" w:fill="FFFFFF"/>
        </w:rPr>
        <w:t>Hassan, N. S. A., Palil, M. R., Ramli, R., &amp; Maelah, R. (2022). Enhancing Tax Compliance in Malaysia: Does Tax Learning and Education Matter?. International Business Education Journal, 15(1), 18-29.</w:t>
      </w:r>
    </w:p>
    <w:p w14:paraId="262581A0" w14:textId="77777777" w:rsidR="009A1D5D" w:rsidRPr="00CA0F50" w:rsidRDefault="009A1D5D" w:rsidP="009A1D5D">
      <w:pPr>
        <w:spacing w:line="240" w:lineRule="auto"/>
        <w:ind w:left="1170" w:hanging="1170"/>
        <w:rPr>
          <w:rFonts w:cs="Times New Roman"/>
          <w:szCs w:val="24"/>
        </w:rPr>
      </w:pPr>
      <w:r w:rsidRPr="00B97175">
        <w:rPr>
          <w:rFonts w:cs="Times New Roman"/>
          <w:szCs w:val="24"/>
        </w:rPr>
        <w:t>Ibrahim, M. A., Myrna, R., Irawati, I., &amp; Kristiadi, J. B. (2017). A systematic literature review on tax amnesty in 9 Asian countries. International Journal of Economics and Financial Issues, 7(3), 220-225.</w:t>
      </w:r>
    </w:p>
    <w:p w14:paraId="07EAAF78" w14:textId="77777777" w:rsidR="009A1D5D" w:rsidRDefault="009A1D5D" w:rsidP="009A1D5D">
      <w:pPr>
        <w:spacing w:line="240" w:lineRule="auto"/>
        <w:ind w:left="1170" w:hanging="1170"/>
        <w:rPr>
          <w:rFonts w:cs="Times New Roman"/>
          <w:szCs w:val="24"/>
        </w:rPr>
      </w:pPr>
      <w:r w:rsidRPr="00EF6866">
        <w:rPr>
          <w:rFonts w:cs="Times New Roman"/>
          <w:szCs w:val="24"/>
        </w:rPr>
        <w:t>Karim, S. A. (2010). Contemporary shari’a compliance structuring for the development and management of waqf assets in Singapore. Kyoto Bulletin of Islamic Area Studies, 3(2), 143-164.</w:t>
      </w:r>
    </w:p>
    <w:p w14:paraId="515A47FD" w14:textId="77777777" w:rsidR="009A1D5D" w:rsidRPr="00AA3F72" w:rsidRDefault="009A1D5D" w:rsidP="009A1D5D">
      <w:pPr>
        <w:spacing w:line="240" w:lineRule="auto"/>
        <w:ind w:left="1170" w:hanging="1170"/>
        <w:rPr>
          <w:rFonts w:cs="Times New Roman"/>
          <w:szCs w:val="24"/>
        </w:rPr>
      </w:pPr>
      <w:r w:rsidRPr="00AA3F72">
        <w:rPr>
          <w:rFonts w:cs="Times New Roman"/>
          <w:color w:val="222222"/>
          <w:szCs w:val="24"/>
          <w:shd w:val="clear" w:color="auto" w:fill="FFFFFF"/>
        </w:rPr>
        <w:lastRenderedPageBreak/>
        <w:t>Kinyua, C. (2022). Factors Affecting Residential Rental Income Tax Compliance by Landlords in Machakos County, Kenya.</w:t>
      </w:r>
    </w:p>
    <w:p w14:paraId="0F8893FF" w14:textId="77777777" w:rsidR="009A1D5D" w:rsidRPr="00AA3F72" w:rsidRDefault="009A1D5D" w:rsidP="009A1D5D">
      <w:pPr>
        <w:spacing w:line="240" w:lineRule="auto"/>
        <w:ind w:left="1170" w:hanging="1170"/>
        <w:rPr>
          <w:rFonts w:cs="Times New Roman"/>
          <w:szCs w:val="24"/>
        </w:rPr>
      </w:pPr>
      <w:r w:rsidRPr="00AA3F72">
        <w:rPr>
          <w:rFonts w:cs="Times New Roman"/>
          <w:color w:val="222222"/>
          <w:szCs w:val="24"/>
          <w:shd w:val="clear" w:color="auto" w:fill="FFFFFF"/>
        </w:rPr>
        <w:t>Kinyua, C. (2022). Factors Affecting Residential Rental Income Tax Compliance by Landlords in Machakos County, Kenya.</w:t>
      </w:r>
    </w:p>
    <w:p w14:paraId="05A2645F" w14:textId="77777777" w:rsidR="009A1D5D" w:rsidRDefault="009A1D5D" w:rsidP="009A1D5D">
      <w:pPr>
        <w:spacing w:line="240" w:lineRule="auto"/>
        <w:ind w:left="1170" w:hanging="1170"/>
        <w:rPr>
          <w:rFonts w:cs="Times New Roman"/>
          <w:szCs w:val="24"/>
        </w:rPr>
      </w:pPr>
      <w:r w:rsidRPr="009E41A8">
        <w:rPr>
          <w:rFonts w:cs="Times New Roman"/>
          <w:szCs w:val="24"/>
        </w:rPr>
        <w:t>Kothari, C. R. (2004). Research Methodology, Methods and Techniques. New Age International (P) Ltd., Publishers.</w:t>
      </w:r>
    </w:p>
    <w:p w14:paraId="41F155F8" w14:textId="77777777" w:rsidR="009A1D5D" w:rsidRPr="00367DF7" w:rsidRDefault="009A1D5D" w:rsidP="009A1D5D">
      <w:pPr>
        <w:spacing w:line="240" w:lineRule="auto"/>
        <w:ind w:left="1170" w:hanging="1170"/>
        <w:rPr>
          <w:rFonts w:cs="Times New Roman"/>
          <w:szCs w:val="24"/>
        </w:rPr>
      </w:pPr>
      <w:r w:rsidRPr="00367DF7">
        <w:rPr>
          <w:rFonts w:cs="Times New Roman"/>
          <w:szCs w:val="24"/>
        </w:rPr>
        <w:t>Liu, H., &amp; Lee, H. A. (2019). The effect of corporate social responsibility on earnings management and tax avoidance in Chinese listed companies. International Journal of Accounting &amp; Information Management, 27(4), 632-652.</w:t>
      </w:r>
    </w:p>
    <w:p w14:paraId="627BF38B" w14:textId="77777777" w:rsidR="009A1D5D" w:rsidRDefault="009A1D5D" w:rsidP="009A1D5D">
      <w:pPr>
        <w:spacing w:line="240" w:lineRule="auto"/>
        <w:ind w:left="1170" w:hanging="1170"/>
        <w:rPr>
          <w:rFonts w:cs="Times New Roman"/>
          <w:szCs w:val="24"/>
        </w:rPr>
      </w:pPr>
      <w:r w:rsidRPr="007C73A1">
        <w:rPr>
          <w:rFonts w:cs="Times New Roman"/>
          <w:szCs w:val="24"/>
        </w:rPr>
        <w:t>Mateli, N. M. (2020). Determinants of Monthly Rental Income Tax Compliance among Landlords in Mavoko Sub-County in Kenya.</w:t>
      </w:r>
    </w:p>
    <w:p w14:paraId="483AFD47" w14:textId="77777777" w:rsidR="009A1D5D" w:rsidRPr="00CA0F50" w:rsidRDefault="009A1D5D" w:rsidP="009A1D5D">
      <w:pPr>
        <w:spacing w:line="240" w:lineRule="auto"/>
        <w:ind w:left="1170" w:hanging="1170"/>
        <w:rPr>
          <w:rFonts w:cs="Times New Roman"/>
          <w:szCs w:val="24"/>
        </w:rPr>
      </w:pPr>
      <w:r w:rsidRPr="00FE195E">
        <w:rPr>
          <w:rFonts w:cs="Times New Roman"/>
          <w:szCs w:val="24"/>
        </w:rPr>
        <w:t>McKerchar, M. &amp; C. Evans (2009). Sustaining Growth in Developing Economies through Improved Taxpayer Compliance: Challenges for Policy Makers and Revenue Authorities. eJournal of Tax Research, 7(2), 171–201.</w:t>
      </w:r>
    </w:p>
    <w:p w14:paraId="1A136835" w14:textId="77777777" w:rsidR="009A1D5D" w:rsidRDefault="009A1D5D" w:rsidP="009A1D5D">
      <w:pPr>
        <w:spacing w:line="240" w:lineRule="auto"/>
        <w:ind w:left="1170" w:hanging="1170"/>
      </w:pPr>
      <w:r w:rsidRPr="00DF1707">
        <w:rPr>
          <w:rFonts w:cs="Times New Roman"/>
          <w:szCs w:val="24"/>
        </w:rPr>
        <w:t>Mugenda, A. and Mugenda, O. (2013). Research Methods: Quantitative and Qualitative Approaches. Nairobi: ACTS Press</w:t>
      </w:r>
      <w:r>
        <w:t>.</w:t>
      </w:r>
    </w:p>
    <w:p w14:paraId="759183CE" w14:textId="77777777" w:rsidR="009A1D5D" w:rsidRPr="00CA0F50" w:rsidRDefault="009A1D5D" w:rsidP="009A1D5D">
      <w:pPr>
        <w:spacing w:line="240" w:lineRule="auto"/>
        <w:ind w:left="1170" w:hanging="1170"/>
        <w:rPr>
          <w:rFonts w:cs="Times New Roman"/>
          <w:szCs w:val="24"/>
        </w:rPr>
      </w:pPr>
      <w:r w:rsidRPr="004F72BB">
        <w:rPr>
          <w:rFonts w:cs="Times New Roman"/>
          <w:szCs w:val="24"/>
        </w:rPr>
        <w:t>Mugenda, O. M., &amp; Mugenda, A. G. (2003). Research methods: Quantitative &amp; qualitative apporaches (Vol. 2, No. 2). Nairobi: Acts press</w:t>
      </w:r>
      <w:r>
        <w:rPr>
          <w:rFonts w:ascii="Arial" w:hAnsi="Arial" w:cs="Arial"/>
          <w:color w:val="222222"/>
          <w:sz w:val="20"/>
          <w:szCs w:val="20"/>
          <w:shd w:val="clear" w:color="auto" w:fill="FFFFFF"/>
        </w:rPr>
        <w:t>.</w:t>
      </w:r>
    </w:p>
    <w:p w14:paraId="6A7A6BC5" w14:textId="77777777" w:rsidR="009A1D5D" w:rsidRDefault="009A1D5D" w:rsidP="009A1D5D">
      <w:pPr>
        <w:spacing w:line="240" w:lineRule="auto"/>
        <w:ind w:left="1170" w:hanging="1170"/>
        <w:rPr>
          <w:rFonts w:cs="Times New Roman"/>
          <w:szCs w:val="24"/>
        </w:rPr>
      </w:pPr>
      <w:r w:rsidRPr="0028791B">
        <w:rPr>
          <w:rFonts w:cs="Times New Roman"/>
          <w:szCs w:val="24"/>
        </w:rPr>
        <w:t>Mustafa, A. Y., &amp; Humta, H. (2021). Examining the effect of tax understanding and tax awareness on taxpayer compliance in Kabul-Afghanistan. Third Sector Social Economy, 56, 148-162.</w:t>
      </w:r>
    </w:p>
    <w:p w14:paraId="7585612B" w14:textId="77777777" w:rsidR="009A1D5D" w:rsidRPr="00CA0F50" w:rsidRDefault="009A1D5D" w:rsidP="009A1D5D">
      <w:pPr>
        <w:spacing w:line="240" w:lineRule="auto"/>
        <w:ind w:left="1170" w:hanging="1170"/>
        <w:rPr>
          <w:rFonts w:cs="Times New Roman"/>
          <w:szCs w:val="24"/>
        </w:rPr>
      </w:pPr>
      <w:r w:rsidRPr="005D7CD5">
        <w:rPr>
          <w:rFonts w:cs="Times New Roman"/>
          <w:szCs w:val="24"/>
        </w:rPr>
        <w:t>Mutai, G. C., &amp; Omwono, G. (2022). Analysis of Factors Affecting Tax Compliance in the Real Estate Sector in Kenya: A Case of Real Estates in Eldoret Town. International Journal of Education, Business and Economics Research, 2(2), 12-38.</w:t>
      </w:r>
    </w:p>
    <w:p w14:paraId="18EDB173" w14:textId="77777777" w:rsidR="009A1D5D" w:rsidRPr="00CA0F50" w:rsidRDefault="009A1D5D" w:rsidP="009A1D5D">
      <w:pPr>
        <w:spacing w:line="240" w:lineRule="auto"/>
        <w:ind w:left="1170" w:hanging="1170"/>
        <w:rPr>
          <w:rFonts w:cs="Times New Roman"/>
          <w:szCs w:val="24"/>
        </w:rPr>
      </w:pPr>
      <w:r w:rsidRPr="00B240CA">
        <w:rPr>
          <w:rFonts w:cs="Times New Roman"/>
          <w:szCs w:val="24"/>
        </w:rPr>
        <w:t>Njiru, F. M. (2020). Factors Influencing Residential Rental Income Tax Compliance.</w:t>
      </w:r>
    </w:p>
    <w:p w14:paraId="71BD41F2" w14:textId="77777777" w:rsidR="009A1D5D" w:rsidRDefault="009A1D5D" w:rsidP="009A1D5D">
      <w:pPr>
        <w:spacing w:line="240" w:lineRule="auto"/>
        <w:ind w:left="1170" w:hanging="1170"/>
        <w:rPr>
          <w:rFonts w:cs="Times New Roman"/>
          <w:szCs w:val="24"/>
        </w:rPr>
      </w:pPr>
      <w:r w:rsidRPr="00B97175">
        <w:rPr>
          <w:rFonts w:cs="Times New Roman"/>
          <w:szCs w:val="24"/>
        </w:rPr>
        <w:t>Obara, L. C., &amp; Nangih, E. (2017). Tax Compliance Barriers and Internally Generated Revenue in Nigeria: Empirical from Small and Medium Enterprises in Portharcourt Metropolis. International Journal of Academic Research in Accounting, Finance and Management Sciences, 7(4), 169-176.</w:t>
      </w:r>
    </w:p>
    <w:p w14:paraId="0497D176" w14:textId="77777777" w:rsidR="009A1D5D" w:rsidRDefault="009A1D5D" w:rsidP="009A1D5D">
      <w:pPr>
        <w:spacing w:line="240" w:lineRule="auto"/>
        <w:ind w:left="1170" w:hanging="1170"/>
        <w:rPr>
          <w:rFonts w:cs="Times New Roman"/>
          <w:szCs w:val="24"/>
        </w:rPr>
      </w:pPr>
      <w:r w:rsidRPr="00B240CA">
        <w:rPr>
          <w:rFonts w:cs="Times New Roman"/>
          <w:szCs w:val="24"/>
        </w:rPr>
        <w:t>Sani, K. S., &amp; Gbadegesin, J. T. (2015). A study of private rental housing market in Kaduna Metropolis, Nigeria. International Journal of Humanities and Social Science, 5(8), 173-183.</w:t>
      </w:r>
    </w:p>
    <w:p w14:paraId="4F4B48C0" w14:textId="77777777" w:rsidR="009A1D5D" w:rsidRDefault="009A1D5D" w:rsidP="009A1D5D">
      <w:pPr>
        <w:spacing w:line="240" w:lineRule="auto"/>
        <w:ind w:left="1170" w:hanging="1170"/>
        <w:rPr>
          <w:rFonts w:cs="Times New Roman"/>
          <w:szCs w:val="24"/>
        </w:rPr>
      </w:pPr>
      <w:r w:rsidRPr="00B97175">
        <w:rPr>
          <w:rFonts w:cs="Times New Roman"/>
          <w:szCs w:val="24"/>
        </w:rPr>
        <w:t>Schoeman, A. H. A., Evans, C. C., &amp; Du Preez, H. (2022). To register or not to register for value-added tax? How tax rate changes can influence the decisions of small businesses in South Africa. Meditari Accountancy Research, 30(7), 213-236.</w:t>
      </w:r>
    </w:p>
    <w:p w14:paraId="1632C006" w14:textId="77777777" w:rsidR="009A1D5D" w:rsidRDefault="009A1D5D" w:rsidP="009A1D5D">
      <w:pPr>
        <w:spacing w:line="240" w:lineRule="auto"/>
        <w:ind w:left="1170" w:hanging="1170"/>
        <w:rPr>
          <w:rFonts w:cs="Times New Roman"/>
          <w:szCs w:val="24"/>
        </w:rPr>
      </w:pPr>
      <w:r w:rsidRPr="004C5810">
        <w:rPr>
          <w:rFonts w:cs="Times New Roman"/>
          <w:szCs w:val="24"/>
        </w:rPr>
        <w:t>Sileyew, K. J. (2019). Research design and methodology (Vol. 7). Cyberspace.</w:t>
      </w:r>
    </w:p>
    <w:p w14:paraId="33FD6A97" w14:textId="77777777" w:rsidR="009A1D5D" w:rsidRDefault="009A1D5D" w:rsidP="009A1D5D">
      <w:pPr>
        <w:spacing w:line="240" w:lineRule="auto"/>
        <w:ind w:left="1170" w:hanging="1170"/>
        <w:rPr>
          <w:rFonts w:cs="Times New Roman"/>
          <w:szCs w:val="24"/>
        </w:rPr>
      </w:pPr>
      <w:r w:rsidRPr="00B240CA">
        <w:rPr>
          <w:rFonts w:cs="Times New Roman"/>
          <w:szCs w:val="24"/>
        </w:rPr>
        <w:t>Smulders, S., Stiglingh, M., Franzsen, R., &amp; Fletcher, L. (2017). Determinants of external tax compliance costs: Evidence from South Africa. South African Journal of Accounting Research, 31(2), 134-150.</w:t>
      </w:r>
    </w:p>
    <w:p w14:paraId="1BEEF67A" w14:textId="77777777" w:rsidR="009A1D5D" w:rsidRPr="00072EEA" w:rsidRDefault="009A1D5D" w:rsidP="009A1D5D">
      <w:pPr>
        <w:spacing w:line="240" w:lineRule="auto"/>
        <w:ind w:left="1170" w:hanging="1170"/>
        <w:rPr>
          <w:rFonts w:cs="Times New Roman"/>
          <w:szCs w:val="24"/>
        </w:rPr>
      </w:pPr>
      <w:r w:rsidRPr="00B97175">
        <w:rPr>
          <w:rFonts w:cs="Times New Roman"/>
          <w:szCs w:val="24"/>
        </w:rPr>
        <w:lastRenderedPageBreak/>
        <w:t>Solomon, b. (2021). The influence of tax education on tax compliance attitude a case study in ministry of revenue of ethiopia merkato number 2 branch office (doctoral dissertation, st. Mary’s university).</w:t>
      </w:r>
    </w:p>
    <w:p w14:paraId="39727512" w14:textId="77777777" w:rsidR="009A1D5D" w:rsidRDefault="009A1D5D" w:rsidP="009A1D5D">
      <w:pPr>
        <w:spacing w:line="240" w:lineRule="auto"/>
        <w:ind w:left="1170" w:hanging="1170"/>
        <w:rPr>
          <w:rFonts w:cs="Times New Roman"/>
          <w:color w:val="222222"/>
          <w:szCs w:val="24"/>
          <w:shd w:val="clear" w:color="auto" w:fill="FFFFFF"/>
        </w:rPr>
      </w:pPr>
      <w:r w:rsidRPr="001619E5">
        <w:rPr>
          <w:rFonts w:cs="Times New Roman"/>
          <w:color w:val="222222"/>
          <w:szCs w:val="24"/>
          <w:shd w:val="clear" w:color="auto" w:fill="FFFFFF"/>
        </w:rPr>
        <w:t>Tagat, A. (2019). The taxman cometh: Behavioural approaches to improving tax compliance in India. </w:t>
      </w:r>
      <w:r w:rsidRPr="001619E5">
        <w:rPr>
          <w:rFonts w:cs="Times New Roman"/>
          <w:i/>
          <w:iCs/>
          <w:color w:val="222222"/>
          <w:szCs w:val="24"/>
          <w:shd w:val="clear" w:color="auto" w:fill="FFFFFF"/>
        </w:rPr>
        <w:t>Journal of Behavioral Economics for Policy</w:t>
      </w:r>
      <w:r w:rsidRPr="001619E5">
        <w:rPr>
          <w:rFonts w:cs="Times New Roman"/>
          <w:color w:val="222222"/>
          <w:szCs w:val="24"/>
          <w:shd w:val="clear" w:color="auto" w:fill="FFFFFF"/>
        </w:rPr>
        <w:t>, </w:t>
      </w:r>
      <w:r w:rsidRPr="001619E5">
        <w:rPr>
          <w:rFonts w:cs="Times New Roman"/>
          <w:i/>
          <w:iCs/>
          <w:color w:val="222222"/>
          <w:szCs w:val="24"/>
          <w:shd w:val="clear" w:color="auto" w:fill="FFFFFF"/>
        </w:rPr>
        <w:t>3</w:t>
      </w:r>
      <w:r w:rsidRPr="001619E5">
        <w:rPr>
          <w:rFonts w:cs="Times New Roman"/>
          <w:color w:val="222222"/>
          <w:szCs w:val="24"/>
          <w:shd w:val="clear" w:color="auto" w:fill="FFFFFF"/>
        </w:rPr>
        <w:t>(1), 12-22.</w:t>
      </w:r>
    </w:p>
    <w:p w14:paraId="770209B4" w14:textId="77777777" w:rsidR="009A1D5D" w:rsidRDefault="009A1D5D" w:rsidP="009A1D5D">
      <w:pPr>
        <w:spacing w:line="240" w:lineRule="auto"/>
        <w:ind w:left="1170" w:hanging="1170"/>
        <w:rPr>
          <w:rFonts w:cs="Times New Roman"/>
          <w:szCs w:val="24"/>
        </w:rPr>
      </w:pPr>
      <w:r w:rsidRPr="00CA0F50">
        <w:rPr>
          <w:rFonts w:cs="Times New Roman"/>
          <w:szCs w:val="24"/>
        </w:rPr>
        <w:t>Thananga, A. G., Wanyoike, D. M., &amp; Wagoki, A. J. (20</w:t>
      </w:r>
      <w:r>
        <w:rPr>
          <w:rFonts w:cs="Times New Roman"/>
          <w:szCs w:val="24"/>
        </w:rPr>
        <w:t>13</w:t>
      </w:r>
      <w:r w:rsidRPr="00CA0F50">
        <w:rPr>
          <w:rFonts w:cs="Times New Roman"/>
          <w:szCs w:val="24"/>
        </w:rPr>
        <w:t xml:space="preserve">). Factors affecting compliance on rental income tax policy by landlords in Nakuru Municipality. </w:t>
      </w:r>
      <w:r w:rsidRPr="00CA0F50">
        <w:rPr>
          <w:rFonts w:cs="Times New Roman"/>
          <w:i/>
          <w:szCs w:val="24"/>
        </w:rPr>
        <w:t xml:space="preserve">Journal of Agriculture and </w:t>
      </w:r>
      <w:r w:rsidRPr="006370D1">
        <w:rPr>
          <w:rFonts w:cs="Times New Roman"/>
          <w:szCs w:val="24"/>
        </w:rPr>
        <w:t>Environmental Sciences</w:t>
      </w:r>
      <w:r w:rsidRPr="00CA0F50">
        <w:rPr>
          <w:rFonts w:cs="Times New Roman"/>
          <w:szCs w:val="24"/>
        </w:rPr>
        <w:t xml:space="preserve">, </w:t>
      </w:r>
      <w:r w:rsidRPr="006370D1">
        <w:rPr>
          <w:rFonts w:cs="Times New Roman"/>
          <w:szCs w:val="24"/>
        </w:rPr>
        <w:t>2</w:t>
      </w:r>
      <w:r w:rsidRPr="00CA0F50">
        <w:rPr>
          <w:rFonts w:cs="Times New Roman"/>
          <w:szCs w:val="24"/>
        </w:rPr>
        <w:t>(1), 26-38.</w:t>
      </w:r>
    </w:p>
    <w:p w14:paraId="243B3A40" w14:textId="77777777" w:rsidR="009A1D5D" w:rsidRPr="006370D1" w:rsidRDefault="009A1D5D" w:rsidP="009A1D5D">
      <w:pPr>
        <w:spacing w:line="240" w:lineRule="auto"/>
        <w:ind w:left="1170" w:hanging="1170"/>
        <w:rPr>
          <w:rFonts w:cs="Times New Roman"/>
          <w:szCs w:val="24"/>
        </w:rPr>
      </w:pPr>
      <w:r w:rsidRPr="006370D1">
        <w:rPr>
          <w:rFonts w:cs="Times New Roman"/>
          <w:szCs w:val="24"/>
        </w:rPr>
        <w:t>Tiwari, G. (2021). Determinants of tax compliance behaviour among Rental Income earners in Pokhara. Journal of Nepalese Business Studies, 14(1), 69-81.</w:t>
      </w:r>
    </w:p>
    <w:p w14:paraId="0F366678" w14:textId="77777777" w:rsidR="009A1D5D" w:rsidRPr="00CA0F50" w:rsidRDefault="009A1D5D" w:rsidP="009A1D5D">
      <w:pPr>
        <w:spacing w:line="240" w:lineRule="auto"/>
        <w:ind w:left="1170" w:hanging="1170"/>
        <w:rPr>
          <w:rFonts w:cs="Times New Roman"/>
          <w:szCs w:val="24"/>
        </w:rPr>
      </w:pPr>
      <w:r w:rsidRPr="006857D6">
        <w:rPr>
          <w:rFonts w:cs="Times New Roman"/>
          <w:szCs w:val="24"/>
        </w:rPr>
        <w:t>Wachira, J. (2022). Factors Influencing Tax Compliance among Small and Medium Enterprises in Meru Town (Doctoral dissertation, KESRA/JKUAT-Unpublished research project</w:t>
      </w:r>
    </w:p>
    <w:p w14:paraId="3505CC6E" w14:textId="77777777" w:rsidR="009A1D5D" w:rsidRDefault="009A1D5D" w:rsidP="009A1D5D">
      <w:pPr>
        <w:spacing w:line="240" w:lineRule="auto"/>
        <w:ind w:left="1170" w:hanging="1170"/>
        <w:rPr>
          <w:rFonts w:cs="Times New Roman"/>
          <w:szCs w:val="24"/>
        </w:rPr>
      </w:pPr>
      <w:r w:rsidRPr="00154E3E">
        <w:rPr>
          <w:rFonts w:cs="Times New Roman"/>
          <w:szCs w:val="24"/>
        </w:rPr>
        <w:t xml:space="preserve">Waimiri, J. M. (2020). Factors affecting Tax Compliance performance among small and </w:t>
      </w:r>
      <w:r>
        <w:rPr>
          <w:rFonts w:cs="Times New Roman"/>
          <w:szCs w:val="24"/>
        </w:rPr>
        <w:t>medium-sized</w:t>
      </w:r>
      <w:r w:rsidRPr="00154E3E">
        <w:rPr>
          <w:rFonts w:cs="Times New Roman"/>
          <w:szCs w:val="24"/>
        </w:rPr>
        <w:t xml:space="preserve"> enterprises in Kenya: a case study of Murang'a town.</w:t>
      </w:r>
      <w:r w:rsidRPr="00124E14">
        <w:rPr>
          <w:rFonts w:cs="Times New Roman"/>
          <w:szCs w:val="24"/>
        </w:rPr>
        <w:t xml:space="preserve"> </w:t>
      </w:r>
    </w:p>
    <w:p w14:paraId="3A8072B3" w14:textId="77777777" w:rsidR="009A1D5D" w:rsidRDefault="009A1D5D" w:rsidP="009A1D5D">
      <w:pPr>
        <w:shd w:val="clear" w:color="auto" w:fill="FFFFFF"/>
        <w:spacing w:line="240" w:lineRule="auto"/>
        <w:ind w:left="720" w:hanging="720"/>
        <w:rPr>
          <w:rFonts w:cs="Times New Roman"/>
          <w:szCs w:val="24"/>
        </w:rPr>
      </w:pPr>
      <w:r w:rsidRPr="00F1021C">
        <w:rPr>
          <w:rFonts w:cs="Times New Roman"/>
          <w:szCs w:val="24"/>
        </w:rPr>
        <w:t>Walsh, K. (2012). Understanding taxpayer behaviour–new opportunities for tax administration. The Economic and Social Review, 43(3, Autumn), 451-475.</w:t>
      </w:r>
    </w:p>
    <w:p w14:paraId="6CBD1597" w14:textId="77777777" w:rsidR="009A1D5D" w:rsidRDefault="009A1D5D" w:rsidP="009A1D5D">
      <w:pPr>
        <w:spacing w:line="240" w:lineRule="auto"/>
        <w:ind w:left="1170" w:hanging="1170"/>
        <w:rPr>
          <w:rFonts w:cs="Times New Roman"/>
          <w:szCs w:val="24"/>
        </w:rPr>
      </w:pPr>
      <w:r w:rsidRPr="00124E14">
        <w:rPr>
          <w:rFonts w:cs="Times New Roman"/>
          <w:szCs w:val="24"/>
        </w:rPr>
        <w:t>Wanjiku, N. J. (2021). Factors Affecting Residential, Rental Income Tax Compliance among Landlords in Nyeri Municipality, Nyeri County, Kenya (Doctoral dissertation).</w:t>
      </w:r>
    </w:p>
    <w:p w14:paraId="0E8B27BA" w14:textId="77777777" w:rsidR="007E5A6C" w:rsidRPr="0092006B" w:rsidRDefault="007E5A6C" w:rsidP="00DA0813">
      <w:pPr>
        <w:shd w:val="clear" w:color="auto" w:fill="FFFFFF"/>
        <w:spacing w:line="240" w:lineRule="auto"/>
        <w:ind w:left="720" w:hanging="720"/>
        <w:rPr>
          <w:rFonts w:eastAsia="Times New Roman" w:cs="Times New Roman"/>
          <w:b/>
          <w:bCs/>
          <w:color w:val="000000" w:themeColor="text1"/>
          <w:sz w:val="28"/>
          <w:szCs w:val="28"/>
        </w:rPr>
      </w:pPr>
    </w:p>
    <w:sectPr w:rsidR="007E5A6C" w:rsidRPr="0092006B" w:rsidSect="00055D83">
      <w:headerReference w:type="even" r:id="rId7"/>
      <w:headerReference w:type="default" r:id="rId8"/>
      <w:footerReference w:type="even" r:id="rId9"/>
      <w:footerReference w:type="default" r:id="rId10"/>
      <w:headerReference w:type="first" r:id="rId11"/>
      <w:footerReference w:type="first" r:id="rId12"/>
      <w:pgSz w:w="12240" w:h="15840" w:code="1"/>
      <w:pgMar w:top="1094" w:right="605" w:bottom="605" w:left="605" w:header="34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D08A8" w14:textId="77777777" w:rsidR="002C349A" w:rsidRDefault="002C349A">
      <w:pPr>
        <w:spacing w:before="0" w:line="240" w:lineRule="auto"/>
      </w:pPr>
      <w:r>
        <w:separator/>
      </w:r>
    </w:p>
  </w:endnote>
  <w:endnote w:type="continuationSeparator" w:id="0">
    <w:p w14:paraId="6B432FFB" w14:textId="77777777" w:rsidR="002C349A" w:rsidRDefault="002C349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B7C3C" w14:textId="77777777" w:rsidR="00590F4F" w:rsidRDefault="00590F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236679"/>
      <w:docPartObj>
        <w:docPartGallery w:val="Page Numbers (Bottom of Page)"/>
        <w:docPartUnique/>
      </w:docPartObj>
    </w:sdtPr>
    <w:sdtEndPr>
      <w:rPr>
        <w:noProof/>
        <w:sz w:val="20"/>
        <w:szCs w:val="18"/>
      </w:rPr>
    </w:sdtEndPr>
    <w:sdtContent>
      <w:p w14:paraId="78E128D3" w14:textId="77777777" w:rsidR="004A12F4" w:rsidRPr="008A0558" w:rsidRDefault="00773B0F">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sidR="00226851">
          <w:rPr>
            <w:noProof/>
            <w:sz w:val="20"/>
            <w:szCs w:val="18"/>
          </w:rPr>
          <w:t>1</w:t>
        </w:r>
        <w:r w:rsidRPr="008A0558">
          <w:rPr>
            <w:noProof/>
            <w:sz w:val="20"/>
            <w:szCs w:val="18"/>
          </w:rPr>
          <w:fldChar w:fldCharType="end"/>
        </w:r>
      </w:p>
    </w:sdtContent>
  </w:sdt>
  <w:p w14:paraId="70E80D4D" w14:textId="77777777" w:rsidR="004A12F4" w:rsidRDefault="004A12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0AE6A" w14:textId="77777777" w:rsidR="00590F4F" w:rsidRDefault="00590F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EBD91" w14:textId="77777777" w:rsidR="002C349A" w:rsidRDefault="002C349A">
      <w:pPr>
        <w:spacing w:before="0" w:line="240" w:lineRule="auto"/>
      </w:pPr>
      <w:r>
        <w:separator/>
      </w:r>
    </w:p>
  </w:footnote>
  <w:footnote w:type="continuationSeparator" w:id="0">
    <w:p w14:paraId="6AA19B32" w14:textId="77777777" w:rsidR="002C349A" w:rsidRDefault="002C349A">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61AE2" w14:textId="7E05FE0D" w:rsidR="00590F4F" w:rsidRDefault="002C349A">
    <w:pPr>
      <w:pStyle w:val="Header"/>
    </w:pPr>
    <w:r>
      <w:rPr>
        <w:noProof/>
      </w:rPr>
      <w:pict w14:anchorId="122705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7BB65" w14:textId="5047F0EC" w:rsidR="00590F4F" w:rsidRDefault="002C349A">
    <w:pPr>
      <w:pStyle w:val="Header"/>
    </w:pPr>
    <w:r>
      <w:rPr>
        <w:noProof/>
      </w:rPr>
      <w:pict w14:anchorId="39C4DC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9F327" w14:textId="417BD462" w:rsidR="00590F4F" w:rsidRDefault="002C349A">
    <w:pPr>
      <w:pStyle w:val="Header"/>
    </w:pPr>
    <w:r>
      <w:rPr>
        <w:noProof/>
      </w:rPr>
      <w:pict w14:anchorId="497FA8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D83"/>
    <w:rsid w:val="00014726"/>
    <w:rsid w:val="000443AB"/>
    <w:rsid w:val="000446E8"/>
    <w:rsid w:val="00047D61"/>
    <w:rsid w:val="00055D83"/>
    <w:rsid w:val="000577EB"/>
    <w:rsid w:val="00064933"/>
    <w:rsid w:val="0007061D"/>
    <w:rsid w:val="00073097"/>
    <w:rsid w:val="000747C2"/>
    <w:rsid w:val="000750F8"/>
    <w:rsid w:val="0009733F"/>
    <w:rsid w:val="000A3BD7"/>
    <w:rsid w:val="000A57EC"/>
    <w:rsid w:val="000B7B4F"/>
    <w:rsid w:val="000C037E"/>
    <w:rsid w:val="000D075E"/>
    <w:rsid w:val="000D0F56"/>
    <w:rsid w:val="000D7152"/>
    <w:rsid w:val="000E2349"/>
    <w:rsid w:val="00111B62"/>
    <w:rsid w:val="001163C7"/>
    <w:rsid w:val="00130874"/>
    <w:rsid w:val="001403AD"/>
    <w:rsid w:val="001452A3"/>
    <w:rsid w:val="001457C8"/>
    <w:rsid w:val="00162029"/>
    <w:rsid w:val="00167C75"/>
    <w:rsid w:val="001A5880"/>
    <w:rsid w:val="001C0412"/>
    <w:rsid w:val="001C4B7D"/>
    <w:rsid w:val="001D4A55"/>
    <w:rsid w:val="001E21F0"/>
    <w:rsid w:val="001E5289"/>
    <w:rsid w:val="001F024F"/>
    <w:rsid w:val="001F7468"/>
    <w:rsid w:val="00204AAD"/>
    <w:rsid w:val="00207DD8"/>
    <w:rsid w:val="00223099"/>
    <w:rsid w:val="00223A1A"/>
    <w:rsid w:val="0022500A"/>
    <w:rsid w:val="00226851"/>
    <w:rsid w:val="00231147"/>
    <w:rsid w:val="00260B2D"/>
    <w:rsid w:val="00270AED"/>
    <w:rsid w:val="00271CF6"/>
    <w:rsid w:val="00276CE5"/>
    <w:rsid w:val="002779A5"/>
    <w:rsid w:val="002856C7"/>
    <w:rsid w:val="002859D4"/>
    <w:rsid w:val="002B5578"/>
    <w:rsid w:val="002C349A"/>
    <w:rsid w:val="002C5E15"/>
    <w:rsid w:val="002C6F25"/>
    <w:rsid w:val="002C72A3"/>
    <w:rsid w:val="002D4259"/>
    <w:rsid w:val="00300BE0"/>
    <w:rsid w:val="00301FD6"/>
    <w:rsid w:val="003029F0"/>
    <w:rsid w:val="003140FD"/>
    <w:rsid w:val="00323D68"/>
    <w:rsid w:val="0033028F"/>
    <w:rsid w:val="00336C6D"/>
    <w:rsid w:val="00343363"/>
    <w:rsid w:val="0036344E"/>
    <w:rsid w:val="00370F8B"/>
    <w:rsid w:val="00376BF4"/>
    <w:rsid w:val="0038072B"/>
    <w:rsid w:val="003C4227"/>
    <w:rsid w:val="003C581F"/>
    <w:rsid w:val="003D2541"/>
    <w:rsid w:val="003D39AB"/>
    <w:rsid w:val="003D7198"/>
    <w:rsid w:val="003F72A0"/>
    <w:rsid w:val="00406845"/>
    <w:rsid w:val="004071F4"/>
    <w:rsid w:val="00407977"/>
    <w:rsid w:val="0041566F"/>
    <w:rsid w:val="00415ABE"/>
    <w:rsid w:val="00426CDB"/>
    <w:rsid w:val="00440EF7"/>
    <w:rsid w:val="00496991"/>
    <w:rsid w:val="004A12F4"/>
    <w:rsid w:val="004A3F7C"/>
    <w:rsid w:val="004C24FC"/>
    <w:rsid w:val="004C3121"/>
    <w:rsid w:val="004C41F7"/>
    <w:rsid w:val="004D081D"/>
    <w:rsid w:val="004D5CCD"/>
    <w:rsid w:val="004E3D2D"/>
    <w:rsid w:val="004E4A2C"/>
    <w:rsid w:val="00505972"/>
    <w:rsid w:val="00526412"/>
    <w:rsid w:val="0054398C"/>
    <w:rsid w:val="00546369"/>
    <w:rsid w:val="00561737"/>
    <w:rsid w:val="00563CE7"/>
    <w:rsid w:val="00571F99"/>
    <w:rsid w:val="00575F00"/>
    <w:rsid w:val="00590F4F"/>
    <w:rsid w:val="005926C9"/>
    <w:rsid w:val="00594F68"/>
    <w:rsid w:val="005B04D7"/>
    <w:rsid w:val="005B0558"/>
    <w:rsid w:val="005D3FE1"/>
    <w:rsid w:val="005D72F4"/>
    <w:rsid w:val="005E3D2C"/>
    <w:rsid w:val="005F1DA5"/>
    <w:rsid w:val="005F2F50"/>
    <w:rsid w:val="0060683F"/>
    <w:rsid w:val="00610BEF"/>
    <w:rsid w:val="00616E93"/>
    <w:rsid w:val="00622E5D"/>
    <w:rsid w:val="00623C02"/>
    <w:rsid w:val="00661AAF"/>
    <w:rsid w:val="00675C16"/>
    <w:rsid w:val="00683F32"/>
    <w:rsid w:val="0068692A"/>
    <w:rsid w:val="006A0520"/>
    <w:rsid w:val="006B1220"/>
    <w:rsid w:val="006B3C88"/>
    <w:rsid w:val="006B5A8E"/>
    <w:rsid w:val="006B5CA2"/>
    <w:rsid w:val="006C41A9"/>
    <w:rsid w:val="006C4D79"/>
    <w:rsid w:val="006D16E8"/>
    <w:rsid w:val="006E1D74"/>
    <w:rsid w:val="00714562"/>
    <w:rsid w:val="0071731F"/>
    <w:rsid w:val="007205CE"/>
    <w:rsid w:val="00722A32"/>
    <w:rsid w:val="007313ED"/>
    <w:rsid w:val="0077042C"/>
    <w:rsid w:val="00773B0F"/>
    <w:rsid w:val="00774F84"/>
    <w:rsid w:val="007769D0"/>
    <w:rsid w:val="00777615"/>
    <w:rsid w:val="00785F6F"/>
    <w:rsid w:val="00797B58"/>
    <w:rsid w:val="007A0442"/>
    <w:rsid w:val="007A6B64"/>
    <w:rsid w:val="007A7328"/>
    <w:rsid w:val="007A784F"/>
    <w:rsid w:val="007B75C6"/>
    <w:rsid w:val="007C3182"/>
    <w:rsid w:val="007D4F35"/>
    <w:rsid w:val="007D6CA1"/>
    <w:rsid w:val="007E5A6C"/>
    <w:rsid w:val="007F1318"/>
    <w:rsid w:val="007F4F3C"/>
    <w:rsid w:val="0081762C"/>
    <w:rsid w:val="008263C5"/>
    <w:rsid w:val="008456FF"/>
    <w:rsid w:val="00854FF7"/>
    <w:rsid w:val="00870B4E"/>
    <w:rsid w:val="00880213"/>
    <w:rsid w:val="008A5E87"/>
    <w:rsid w:val="008B511B"/>
    <w:rsid w:val="008B7D65"/>
    <w:rsid w:val="008C2098"/>
    <w:rsid w:val="008D43EA"/>
    <w:rsid w:val="008E2312"/>
    <w:rsid w:val="0092006B"/>
    <w:rsid w:val="00925466"/>
    <w:rsid w:val="00935ABF"/>
    <w:rsid w:val="00961903"/>
    <w:rsid w:val="00963A57"/>
    <w:rsid w:val="009651D0"/>
    <w:rsid w:val="00993BED"/>
    <w:rsid w:val="009A067C"/>
    <w:rsid w:val="009A1D5D"/>
    <w:rsid w:val="009B17C5"/>
    <w:rsid w:val="009B38E7"/>
    <w:rsid w:val="009C11BB"/>
    <w:rsid w:val="009E0CF9"/>
    <w:rsid w:val="009F3871"/>
    <w:rsid w:val="009F5632"/>
    <w:rsid w:val="009F6D2D"/>
    <w:rsid w:val="00A00A05"/>
    <w:rsid w:val="00A27439"/>
    <w:rsid w:val="00A40F08"/>
    <w:rsid w:val="00A57832"/>
    <w:rsid w:val="00A6679B"/>
    <w:rsid w:val="00A67F40"/>
    <w:rsid w:val="00A75341"/>
    <w:rsid w:val="00A808A7"/>
    <w:rsid w:val="00A85593"/>
    <w:rsid w:val="00A91C98"/>
    <w:rsid w:val="00A96A1E"/>
    <w:rsid w:val="00AC0D69"/>
    <w:rsid w:val="00AD6429"/>
    <w:rsid w:val="00AF253B"/>
    <w:rsid w:val="00B00FCB"/>
    <w:rsid w:val="00B04E6C"/>
    <w:rsid w:val="00B108BB"/>
    <w:rsid w:val="00B22173"/>
    <w:rsid w:val="00B43A57"/>
    <w:rsid w:val="00B47CC7"/>
    <w:rsid w:val="00B55DC9"/>
    <w:rsid w:val="00B836B4"/>
    <w:rsid w:val="00B85E42"/>
    <w:rsid w:val="00B93488"/>
    <w:rsid w:val="00BA790C"/>
    <w:rsid w:val="00BC6A0A"/>
    <w:rsid w:val="00BC7830"/>
    <w:rsid w:val="00BD7BE1"/>
    <w:rsid w:val="00BF6F97"/>
    <w:rsid w:val="00C01423"/>
    <w:rsid w:val="00C03297"/>
    <w:rsid w:val="00C25488"/>
    <w:rsid w:val="00C54577"/>
    <w:rsid w:val="00C67694"/>
    <w:rsid w:val="00C864EE"/>
    <w:rsid w:val="00C95979"/>
    <w:rsid w:val="00CA6BD4"/>
    <w:rsid w:val="00CB6E82"/>
    <w:rsid w:val="00CD18D9"/>
    <w:rsid w:val="00D15E77"/>
    <w:rsid w:val="00D21679"/>
    <w:rsid w:val="00D242AA"/>
    <w:rsid w:val="00D26C8B"/>
    <w:rsid w:val="00D309F6"/>
    <w:rsid w:val="00D656A4"/>
    <w:rsid w:val="00D665A0"/>
    <w:rsid w:val="00D94638"/>
    <w:rsid w:val="00DA0813"/>
    <w:rsid w:val="00DB266B"/>
    <w:rsid w:val="00DB408B"/>
    <w:rsid w:val="00DC406B"/>
    <w:rsid w:val="00DE2430"/>
    <w:rsid w:val="00DE5974"/>
    <w:rsid w:val="00DF126E"/>
    <w:rsid w:val="00E1453F"/>
    <w:rsid w:val="00E160F3"/>
    <w:rsid w:val="00E17890"/>
    <w:rsid w:val="00E22B03"/>
    <w:rsid w:val="00E22FC8"/>
    <w:rsid w:val="00E3709F"/>
    <w:rsid w:val="00E41E2F"/>
    <w:rsid w:val="00E5141C"/>
    <w:rsid w:val="00E60AE6"/>
    <w:rsid w:val="00E70601"/>
    <w:rsid w:val="00E728DB"/>
    <w:rsid w:val="00E737F5"/>
    <w:rsid w:val="00E7631D"/>
    <w:rsid w:val="00E77E87"/>
    <w:rsid w:val="00E85394"/>
    <w:rsid w:val="00EA7AE3"/>
    <w:rsid w:val="00EC58C5"/>
    <w:rsid w:val="00ED008A"/>
    <w:rsid w:val="00F01BA4"/>
    <w:rsid w:val="00F05D67"/>
    <w:rsid w:val="00F111A2"/>
    <w:rsid w:val="00F14915"/>
    <w:rsid w:val="00F16858"/>
    <w:rsid w:val="00F23691"/>
    <w:rsid w:val="00F42B0A"/>
    <w:rsid w:val="00F46BA3"/>
    <w:rsid w:val="00F6655B"/>
    <w:rsid w:val="00F74A68"/>
    <w:rsid w:val="00F857CA"/>
    <w:rsid w:val="00F926C6"/>
    <w:rsid w:val="00F93EB9"/>
    <w:rsid w:val="00FA74EF"/>
    <w:rsid w:val="00FB3030"/>
    <w:rsid w:val="00FB4E25"/>
    <w:rsid w:val="00FC34D0"/>
    <w:rsid w:val="00FD3DAC"/>
    <w:rsid w:val="00FD4A02"/>
    <w:rsid w:val="00FE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660C7A"/>
  <w15:chartTrackingRefBased/>
  <w15:docId w15:val="{F58B4E4C-2E9A-4CEF-A397-9B648E9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11A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D71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semiHidden/>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semiHidden/>
    <w:rsid w:val="003D7198"/>
    <w:rPr>
      <w:rFonts w:asciiTheme="majorHAnsi" w:eastAsiaTheme="majorEastAsia" w:hAnsiTheme="majorHAnsi" w:cstheme="majorBidi"/>
      <w:i/>
      <w:iCs/>
      <w:color w:val="2F5496" w:themeColor="accent1" w:themeShade="BF"/>
      <w:kern w:val="0"/>
      <w:sz w:val="24"/>
    </w:rPr>
  </w:style>
  <w:style w:type="character" w:styleId="Emphasis">
    <w:name w:val="Emphasis"/>
    <w:uiPriority w:val="20"/>
    <w:qFormat/>
    <w:rsid w:val="00E1453F"/>
    <w:rPr>
      <w:i/>
      <w:iCs/>
    </w:rPr>
  </w:style>
  <w:style w:type="character" w:customStyle="1" w:styleId="Heading3Char">
    <w:name w:val="Heading 3 Char"/>
    <w:basedOn w:val="DefaultParagraphFont"/>
    <w:link w:val="Heading3"/>
    <w:uiPriority w:val="9"/>
    <w:semiHidden/>
    <w:rsid w:val="00F111A2"/>
    <w:rPr>
      <w:rFonts w:asciiTheme="majorHAnsi" w:eastAsiaTheme="majorEastAsia" w:hAnsiTheme="majorHAnsi" w:cstheme="majorBidi"/>
      <w:color w:val="1F3763" w:themeColor="accent1" w:themeShade="7F"/>
      <w:kern w:val="0"/>
      <w:sz w:val="24"/>
      <w:szCs w:val="24"/>
    </w:rPr>
  </w:style>
  <w:style w:type="character" w:styleId="Hyperlink">
    <w:name w:val="Hyperlink"/>
    <w:basedOn w:val="DefaultParagraphFont"/>
    <w:uiPriority w:val="99"/>
    <w:unhideWhenUsed/>
    <w:rsid w:val="0038072B"/>
    <w:rPr>
      <w:color w:val="0563C1" w:themeColor="hyperlink"/>
      <w:u w:val="single"/>
    </w:rPr>
  </w:style>
  <w:style w:type="character" w:customStyle="1" w:styleId="UnresolvedMention">
    <w:name w:val="Unresolved Mention"/>
    <w:basedOn w:val="DefaultParagraphFont"/>
    <w:uiPriority w:val="99"/>
    <w:semiHidden/>
    <w:unhideWhenUsed/>
    <w:rsid w:val="0038072B"/>
    <w:rPr>
      <w:color w:val="605E5C"/>
      <w:shd w:val="clear" w:color="auto" w:fill="E1DFDD"/>
    </w:rPr>
  </w:style>
  <w:style w:type="paragraph" w:styleId="Header">
    <w:name w:val="header"/>
    <w:basedOn w:val="Normal"/>
    <w:link w:val="HeaderChar"/>
    <w:uiPriority w:val="99"/>
    <w:unhideWhenUsed/>
    <w:rsid w:val="00590F4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90F4F"/>
    <w:rPr>
      <w:rFonts w:ascii="Times New Roman" w:eastAsia="Calibri" w:hAnsi="Times New Roman" w:cs="SimSu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340470004">
      <w:bodyDiv w:val="1"/>
      <w:marLeft w:val="0"/>
      <w:marRight w:val="0"/>
      <w:marTop w:val="0"/>
      <w:marBottom w:val="0"/>
      <w:divBdr>
        <w:top w:val="none" w:sz="0" w:space="0" w:color="auto"/>
        <w:left w:val="none" w:sz="0" w:space="0" w:color="auto"/>
        <w:bottom w:val="none" w:sz="0" w:space="0" w:color="auto"/>
        <w:right w:val="none" w:sz="0" w:space="0" w:color="auto"/>
      </w:divBdr>
    </w:div>
    <w:div w:id="566765604">
      <w:bodyDiv w:val="1"/>
      <w:marLeft w:val="0"/>
      <w:marRight w:val="0"/>
      <w:marTop w:val="0"/>
      <w:marBottom w:val="0"/>
      <w:divBdr>
        <w:top w:val="none" w:sz="0" w:space="0" w:color="auto"/>
        <w:left w:val="none" w:sz="0" w:space="0" w:color="auto"/>
        <w:bottom w:val="none" w:sz="0" w:space="0" w:color="auto"/>
        <w:right w:val="none" w:sz="0" w:space="0" w:color="auto"/>
      </w:divBdr>
    </w:div>
    <w:div w:id="618725703">
      <w:bodyDiv w:val="1"/>
      <w:marLeft w:val="0"/>
      <w:marRight w:val="0"/>
      <w:marTop w:val="0"/>
      <w:marBottom w:val="0"/>
      <w:divBdr>
        <w:top w:val="none" w:sz="0" w:space="0" w:color="auto"/>
        <w:left w:val="none" w:sz="0" w:space="0" w:color="auto"/>
        <w:bottom w:val="none" w:sz="0" w:space="0" w:color="auto"/>
        <w:right w:val="none" w:sz="0" w:space="0" w:color="auto"/>
      </w:divBdr>
    </w:div>
    <w:div w:id="1041175574">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9670</Words>
  <Characters>55121</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Owner</cp:lastModifiedBy>
  <cp:revision>2</cp:revision>
  <dcterms:created xsi:type="dcterms:W3CDTF">2025-03-21T02:24:00Z</dcterms:created>
  <dcterms:modified xsi:type="dcterms:W3CDTF">2025-03-21T02:24:00Z</dcterms:modified>
</cp:coreProperties>
</file>