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F3C0" w14:textId="15203973" w:rsidR="00895879" w:rsidRDefault="00A603D6" w:rsidP="00184AD5">
      <w:pPr>
        <w:spacing w:after="0" w:line="360" w:lineRule="auto"/>
        <w:ind w:left="720" w:hanging="720"/>
        <w:jc w:val="center"/>
        <w:rPr>
          <w:rStyle w:val="Hyperlink"/>
          <w:rFonts w:ascii="Times New Roman" w:hAnsi="Times New Roman" w:cs="Times New Roman"/>
          <w:b/>
          <w:bCs/>
          <w:color w:val="auto"/>
          <w:sz w:val="24"/>
          <w:szCs w:val="24"/>
          <w:u w:val="none"/>
        </w:rPr>
      </w:pPr>
      <w:r w:rsidRPr="00A603D6">
        <w:rPr>
          <w:rStyle w:val="Hyperlink"/>
          <w:rFonts w:ascii="Times New Roman" w:hAnsi="Times New Roman" w:cs="Times New Roman"/>
          <w:b/>
          <w:bCs/>
          <w:color w:val="FF0000"/>
          <w:sz w:val="24"/>
          <w:szCs w:val="24"/>
          <w:u w:val="none"/>
        </w:rPr>
        <w:t>ASSESSMENT</w:t>
      </w:r>
      <w:r w:rsidR="00184AD5" w:rsidRPr="00184AD5">
        <w:rPr>
          <w:rStyle w:val="Hyperlink"/>
          <w:rFonts w:ascii="Times New Roman" w:hAnsi="Times New Roman" w:cs="Times New Roman"/>
          <w:b/>
          <w:bCs/>
          <w:color w:val="auto"/>
          <w:sz w:val="24"/>
          <w:szCs w:val="24"/>
          <w:u w:val="none"/>
        </w:rPr>
        <w:t xml:space="preserve"> OF WEATHER PARAMETERS AND POPULATION TRENDS IN NNEWI AND ONITSHA </w:t>
      </w:r>
      <w:r w:rsidR="00574FB3" w:rsidRPr="00574FB3">
        <w:rPr>
          <w:rStyle w:val="Hyperlink"/>
          <w:rFonts w:ascii="Times New Roman" w:hAnsi="Times New Roman" w:cs="Times New Roman"/>
          <w:b/>
          <w:bCs/>
          <w:color w:val="FF0000"/>
          <w:sz w:val="24"/>
          <w:szCs w:val="24"/>
          <w:u w:val="none"/>
        </w:rPr>
        <w:t>NIGERIA</w:t>
      </w:r>
      <w:r w:rsidR="007C4E65">
        <w:rPr>
          <w:rStyle w:val="Hyperlink"/>
          <w:rFonts w:ascii="Times New Roman" w:hAnsi="Times New Roman" w:cs="Times New Roman"/>
          <w:b/>
          <w:bCs/>
          <w:color w:val="auto"/>
          <w:sz w:val="24"/>
          <w:szCs w:val="24"/>
          <w:u w:val="none"/>
        </w:rPr>
        <w:t>.</w:t>
      </w:r>
    </w:p>
    <w:p w14:paraId="258935F8" w14:textId="77777777" w:rsidR="007C4E65" w:rsidRDefault="007C4E65" w:rsidP="00184AD5">
      <w:pPr>
        <w:spacing w:after="0" w:line="360" w:lineRule="auto"/>
        <w:ind w:left="720" w:hanging="720"/>
        <w:jc w:val="center"/>
        <w:rPr>
          <w:rStyle w:val="Hyperlink"/>
          <w:rFonts w:ascii="Times New Roman" w:hAnsi="Times New Roman" w:cs="Times New Roman"/>
          <w:b/>
          <w:bCs/>
          <w:color w:val="auto"/>
          <w:sz w:val="24"/>
          <w:szCs w:val="24"/>
          <w:u w:val="none"/>
        </w:rPr>
      </w:pPr>
    </w:p>
    <w:p w14:paraId="1C3FA02F" w14:textId="77777777" w:rsidR="00DD0441" w:rsidRDefault="00DD0441" w:rsidP="00184AD5">
      <w:pPr>
        <w:spacing w:after="0" w:line="360" w:lineRule="auto"/>
        <w:ind w:left="720" w:hanging="720"/>
        <w:jc w:val="center"/>
        <w:rPr>
          <w:rStyle w:val="Hyperlink"/>
          <w:rFonts w:ascii="Times New Roman" w:hAnsi="Times New Roman" w:cs="Times New Roman"/>
          <w:b/>
          <w:bCs/>
          <w:color w:val="auto"/>
          <w:sz w:val="24"/>
          <w:szCs w:val="24"/>
          <w:u w:val="none"/>
        </w:rPr>
      </w:pPr>
    </w:p>
    <w:p w14:paraId="0B07EFA7" w14:textId="486D1807" w:rsidR="007F3FEF" w:rsidRDefault="007F3FEF" w:rsidP="00184AD5">
      <w:pPr>
        <w:spacing w:after="0" w:line="360" w:lineRule="auto"/>
        <w:ind w:left="720" w:hanging="720"/>
        <w:jc w:val="center"/>
        <w:rPr>
          <w:rStyle w:val="Hyperlink"/>
          <w:rFonts w:ascii="Times New Roman" w:hAnsi="Times New Roman" w:cs="Times New Roman"/>
          <w:b/>
          <w:bCs/>
          <w:color w:val="auto"/>
          <w:sz w:val="24"/>
          <w:szCs w:val="24"/>
          <w:u w:val="none"/>
        </w:rPr>
      </w:pPr>
      <w:r>
        <w:rPr>
          <w:rStyle w:val="Hyperlink"/>
          <w:rFonts w:ascii="Times New Roman" w:hAnsi="Times New Roman" w:cs="Times New Roman"/>
          <w:b/>
          <w:bCs/>
          <w:color w:val="auto"/>
          <w:sz w:val="24"/>
          <w:szCs w:val="24"/>
          <w:u w:val="none"/>
        </w:rPr>
        <w:t xml:space="preserve"> </w:t>
      </w:r>
    </w:p>
    <w:p w14:paraId="6C4C85FE" w14:textId="5FDEF4E6" w:rsidR="00184AD5" w:rsidRPr="00184AD5" w:rsidRDefault="00184AD5" w:rsidP="00184AD5">
      <w:pPr>
        <w:spacing w:after="0" w:line="360" w:lineRule="auto"/>
        <w:ind w:left="720" w:hanging="720"/>
        <w:jc w:val="center"/>
        <w:rPr>
          <w:rStyle w:val="Hyperlink"/>
          <w:rFonts w:ascii="Times New Roman" w:hAnsi="Times New Roman" w:cs="Times New Roman"/>
          <w:b/>
          <w:bCs/>
          <w:color w:val="auto"/>
          <w:sz w:val="24"/>
          <w:szCs w:val="24"/>
          <w:u w:val="none"/>
        </w:rPr>
      </w:pPr>
      <w:r>
        <w:rPr>
          <w:rStyle w:val="Hyperlink"/>
          <w:rFonts w:ascii="Times New Roman" w:hAnsi="Times New Roman" w:cs="Times New Roman"/>
          <w:b/>
          <w:bCs/>
          <w:color w:val="auto"/>
          <w:sz w:val="24"/>
          <w:szCs w:val="24"/>
          <w:u w:val="none"/>
        </w:rPr>
        <w:t>Abstract</w:t>
      </w:r>
    </w:p>
    <w:p w14:paraId="00CF4652" w14:textId="21A282D9" w:rsidR="00EF2A32" w:rsidRDefault="00162640" w:rsidP="00EF2A32">
      <w:pPr>
        <w:spacing w:after="0" w:line="240" w:lineRule="auto"/>
        <w:jc w:val="both"/>
        <w:rPr>
          <w:rFonts w:ascii="Times New Roman" w:hAnsi="Times New Roman" w:cs="Times New Roman"/>
          <w:sz w:val="24"/>
          <w:szCs w:val="24"/>
        </w:rPr>
      </w:pPr>
      <w:bookmarkStart w:id="0" w:name="_Hlk185699931"/>
      <w:r w:rsidRPr="00CB5D2D">
        <w:rPr>
          <w:rFonts w:ascii="Times New Roman" w:hAnsi="Times New Roman" w:cs="Times New Roman"/>
          <w:sz w:val="24"/>
          <w:szCs w:val="24"/>
        </w:rPr>
        <w:t>The increasing population affects weather and meteorological parameters through various mechanisms</w:t>
      </w:r>
      <w:r>
        <w:rPr>
          <w:rFonts w:ascii="Times New Roman" w:hAnsi="Times New Roman" w:cs="Times New Roman"/>
          <w:sz w:val="24"/>
          <w:szCs w:val="24"/>
        </w:rPr>
        <w:t xml:space="preserve"> </w:t>
      </w:r>
      <w:r w:rsidR="00574FB3">
        <w:rPr>
          <w:rFonts w:ascii="Times New Roman" w:hAnsi="Times New Roman" w:cs="Times New Roman"/>
          <w:sz w:val="24"/>
          <w:szCs w:val="24"/>
        </w:rPr>
        <w:t xml:space="preserve">such as </w:t>
      </w:r>
      <w:r w:rsidR="00574FB3" w:rsidRPr="00574FB3">
        <w:rPr>
          <w:rFonts w:ascii="Times New Roman" w:hAnsi="Times New Roman" w:cs="Times New Roman"/>
          <w:color w:val="FF0000"/>
          <w:sz w:val="24"/>
          <w:szCs w:val="24"/>
        </w:rPr>
        <w:t>human activities</w:t>
      </w:r>
      <w:r w:rsidR="00574FB3">
        <w:rPr>
          <w:rFonts w:ascii="Times New Roman" w:hAnsi="Times New Roman" w:cs="Times New Roman"/>
          <w:sz w:val="24"/>
          <w:szCs w:val="24"/>
        </w:rPr>
        <w:t xml:space="preserve">, </w:t>
      </w:r>
      <w:r w:rsidRPr="00CB5D2D">
        <w:rPr>
          <w:rFonts w:ascii="Times New Roman" w:hAnsi="Times New Roman" w:cs="Times New Roman"/>
          <w:sz w:val="24"/>
          <w:szCs w:val="24"/>
        </w:rPr>
        <w:t>urbanization</w:t>
      </w:r>
      <w:r w:rsidR="00574FB3">
        <w:rPr>
          <w:rFonts w:ascii="Times New Roman" w:hAnsi="Times New Roman" w:cs="Times New Roman"/>
          <w:sz w:val="24"/>
          <w:szCs w:val="24"/>
        </w:rPr>
        <w:t xml:space="preserve">, </w:t>
      </w:r>
      <w:r w:rsidR="00574FB3" w:rsidRPr="00574FB3">
        <w:rPr>
          <w:rFonts w:ascii="Times New Roman" w:hAnsi="Times New Roman" w:cs="Times New Roman"/>
          <w:color w:val="FF0000"/>
          <w:sz w:val="24"/>
          <w:szCs w:val="24"/>
        </w:rPr>
        <w:t>and</w:t>
      </w:r>
      <w:r w:rsidRPr="00574FB3">
        <w:rPr>
          <w:rFonts w:ascii="Times New Roman" w:hAnsi="Times New Roman" w:cs="Times New Roman"/>
          <w:color w:val="FF0000"/>
          <w:sz w:val="24"/>
          <w:szCs w:val="24"/>
        </w:rPr>
        <w:t xml:space="preserve"> </w:t>
      </w:r>
      <w:r w:rsidR="00574FB3" w:rsidRPr="00574FB3">
        <w:rPr>
          <w:rFonts w:ascii="Times New Roman" w:hAnsi="Times New Roman" w:cs="Times New Roman"/>
          <w:color w:val="FF0000"/>
          <w:sz w:val="24"/>
          <w:szCs w:val="24"/>
        </w:rPr>
        <w:t>the production of excessive greenhouse gases (GHGs) through commercial products and industrialization</w:t>
      </w:r>
      <w:r w:rsidRPr="00CB5D2D">
        <w:rPr>
          <w:rFonts w:ascii="Times New Roman" w:hAnsi="Times New Roman" w:cs="Times New Roman"/>
          <w:sz w:val="24"/>
          <w:szCs w:val="24"/>
        </w:rPr>
        <w:t>. These changes have far-reaching effects on local and global climates, impacting ecosystems and human health.</w:t>
      </w:r>
      <w:r w:rsidR="00184AD5">
        <w:rPr>
          <w:rFonts w:ascii="Times New Roman" w:hAnsi="Times New Roman" w:cs="Times New Roman"/>
          <w:sz w:val="24"/>
          <w:szCs w:val="24"/>
        </w:rPr>
        <w:t xml:space="preserve"> We studied </w:t>
      </w:r>
      <w:r w:rsidR="00184AD5" w:rsidRPr="00AC7FD1">
        <w:rPr>
          <w:rFonts w:ascii="Times New Roman" w:hAnsi="Times New Roman" w:cs="Times New Roman"/>
          <w:sz w:val="24"/>
          <w:szCs w:val="24"/>
        </w:rPr>
        <w:t xml:space="preserve">the relationship between weather parameters and </w:t>
      </w:r>
      <w:r w:rsidR="00184AD5">
        <w:rPr>
          <w:rFonts w:ascii="Times New Roman" w:hAnsi="Times New Roman" w:cs="Times New Roman"/>
          <w:sz w:val="24"/>
          <w:szCs w:val="24"/>
        </w:rPr>
        <w:t xml:space="preserve">human </w:t>
      </w:r>
      <w:r w:rsidR="00184AD5" w:rsidRPr="00AC7FD1">
        <w:rPr>
          <w:rFonts w:ascii="Times New Roman" w:hAnsi="Times New Roman" w:cs="Times New Roman"/>
          <w:sz w:val="24"/>
          <w:szCs w:val="24"/>
        </w:rPr>
        <w:t>population trends in Nnewi and Onitsha</w:t>
      </w:r>
      <w:r w:rsidR="00184AD5">
        <w:rPr>
          <w:rFonts w:ascii="Times New Roman" w:hAnsi="Times New Roman" w:cs="Times New Roman"/>
          <w:sz w:val="24"/>
          <w:szCs w:val="24"/>
        </w:rPr>
        <w:t xml:space="preserve"> from 2010</w:t>
      </w:r>
      <w:r w:rsidR="00CD61BC">
        <w:rPr>
          <w:rFonts w:ascii="Times New Roman" w:hAnsi="Times New Roman" w:cs="Times New Roman"/>
          <w:sz w:val="24"/>
          <w:szCs w:val="24"/>
        </w:rPr>
        <w:t xml:space="preserve"> to </w:t>
      </w:r>
      <w:r w:rsidR="00184AD5">
        <w:rPr>
          <w:rFonts w:ascii="Times New Roman" w:hAnsi="Times New Roman" w:cs="Times New Roman"/>
          <w:sz w:val="24"/>
          <w:szCs w:val="24"/>
        </w:rPr>
        <w:t>2024</w:t>
      </w:r>
      <w:r w:rsidR="00574FB3">
        <w:rPr>
          <w:rFonts w:ascii="Times New Roman" w:hAnsi="Times New Roman" w:cs="Times New Roman"/>
          <w:sz w:val="24"/>
          <w:szCs w:val="24"/>
        </w:rPr>
        <w:t>.</w:t>
      </w:r>
      <w:r w:rsidR="00184AD5">
        <w:rPr>
          <w:rFonts w:ascii="Times New Roman" w:hAnsi="Times New Roman" w:cs="Times New Roman"/>
          <w:sz w:val="24"/>
          <w:szCs w:val="24"/>
        </w:rPr>
        <w:t xml:space="preserve"> </w:t>
      </w:r>
      <w:r w:rsidR="00574FB3">
        <w:rPr>
          <w:rFonts w:ascii="Times New Roman" w:hAnsi="Times New Roman" w:cs="Times New Roman"/>
          <w:sz w:val="24"/>
          <w:szCs w:val="24"/>
        </w:rPr>
        <w:t>We</w:t>
      </w:r>
      <w:r w:rsidR="00184AD5">
        <w:rPr>
          <w:rFonts w:ascii="Times New Roman" w:hAnsi="Times New Roman" w:cs="Times New Roman"/>
          <w:sz w:val="24"/>
          <w:szCs w:val="24"/>
        </w:rPr>
        <w:t xml:space="preserve"> </w:t>
      </w:r>
      <w:r w:rsidR="00574FB3">
        <w:rPr>
          <w:rFonts w:ascii="Times New Roman" w:hAnsi="Times New Roman" w:cs="Times New Roman"/>
          <w:sz w:val="24"/>
          <w:szCs w:val="24"/>
        </w:rPr>
        <w:t xml:space="preserve">carried out </w:t>
      </w:r>
      <w:r w:rsidR="00184AD5">
        <w:rPr>
          <w:rFonts w:ascii="Times New Roman" w:hAnsi="Times New Roman" w:cs="Times New Roman"/>
          <w:sz w:val="24"/>
          <w:szCs w:val="24"/>
        </w:rPr>
        <w:t xml:space="preserve">statistical analyses on the weather parameters and human population representing GHGs. </w:t>
      </w:r>
      <w:r>
        <w:rPr>
          <w:rFonts w:ascii="Times New Roman" w:hAnsi="Times New Roman" w:cs="Times New Roman"/>
          <w:sz w:val="24"/>
          <w:szCs w:val="24"/>
        </w:rPr>
        <w:t xml:space="preserve">In our study, we obtained results that show that increasing </w:t>
      </w:r>
      <w:r>
        <w:rPr>
          <w:rFonts w:ascii="Times New Roman" w:eastAsia="Times New Roman" w:hAnsi="Times New Roman" w:cs="Times New Roman"/>
          <w:kern w:val="0"/>
          <w:sz w:val="24"/>
          <w:szCs w:val="24"/>
          <w14:ligatures w14:val="none"/>
        </w:rPr>
        <w:t>GHG</w:t>
      </w:r>
      <w:r>
        <w:rPr>
          <w:rFonts w:ascii="Times New Roman" w:hAnsi="Times New Roman" w:cs="Times New Roman"/>
          <w:sz w:val="24"/>
          <w:szCs w:val="24"/>
        </w:rPr>
        <w:t xml:space="preserve">s as </w:t>
      </w:r>
      <w:r w:rsidR="00BC44B5">
        <w:rPr>
          <w:rFonts w:ascii="Times New Roman" w:hAnsi="Times New Roman" w:cs="Times New Roman"/>
          <w:sz w:val="24"/>
          <w:szCs w:val="24"/>
        </w:rPr>
        <w:t>defined</w:t>
      </w:r>
      <w:r>
        <w:rPr>
          <w:rFonts w:ascii="Times New Roman" w:hAnsi="Times New Roman" w:cs="Times New Roman"/>
          <w:sz w:val="24"/>
          <w:szCs w:val="24"/>
        </w:rPr>
        <w:t xml:space="preserve"> by the increase in population adversely affects weather/metrological parameters</w:t>
      </w:r>
      <w:r w:rsidR="00AD27C3">
        <w:rPr>
          <w:rFonts w:ascii="Times New Roman" w:hAnsi="Times New Roman" w:cs="Times New Roman"/>
          <w:sz w:val="24"/>
          <w:szCs w:val="24"/>
        </w:rPr>
        <w:t xml:space="preserve">. </w:t>
      </w:r>
      <w:r w:rsidR="00AD27C3" w:rsidRPr="00AD27C3">
        <w:rPr>
          <w:rFonts w:ascii="Times New Roman" w:hAnsi="Times New Roman" w:cs="Times New Roman"/>
          <w:color w:val="FF0000"/>
          <w:sz w:val="24"/>
          <w:szCs w:val="24"/>
        </w:rPr>
        <w:t>The yearly</w:t>
      </w:r>
      <w:r w:rsidR="00AD27C3">
        <w:rPr>
          <w:rFonts w:ascii="Times New Roman" w:hAnsi="Times New Roman" w:cs="Times New Roman"/>
          <w:sz w:val="24"/>
          <w:szCs w:val="24"/>
        </w:rPr>
        <w:t xml:space="preserve"> </w:t>
      </w:r>
      <w:r w:rsidR="00AD27C3">
        <w:rPr>
          <w:rFonts w:ascii="Times New Roman" w:hAnsi="Times New Roman" w:cs="Times New Roman"/>
          <w:color w:val="FF0000"/>
          <w:sz w:val="24"/>
          <w:szCs w:val="24"/>
        </w:rPr>
        <w:t>a</w:t>
      </w:r>
      <w:r w:rsidR="00AD27C3" w:rsidRPr="00AD27C3">
        <w:rPr>
          <w:rFonts w:ascii="Times New Roman" w:hAnsi="Times New Roman" w:cs="Times New Roman"/>
          <w:color w:val="FF0000"/>
          <w:sz w:val="24"/>
          <w:szCs w:val="24"/>
        </w:rPr>
        <w:t>verag</w:t>
      </w:r>
      <w:r w:rsidR="00AD27C3">
        <w:rPr>
          <w:rFonts w:ascii="Times New Roman" w:hAnsi="Times New Roman" w:cs="Times New Roman"/>
          <w:color w:val="FF0000"/>
          <w:sz w:val="24"/>
          <w:szCs w:val="24"/>
        </w:rPr>
        <w:t>e temperature</w:t>
      </w:r>
      <w:r w:rsidR="009F3962">
        <w:rPr>
          <w:rFonts w:ascii="Times New Roman" w:hAnsi="Times New Roman" w:cs="Times New Roman"/>
          <w:color w:val="FF0000"/>
          <w:sz w:val="24"/>
          <w:szCs w:val="24"/>
        </w:rPr>
        <w:t xml:space="preserve"> (T)</w:t>
      </w:r>
      <w:r w:rsidR="00AD27C3">
        <w:rPr>
          <w:rFonts w:ascii="Times New Roman" w:hAnsi="Times New Roman" w:cs="Times New Roman"/>
          <w:color w:val="FF0000"/>
          <w:sz w:val="24"/>
          <w:szCs w:val="24"/>
        </w:rPr>
        <w:t xml:space="preserve"> increased from </w:t>
      </w:r>
      <m:oMath>
        <m:r>
          <w:rPr>
            <w:rFonts w:ascii="Cambria Math" w:hAnsi="Cambria Math" w:cs="Times New Roman"/>
            <w:color w:val="FF0000"/>
            <w:sz w:val="24"/>
            <w:szCs w:val="24"/>
          </w:rPr>
          <m:t>~26.0</m:t>
        </m:r>
      </m:oMath>
      <w:r w:rsidR="00AD27C3">
        <w:rPr>
          <w:rFonts w:ascii="Times New Roman" w:hAnsi="Times New Roman" w:cs="Times New Roman"/>
          <w:color w:val="FF0000"/>
          <w:sz w:val="24"/>
          <w:szCs w:val="24"/>
        </w:rPr>
        <w:t xml:space="preserve"> </w:t>
      </w:r>
      <m:oMath>
        <m:r>
          <w:rPr>
            <w:rFonts w:ascii="Cambria Math" w:hAnsi="Cambria Math" w:cs="Times New Roman"/>
            <w:color w:val="FF0000"/>
            <w:sz w:val="24"/>
            <w:szCs w:val="24"/>
          </w:rPr>
          <m:t>℃</m:t>
        </m:r>
      </m:oMath>
      <w:r w:rsidR="00AD27C3">
        <w:rPr>
          <w:rFonts w:ascii="Times New Roman" w:eastAsiaTheme="minorEastAsia" w:hAnsi="Times New Roman" w:cs="Times New Roman"/>
          <w:color w:val="FF0000"/>
          <w:sz w:val="24"/>
          <w:szCs w:val="24"/>
        </w:rPr>
        <w:t xml:space="preserve"> in 2010 to </w:t>
      </w:r>
      <m:oMath>
        <m:r>
          <w:rPr>
            <w:rFonts w:ascii="Cambria Math" w:eastAsiaTheme="minorEastAsia" w:hAnsi="Cambria Math" w:cs="Times New Roman"/>
            <w:color w:val="FF0000"/>
            <w:sz w:val="24"/>
            <w:szCs w:val="24"/>
          </w:rPr>
          <m:t>~28.5 ℃</m:t>
        </m:r>
      </m:oMath>
      <w:r w:rsidR="00AD27C3">
        <w:rPr>
          <w:rFonts w:ascii="Times New Roman" w:eastAsiaTheme="minorEastAsia" w:hAnsi="Times New Roman" w:cs="Times New Roman"/>
          <w:color w:val="FF0000"/>
          <w:sz w:val="24"/>
          <w:szCs w:val="24"/>
        </w:rPr>
        <w:t xml:space="preserve"> </w:t>
      </w:r>
      <w:r w:rsidR="008A2FCD">
        <w:rPr>
          <w:rFonts w:ascii="Times New Roman" w:eastAsiaTheme="minorEastAsia" w:hAnsi="Times New Roman" w:cs="Times New Roman"/>
          <w:color w:val="FF0000"/>
          <w:sz w:val="24"/>
          <w:szCs w:val="24"/>
        </w:rPr>
        <w:t xml:space="preserve">in </w:t>
      </w:r>
      <w:r w:rsidR="00AD27C3">
        <w:rPr>
          <w:rFonts w:ascii="Times New Roman" w:eastAsiaTheme="minorEastAsia" w:hAnsi="Times New Roman" w:cs="Times New Roman"/>
          <w:color w:val="FF0000"/>
          <w:sz w:val="24"/>
          <w:szCs w:val="24"/>
        </w:rPr>
        <w:t>for both Onitsha and Nnewi</w:t>
      </w:r>
      <w:r w:rsidR="008A2FCD">
        <w:rPr>
          <w:rFonts w:ascii="Times New Roman" w:eastAsiaTheme="minorEastAsia" w:hAnsi="Times New Roman" w:cs="Times New Roman"/>
          <w:color w:val="FF0000"/>
          <w:sz w:val="24"/>
          <w:szCs w:val="24"/>
        </w:rPr>
        <w:t xml:space="preserve"> in 2024</w:t>
      </w:r>
      <w:r w:rsidR="00AD27C3">
        <w:rPr>
          <w:rFonts w:ascii="Times New Roman" w:eastAsiaTheme="minorEastAsia" w:hAnsi="Times New Roman" w:cs="Times New Roman"/>
          <w:color w:val="FF0000"/>
          <w:sz w:val="24"/>
          <w:szCs w:val="24"/>
        </w:rPr>
        <w:t xml:space="preserve">. Similarly, the yearly average dewpoint </w:t>
      </w:r>
      <w:r w:rsidR="009F3962">
        <w:rPr>
          <w:rFonts w:ascii="Times New Roman" w:eastAsiaTheme="minorEastAsia" w:hAnsi="Times New Roman" w:cs="Times New Roman"/>
          <w:color w:val="FF0000"/>
          <w:sz w:val="24"/>
          <w:szCs w:val="24"/>
        </w:rPr>
        <w:t xml:space="preserve">(DP) </w:t>
      </w:r>
      <w:r w:rsidR="00AD27C3">
        <w:rPr>
          <w:rFonts w:ascii="Times New Roman" w:eastAsiaTheme="minorEastAsia" w:hAnsi="Times New Roman" w:cs="Times New Roman"/>
          <w:color w:val="FF0000"/>
          <w:sz w:val="24"/>
          <w:szCs w:val="24"/>
        </w:rPr>
        <w:t xml:space="preserve">fell from </w:t>
      </w:r>
      <m:oMath>
        <m:r>
          <w:rPr>
            <w:rFonts w:ascii="Cambria Math" w:hAnsi="Cambria Math" w:cs="Times New Roman"/>
            <w:color w:val="FF0000"/>
            <w:sz w:val="24"/>
            <w:szCs w:val="24"/>
          </w:rPr>
          <m:t>~23.5</m:t>
        </m:r>
      </m:oMath>
      <w:r w:rsidR="00AD27C3">
        <w:rPr>
          <w:rFonts w:ascii="Times New Roman" w:hAnsi="Times New Roman" w:cs="Times New Roman"/>
          <w:color w:val="FF0000"/>
          <w:sz w:val="24"/>
          <w:szCs w:val="24"/>
        </w:rPr>
        <w:t xml:space="preserve"> </w:t>
      </w:r>
      <m:oMath>
        <m:r>
          <w:rPr>
            <w:rFonts w:ascii="Cambria Math" w:hAnsi="Cambria Math" w:cs="Times New Roman"/>
            <w:color w:val="FF0000"/>
            <w:sz w:val="24"/>
            <w:szCs w:val="24"/>
          </w:rPr>
          <m:t>℃</m:t>
        </m:r>
      </m:oMath>
      <w:r w:rsidR="00AD27C3">
        <w:rPr>
          <w:rFonts w:ascii="Times New Roman" w:eastAsiaTheme="minorEastAsia" w:hAnsi="Times New Roman" w:cs="Times New Roman"/>
          <w:color w:val="FF0000"/>
          <w:sz w:val="24"/>
          <w:szCs w:val="24"/>
        </w:rPr>
        <w:t xml:space="preserve"> </w:t>
      </w:r>
      <w:r w:rsidR="00AD27C3">
        <w:rPr>
          <w:rFonts w:ascii="Times New Roman" w:hAnsi="Times New Roman" w:cs="Times New Roman"/>
          <w:color w:val="FF0000"/>
          <w:sz w:val="24"/>
          <w:szCs w:val="24"/>
        </w:rPr>
        <w:t xml:space="preserve"> </w:t>
      </w:r>
      <w:r w:rsidR="008A2FCD">
        <w:rPr>
          <w:rFonts w:ascii="Times New Roman" w:hAnsi="Times New Roman" w:cs="Times New Roman"/>
          <w:color w:val="FF0000"/>
          <w:sz w:val="24"/>
          <w:szCs w:val="24"/>
        </w:rPr>
        <w:t xml:space="preserve">to </w:t>
      </w:r>
      <m:oMath>
        <m:r>
          <w:rPr>
            <w:rFonts w:ascii="Cambria Math" w:hAnsi="Cambria Math" w:cs="Times New Roman"/>
            <w:color w:val="FF0000"/>
            <w:sz w:val="24"/>
            <w:szCs w:val="24"/>
          </w:rPr>
          <m:t>~21.5 ℃</m:t>
        </m:r>
      </m:oMath>
      <w:r w:rsidR="008A2FCD">
        <w:rPr>
          <w:rFonts w:ascii="Times New Roman" w:eastAsiaTheme="minorEastAsia" w:hAnsi="Times New Roman" w:cs="Times New Roman"/>
          <w:color w:val="FF0000"/>
          <w:sz w:val="24"/>
          <w:szCs w:val="24"/>
        </w:rPr>
        <w:t>, the yearly average humidity</w:t>
      </w:r>
      <w:r w:rsidR="009F3962">
        <w:rPr>
          <w:rFonts w:ascii="Times New Roman" w:eastAsiaTheme="minorEastAsia" w:hAnsi="Times New Roman" w:cs="Times New Roman"/>
          <w:color w:val="FF0000"/>
          <w:sz w:val="24"/>
          <w:szCs w:val="24"/>
        </w:rPr>
        <w:t xml:space="preserve"> (H) decreased</w:t>
      </w:r>
      <w:r w:rsidR="008A2FCD">
        <w:rPr>
          <w:rFonts w:ascii="Times New Roman" w:eastAsiaTheme="minorEastAsia" w:hAnsi="Times New Roman" w:cs="Times New Roman"/>
          <w:color w:val="FF0000"/>
          <w:sz w:val="24"/>
          <w:szCs w:val="24"/>
        </w:rPr>
        <w:t xml:space="preserve"> from 86% to 70%,</w:t>
      </w:r>
      <w:r>
        <w:rPr>
          <w:rFonts w:ascii="Times New Roman" w:hAnsi="Times New Roman" w:cs="Times New Roman"/>
          <w:sz w:val="24"/>
          <w:szCs w:val="24"/>
        </w:rPr>
        <w:t xml:space="preserve"> </w:t>
      </w:r>
      <w:r w:rsidR="008A2FCD" w:rsidRPr="008A2FCD">
        <w:rPr>
          <w:rFonts w:ascii="Times New Roman" w:hAnsi="Times New Roman" w:cs="Times New Roman"/>
          <w:color w:val="FF0000"/>
          <w:sz w:val="24"/>
          <w:szCs w:val="24"/>
        </w:rPr>
        <w:t xml:space="preserve">and wind speed </w:t>
      </w:r>
      <w:r w:rsidR="008A2FCD">
        <w:rPr>
          <w:rFonts w:ascii="Times New Roman" w:hAnsi="Times New Roman" w:cs="Times New Roman"/>
          <w:color w:val="FF0000"/>
          <w:sz w:val="24"/>
          <w:szCs w:val="24"/>
        </w:rPr>
        <w:t xml:space="preserve">the yearly average windspeed </w:t>
      </w:r>
      <w:r w:rsidR="009F3962">
        <w:rPr>
          <w:rFonts w:ascii="Times New Roman" w:hAnsi="Times New Roman" w:cs="Times New Roman"/>
          <w:color w:val="FF0000"/>
          <w:sz w:val="24"/>
          <w:szCs w:val="24"/>
        </w:rPr>
        <w:t xml:space="preserve">(WS) </w:t>
      </w:r>
      <w:r w:rsidR="008A2FCD">
        <w:rPr>
          <w:rFonts w:ascii="Times New Roman" w:hAnsi="Times New Roman" w:cs="Times New Roman"/>
          <w:color w:val="FF0000"/>
          <w:sz w:val="24"/>
          <w:szCs w:val="24"/>
        </w:rPr>
        <w:t xml:space="preserve">increased from </w:t>
      </w:r>
      <m:oMath>
        <m:r>
          <w:rPr>
            <w:rFonts w:ascii="Cambria Math" w:hAnsi="Cambria Math" w:cs="Times New Roman"/>
            <w:color w:val="FF0000"/>
            <w:sz w:val="24"/>
            <w:szCs w:val="24"/>
          </w:rPr>
          <m:t>~11 km/h</m:t>
        </m:r>
      </m:oMath>
      <w:r w:rsidR="008A2FCD">
        <w:rPr>
          <w:rFonts w:ascii="Times New Roman" w:eastAsiaTheme="minorEastAsia" w:hAnsi="Times New Roman" w:cs="Times New Roman"/>
          <w:color w:val="FF0000"/>
          <w:sz w:val="24"/>
          <w:szCs w:val="24"/>
        </w:rPr>
        <w:t xml:space="preserve"> to </w:t>
      </w:r>
      <m:oMath>
        <m:r>
          <w:rPr>
            <w:rFonts w:ascii="Cambria Math" w:hAnsi="Cambria Math" w:cs="Times New Roman"/>
            <w:color w:val="FF0000"/>
            <w:sz w:val="24"/>
            <w:szCs w:val="24"/>
          </w:rPr>
          <m:t xml:space="preserve">~20 </m:t>
        </m:r>
      </m:oMath>
      <w:r w:rsidR="008A2FCD">
        <w:rPr>
          <w:rFonts w:ascii="Times New Roman" w:eastAsiaTheme="minorEastAsia" w:hAnsi="Times New Roman" w:cs="Times New Roman"/>
          <w:color w:val="FF0000"/>
          <w:sz w:val="24"/>
          <w:szCs w:val="24"/>
        </w:rPr>
        <w:t xml:space="preserve"> km/h from 2010 to 2024. The yearly average solar radiation </w:t>
      </w:r>
      <w:r w:rsidR="009F3962">
        <w:rPr>
          <w:rFonts w:ascii="Times New Roman" w:eastAsiaTheme="minorEastAsia" w:hAnsi="Times New Roman" w:cs="Times New Roman"/>
          <w:color w:val="FF0000"/>
          <w:sz w:val="24"/>
          <w:szCs w:val="24"/>
        </w:rPr>
        <w:t xml:space="preserve">(SR) </w:t>
      </w:r>
      <w:r w:rsidR="008A2FCD">
        <w:rPr>
          <w:rFonts w:ascii="Times New Roman" w:eastAsiaTheme="minorEastAsia" w:hAnsi="Times New Roman" w:cs="Times New Roman"/>
          <w:color w:val="FF0000"/>
          <w:sz w:val="24"/>
          <w:szCs w:val="24"/>
        </w:rPr>
        <w:t xml:space="preserve">increased from </w:t>
      </w:r>
      <m:oMath>
        <m:r>
          <w:rPr>
            <w:rFonts w:ascii="Cambria Math" w:hAnsi="Cambria Math" w:cs="Times New Roman"/>
            <w:color w:val="FF0000"/>
            <w:sz w:val="24"/>
            <w:szCs w:val="24"/>
          </w:rPr>
          <m:t>~</m:t>
        </m:r>
      </m:oMath>
      <w:r w:rsidR="008A2FCD">
        <w:rPr>
          <w:rFonts w:ascii="Times New Roman" w:eastAsiaTheme="minorEastAsia" w:hAnsi="Times New Roman" w:cs="Times New Roman"/>
          <w:color w:val="FF0000"/>
          <w:sz w:val="24"/>
          <w:szCs w:val="24"/>
        </w:rPr>
        <w:t>170 W/m</w:t>
      </w:r>
      <w:r w:rsidR="008A2FCD" w:rsidRPr="008A2FCD">
        <w:rPr>
          <w:rFonts w:ascii="Times New Roman" w:eastAsiaTheme="minorEastAsia" w:hAnsi="Times New Roman" w:cs="Times New Roman"/>
          <w:color w:val="FF0000"/>
          <w:sz w:val="24"/>
          <w:szCs w:val="24"/>
          <w:vertAlign w:val="superscript"/>
        </w:rPr>
        <w:t>2</w:t>
      </w:r>
      <w:r w:rsidR="008A2FCD">
        <w:rPr>
          <w:rFonts w:ascii="Times New Roman" w:eastAsiaTheme="minorEastAsia" w:hAnsi="Times New Roman" w:cs="Times New Roman"/>
          <w:color w:val="FF0000"/>
          <w:sz w:val="24"/>
          <w:szCs w:val="24"/>
        </w:rPr>
        <w:t xml:space="preserve"> from 2010 to </w:t>
      </w:r>
      <m:oMath>
        <m:r>
          <w:rPr>
            <w:rFonts w:ascii="Cambria Math" w:hAnsi="Cambria Math" w:cs="Times New Roman"/>
            <w:color w:val="FF0000"/>
            <w:sz w:val="24"/>
            <w:szCs w:val="24"/>
          </w:rPr>
          <m:t>~220</m:t>
        </m:r>
      </m:oMath>
      <w:r w:rsidR="008A2FCD">
        <w:rPr>
          <w:rFonts w:ascii="Times New Roman" w:eastAsiaTheme="minorEastAsia" w:hAnsi="Times New Roman" w:cs="Times New Roman"/>
          <w:color w:val="FF0000"/>
          <w:sz w:val="24"/>
          <w:szCs w:val="24"/>
        </w:rPr>
        <w:t xml:space="preserve"> W/</w:t>
      </w:r>
      <w:r w:rsidR="008A2FCD" w:rsidRPr="009F3962">
        <w:rPr>
          <w:rFonts w:ascii="Times New Roman" w:eastAsiaTheme="minorEastAsia" w:hAnsi="Times New Roman" w:cs="Times New Roman"/>
          <w:color w:val="FF0000"/>
          <w:sz w:val="24"/>
          <w:szCs w:val="24"/>
        </w:rPr>
        <w:t>m</w:t>
      </w:r>
      <w:r w:rsidR="008A2FCD" w:rsidRPr="009F3962">
        <w:rPr>
          <w:rFonts w:ascii="Times New Roman" w:eastAsiaTheme="minorEastAsia" w:hAnsi="Times New Roman" w:cs="Times New Roman"/>
          <w:color w:val="FF0000"/>
          <w:sz w:val="24"/>
          <w:szCs w:val="24"/>
          <w:vertAlign w:val="superscript"/>
        </w:rPr>
        <w:t>2</w:t>
      </w:r>
      <w:r w:rsidR="009F3962">
        <w:rPr>
          <w:rFonts w:ascii="Times New Roman" w:eastAsiaTheme="minorEastAsia" w:hAnsi="Times New Roman" w:cs="Times New Roman"/>
          <w:color w:val="FF0000"/>
          <w:sz w:val="24"/>
          <w:szCs w:val="24"/>
        </w:rPr>
        <w:t xml:space="preserve">, the yearly average UV index (UVI) from </w:t>
      </w:r>
      <m:oMath>
        <m:r>
          <w:rPr>
            <w:rFonts w:ascii="Cambria Math" w:hAnsi="Cambria Math" w:cs="Times New Roman"/>
            <w:color w:val="FF0000"/>
            <w:sz w:val="24"/>
            <w:szCs w:val="24"/>
          </w:rPr>
          <m:t>~</m:t>
        </m:r>
      </m:oMath>
      <w:r w:rsidR="009F3962">
        <w:rPr>
          <w:rFonts w:ascii="Times New Roman" w:eastAsiaTheme="minorEastAsia" w:hAnsi="Times New Roman" w:cs="Times New Roman"/>
          <w:color w:val="FF0000"/>
          <w:sz w:val="24"/>
          <w:szCs w:val="24"/>
        </w:rPr>
        <w:t xml:space="preserve">6.0 in 2010 to </w:t>
      </w:r>
      <m:oMath>
        <m:r>
          <w:rPr>
            <w:rFonts w:ascii="Cambria Math" w:hAnsi="Cambria Math" w:cs="Times New Roman"/>
            <w:color w:val="FF0000"/>
            <w:sz w:val="24"/>
            <w:szCs w:val="24"/>
          </w:rPr>
          <m:t>~</m:t>
        </m:r>
      </m:oMath>
      <w:r w:rsidR="009F3962">
        <w:rPr>
          <w:rFonts w:ascii="Times New Roman" w:eastAsiaTheme="minorEastAsia" w:hAnsi="Times New Roman" w:cs="Times New Roman"/>
          <w:color w:val="FF0000"/>
          <w:sz w:val="24"/>
          <w:szCs w:val="24"/>
        </w:rPr>
        <w:t>8.5 in 2024. The results of the correlation study indicate that the population positively correlates with T, WS, SR, and UVI, but negatively correlates with DP, H, and the amount of precipitation (PP).</w:t>
      </w:r>
      <w:r w:rsidR="00E3650E">
        <w:rPr>
          <w:rFonts w:ascii="Times New Roman" w:eastAsiaTheme="minorEastAsia" w:hAnsi="Times New Roman" w:cs="Times New Roman"/>
          <w:color w:val="FF0000"/>
          <w:sz w:val="24"/>
          <w:szCs w:val="24"/>
        </w:rPr>
        <w:t xml:space="preserve"> </w:t>
      </w:r>
      <w:r w:rsidR="009F3962">
        <w:rPr>
          <w:rFonts w:ascii="Times New Roman" w:eastAsiaTheme="minorEastAsia" w:hAnsi="Times New Roman" w:cs="Times New Roman"/>
          <w:color w:val="FF0000"/>
          <w:sz w:val="24"/>
          <w:szCs w:val="24"/>
        </w:rPr>
        <w:t xml:space="preserve"> </w:t>
      </w:r>
      <w:r w:rsidR="00E3650E">
        <w:rPr>
          <w:rFonts w:ascii="Times New Roman" w:eastAsiaTheme="minorEastAsia" w:hAnsi="Times New Roman" w:cs="Times New Roman"/>
          <w:color w:val="FF0000"/>
          <w:sz w:val="24"/>
          <w:szCs w:val="24"/>
        </w:rPr>
        <w:t>The magnitude of the slopes and intercepts of the linear fits to the scatter plots of the population and weather parameters were consistently higher in Nnewi than in Onitsha, indicating greater</w:t>
      </w:r>
      <w:r>
        <w:rPr>
          <w:rFonts w:ascii="Times New Roman" w:hAnsi="Times New Roman" w:cs="Times New Roman"/>
          <w:sz w:val="24"/>
          <w:szCs w:val="24"/>
        </w:rPr>
        <w:t xml:space="preserve"> </w:t>
      </w:r>
      <w:r w:rsidR="00184AD5">
        <w:rPr>
          <w:rFonts w:ascii="Times New Roman" w:hAnsi="Times New Roman" w:cs="Times New Roman"/>
          <w:sz w:val="24"/>
          <w:szCs w:val="24"/>
        </w:rPr>
        <w:t xml:space="preserve">adverse </w:t>
      </w:r>
      <w:r>
        <w:rPr>
          <w:rFonts w:ascii="Times New Roman" w:hAnsi="Times New Roman" w:cs="Times New Roman"/>
          <w:sz w:val="24"/>
          <w:szCs w:val="24"/>
        </w:rPr>
        <w:t>effects in Nnewi than in Onitsha. In c</w:t>
      </w:r>
      <w:r w:rsidRPr="008E615A">
        <w:rPr>
          <w:rFonts w:ascii="Times New Roman" w:hAnsi="Times New Roman" w:cs="Times New Roman"/>
          <w:sz w:val="24"/>
          <w:szCs w:val="24"/>
        </w:rPr>
        <w:t>onclusion</w:t>
      </w:r>
      <w:r>
        <w:rPr>
          <w:rFonts w:ascii="Times New Roman" w:hAnsi="Times New Roman" w:cs="Times New Roman"/>
          <w:sz w:val="24"/>
          <w:szCs w:val="24"/>
        </w:rPr>
        <w:t>, this study</w:t>
      </w:r>
      <w:r w:rsidR="00413B24">
        <w:rPr>
          <w:rFonts w:ascii="Times New Roman" w:hAnsi="Times New Roman" w:cs="Times New Roman"/>
          <w:sz w:val="24"/>
          <w:szCs w:val="24"/>
        </w:rPr>
        <w:t xml:space="preserve"> </w:t>
      </w:r>
      <w:r>
        <w:rPr>
          <w:rFonts w:ascii="Times New Roman" w:hAnsi="Times New Roman" w:cs="Times New Roman"/>
          <w:sz w:val="24"/>
          <w:szCs w:val="24"/>
        </w:rPr>
        <w:t xml:space="preserve">revealed </w:t>
      </w:r>
      <w:r w:rsidR="00413B24">
        <w:rPr>
          <w:rFonts w:ascii="Times New Roman" w:hAnsi="Times New Roman" w:cs="Times New Roman"/>
          <w:sz w:val="24"/>
          <w:szCs w:val="24"/>
        </w:rPr>
        <w:t>that</w:t>
      </w:r>
      <w:r w:rsidRPr="008E615A">
        <w:rPr>
          <w:rFonts w:ascii="Times New Roman" w:hAnsi="Times New Roman" w:cs="Times New Roman"/>
          <w:sz w:val="24"/>
          <w:szCs w:val="24"/>
        </w:rPr>
        <w:t xml:space="preserve"> increasing population</w:t>
      </w:r>
      <w:r>
        <w:rPr>
          <w:rFonts w:ascii="Times New Roman" w:hAnsi="Times New Roman" w:cs="Times New Roman"/>
          <w:sz w:val="24"/>
          <w:szCs w:val="24"/>
        </w:rPr>
        <w:t xml:space="preserve"> </w:t>
      </w:r>
      <w:r w:rsidR="00413B24">
        <w:rPr>
          <w:rFonts w:ascii="Times New Roman" w:hAnsi="Times New Roman" w:cs="Times New Roman"/>
          <w:sz w:val="24"/>
          <w:szCs w:val="24"/>
        </w:rPr>
        <w:t>(</w:t>
      </w:r>
      <w:r>
        <w:rPr>
          <w:rFonts w:ascii="Times New Roman" w:hAnsi="Times New Roman" w:cs="Times New Roman"/>
          <w:sz w:val="24"/>
          <w:szCs w:val="24"/>
        </w:rPr>
        <w:t>increasing GHG</w:t>
      </w:r>
      <w:r w:rsidR="00413B24">
        <w:rPr>
          <w:rFonts w:ascii="Times New Roman" w:hAnsi="Times New Roman" w:cs="Times New Roman"/>
          <w:sz w:val="24"/>
          <w:szCs w:val="24"/>
        </w:rPr>
        <w:t>) affects</w:t>
      </w:r>
      <w:r>
        <w:rPr>
          <w:rFonts w:ascii="Times New Roman" w:hAnsi="Times New Roman" w:cs="Times New Roman"/>
          <w:sz w:val="24"/>
          <w:szCs w:val="24"/>
        </w:rPr>
        <w:t xml:space="preserve"> metrological parameters</w:t>
      </w:r>
      <w:r w:rsidR="00EF2A32">
        <w:rPr>
          <w:rFonts w:ascii="Times New Roman" w:hAnsi="Times New Roman" w:cs="Times New Roman"/>
          <w:sz w:val="24"/>
          <w:szCs w:val="24"/>
        </w:rPr>
        <w:t xml:space="preserve"> and that Nnewi</w:t>
      </w:r>
      <w:r w:rsidR="005546F0">
        <w:rPr>
          <w:rFonts w:ascii="Times New Roman" w:hAnsi="Times New Roman" w:cs="Times New Roman"/>
          <w:sz w:val="24"/>
          <w:szCs w:val="24"/>
        </w:rPr>
        <w:t>,</w:t>
      </w:r>
      <w:r w:rsidR="00EF2A32">
        <w:rPr>
          <w:rFonts w:ascii="Times New Roman" w:hAnsi="Times New Roman" w:cs="Times New Roman"/>
          <w:sz w:val="24"/>
          <w:szCs w:val="24"/>
        </w:rPr>
        <w:t xml:space="preserve"> an emerging populous city is showing signs of changes in weather and metrological parameters at a rate higher than that of Onitsha</w:t>
      </w:r>
      <w:r w:rsidR="00413B24">
        <w:rPr>
          <w:rFonts w:ascii="Times New Roman" w:hAnsi="Times New Roman" w:cs="Times New Roman"/>
          <w:sz w:val="24"/>
          <w:szCs w:val="24"/>
        </w:rPr>
        <w:t>.</w:t>
      </w:r>
      <w:r w:rsidR="00EF2A32">
        <w:rPr>
          <w:rFonts w:ascii="Times New Roman" w:hAnsi="Times New Roman" w:cs="Times New Roman"/>
          <w:sz w:val="24"/>
          <w:szCs w:val="24"/>
        </w:rPr>
        <w:t xml:space="preserve"> </w:t>
      </w:r>
      <w:r w:rsidR="00413B24">
        <w:rPr>
          <w:rFonts w:ascii="Times New Roman" w:hAnsi="Times New Roman" w:cs="Times New Roman"/>
          <w:sz w:val="24"/>
          <w:szCs w:val="24"/>
        </w:rPr>
        <w:t>T</w:t>
      </w:r>
      <w:r w:rsidR="00EF2A32">
        <w:rPr>
          <w:rFonts w:ascii="Times New Roman" w:hAnsi="Times New Roman" w:cs="Times New Roman"/>
          <w:sz w:val="24"/>
          <w:szCs w:val="24"/>
        </w:rPr>
        <w:t xml:space="preserve">his may result in serious adverse climatic conditions, and higher </w:t>
      </w:r>
      <w:r w:rsidR="00EF2A32" w:rsidRPr="00451C03">
        <w:rPr>
          <w:rFonts w:ascii="Times New Roman" w:hAnsi="Times New Roman" w:cs="Times New Roman"/>
          <w:sz w:val="24"/>
          <w:szCs w:val="24"/>
        </w:rPr>
        <w:t xml:space="preserve">risks to public health, agriculture, and ecosystems due to </w:t>
      </w:r>
      <w:r w:rsidR="00EF2A32">
        <w:rPr>
          <w:rFonts w:ascii="Times New Roman" w:hAnsi="Times New Roman" w:cs="Times New Roman"/>
          <w:sz w:val="24"/>
          <w:szCs w:val="24"/>
        </w:rPr>
        <w:t xml:space="preserve">increasing </w:t>
      </w:r>
      <w:r w:rsidR="00413B24">
        <w:rPr>
          <w:rFonts w:ascii="Times New Roman" w:hAnsi="Times New Roman" w:cs="Times New Roman"/>
          <w:sz w:val="24"/>
          <w:szCs w:val="24"/>
        </w:rPr>
        <w:t xml:space="preserve">levels of </w:t>
      </w:r>
      <w:r w:rsidR="00EF2A32">
        <w:rPr>
          <w:rFonts w:ascii="Times New Roman" w:hAnsi="Times New Roman" w:cs="Times New Roman"/>
          <w:sz w:val="24"/>
          <w:szCs w:val="24"/>
        </w:rPr>
        <w:t>GHGs.</w:t>
      </w:r>
    </w:p>
    <w:bookmarkEnd w:id="0"/>
    <w:p w14:paraId="6280AEA4" w14:textId="05B5C807" w:rsidR="00162640" w:rsidRDefault="00EF2A32" w:rsidP="001626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Keyword: Greenhouse gases; weather parameters; population growth; climate change</w:t>
      </w:r>
    </w:p>
    <w:p w14:paraId="6309E51F" w14:textId="735CC9AA" w:rsidR="00EF2A32" w:rsidRPr="00EF2A32" w:rsidRDefault="00EF2A32" w:rsidP="00EF2A32">
      <w:pPr>
        <w:pStyle w:val="ListParagraph"/>
        <w:numPr>
          <w:ilvl w:val="0"/>
          <w:numId w:val="5"/>
        </w:numPr>
        <w:spacing w:after="0" w:line="480" w:lineRule="auto"/>
        <w:jc w:val="both"/>
        <w:rPr>
          <w:rFonts w:ascii="Times New Roman" w:hAnsi="Times New Roman" w:cs="Times New Roman"/>
          <w:b/>
          <w:bCs/>
          <w:sz w:val="24"/>
          <w:szCs w:val="24"/>
        </w:rPr>
      </w:pPr>
      <w:r w:rsidRPr="00EF2A32">
        <w:rPr>
          <w:rFonts w:ascii="Times New Roman" w:hAnsi="Times New Roman" w:cs="Times New Roman"/>
          <w:b/>
          <w:bCs/>
          <w:sz w:val="24"/>
          <w:szCs w:val="24"/>
        </w:rPr>
        <w:t>INTRODUCTION</w:t>
      </w:r>
    </w:p>
    <w:p w14:paraId="3872CF64" w14:textId="6B6AB9CB" w:rsidR="00EF2A32" w:rsidRDefault="00EF2A32" w:rsidP="00907E9C">
      <w:pPr>
        <w:pStyle w:val="NormalWeb"/>
        <w:spacing w:before="0" w:beforeAutospacing="0" w:after="0" w:afterAutospacing="0"/>
        <w:jc w:val="both"/>
      </w:pPr>
      <w:r>
        <w:t xml:space="preserve">Our planet relies on a delicate balance of energy from the </w:t>
      </w:r>
      <w:r w:rsidR="00413B24">
        <w:t>S</w:t>
      </w:r>
      <w:r>
        <w:t xml:space="preserve">un and the heat it retains. This balance is influenced by the Sun, Earth's characteristics, and the natural greenhouse effect. The Sun is the primary energy source for Earth, emitting radiant energy in the form of visible light and ultraviolet radiation. This energy reaches Earth in about 8 minutes and 20 seconds. Earth, the third planet from the sun, is a rocky planet with a unique atmosphere that allows liquid water to exist on its surface. This atmosphere, composed primarily of nitrogen and oxygen, acts as a protective layer, filtering out harmful solar radiation and shielding the planet from the harsh environment of space </w:t>
      </w:r>
      <w:bookmarkStart w:id="1" w:name="_Hlk185779053"/>
      <w:r w:rsidR="00806519">
        <w:t>[4</w:t>
      </w:r>
      <w:r w:rsidR="00180B3C">
        <w:t>8</w:t>
      </w:r>
      <w:r w:rsidR="00806519">
        <w:t>]</w:t>
      </w:r>
      <w:bookmarkEnd w:id="1"/>
      <w:r>
        <w:t xml:space="preserve">. The natural greenhouse effect is </w:t>
      </w:r>
      <w:r w:rsidR="00BC44B5">
        <w:t>crucial to keeping</w:t>
      </w:r>
      <w:r>
        <w:t xml:space="preserve"> Earth warm enough to sustain life. Sunlight reaching Earth consists of shortwave radiation with shorter wavelengths. A portion of </w:t>
      </w:r>
      <w:r>
        <w:lastRenderedPageBreak/>
        <w:t>this radiation is reflected into space by Earth's surface and atmosphere. However, some of the shortwave radiation is absorbed by the Earth's surface, causing it to war</w:t>
      </w:r>
      <w:r w:rsidR="00806519">
        <w:t>m</w:t>
      </w:r>
      <w:r>
        <w:t xml:space="preserve"> </w:t>
      </w:r>
      <w:r w:rsidR="00806519">
        <w:t>[4</w:t>
      </w:r>
      <w:r w:rsidR="00180B3C">
        <w:t>8</w:t>
      </w:r>
      <w:r w:rsidR="00806519">
        <w:t>]</w:t>
      </w:r>
    </w:p>
    <w:p w14:paraId="278B03C6" w14:textId="2397791F" w:rsidR="00EF2A32" w:rsidRDefault="00907E9C" w:rsidP="00907E9C">
      <w:pPr>
        <w:pStyle w:val="NormalWeb"/>
        <w:spacing w:before="0" w:beforeAutospacing="0" w:after="0" w:afterAutospacing="0"/>
        <w:jc w:val="both"/>
      </w:pPr>
      <w:r>
        <w:t>C</w:t>
      </w:r>
      <w:r w:rsidR="00EF2A32">
        <w:t>ertain gases in Earth's atmosphere, known as GHGs, can absorb this longwave radiation emitted by the Earth's surface. These GHGs, including water vapor, carbon IV oxide (</w:t>
      </w:r>
      <w:r w:rsidR="00EF2A32" w:rsidRPr="000F11FE">
        <w:t>CO₂</w:t>
      </w:r>
      <w:r w:rsidR="00EF2A32">
        <w:t>), and methane (CH</w:t>
      </w:r>
      <w:r w:rsidR="00EF2A32" w:rsidRPr="00EB18AC">
        <w:rPr>
          <w:vertAlign w:val="subscript"/>
        </w:rPr>
        <w:t>4</w:t>
      </w:r>
      <w:r w:rsidR="00EF2A32">
        <w:t xml:space="preserve">), trap the heat, preventing it from escaping readily back into space </w:t>
      </w:r>
      <w:r w:rsidR="00180B3C">
        <w:t>[42]</w:t>
      </w:r>
      <w:r w:rsidR="00EF2A32">
        <w:t xml:space="preserve">. This trapping of heat by GHGs is essential for maintaining a comfortable average global temperature, estimated to be around 15 °C without the greenhouse effect, Earth would be a frigid and lifeless planet </w:t>
      </w:r>
      <w:r w:rsidR="00180B3C">
        <w:t>[28]</w:t>
      </w:r>
      <w:r w:rsidR="00EF2A32">
        <w:t xml:space="preserve">. In essence, the natural greenhouse effect acts like a giant insulating blanket around Earth, allowing sunlight to enter and warm the planet while preventing excessive heat loss. This delicate balance between incoming solar radiation and outgoing heat is </w:t>
      </w:r>
      <w:r w:rsidR="00806519">
        <w:t xml:space="preserve">assumed to be </w:t>
      </w:r>
      <w:r w:rsidR="00EF2A32">
        <w:t>vital for life as we know it</w:t>
      </w:r>
      <w:r w:rsidR="00806519">
        <w:t xml:space="preserve"> </w:t>
      </w:r>
      <w:r w:rsidR="00180B3C">
        <w:t>[28].</w:t>
      </w:r>
    </w:p>
    <w:p w14:paraId="4AAB494A" w14:textId="24646735" w:rsidR="00180B3C" w:rsidRPr="00180B3C" w:rsidRDefault="00180B3C" w:rsidP="00180B3C">
      <w:pPr>
        <w:spacing w:after="0" w:line="240" w:lineRule="auto"/>
        <w:jc w:val="both"/>
        <w:rPr>
          <w:rFonts w:ascii="Times New Roman" w:eastAsia="Times New Roman" w:hAnsi="Times New Roman" w:cs="Times New Roman"/>
          <w:kern w:val="0"/>
          <w:sz w:val="24"/>
          <w:szCs w:val="24"/>
          <w14:ligatures w14:val="none"/>
        </w:rPr>
      </w:pPr>
      <w:r w:rsidRPr="00180B3C">
        <w:rPr>
          <w:rFonts w:ascii="Times New Roman" w:eastAsia="Times New Roman" w:hAnsi="Times New Roman" w:cs="Times New Roman"/>
          <w:kern w:val="0"/>
          <w:sz w:val="24"/>
          <w:szCs w:val="24"/>
          <w14:ligatures w14:val="none"/>
        </w:rPr>
        <w:t xml:space="preserve">According to Shivanna </w:t>
      </w:r>
      <w:r>
        <w:rPr>
          <w:rFonts w:ascii="Times New Roman" w:eastAsia="Times New Roman" w:hAnsi="Times New Roman" w:cs="Times New Roman"/>
          <w:kern w:val="0"/>
          <w:sz w:val="24"/>
          <w:szCs w:val="24"/>
          <w14:ligatures w14:val="none"/>
        </w:rPr>
        <w:t>[63]</w:t>
      </w:r>
      <w:r w:rsidRPr="00180B3C">
        <w:rPr>
          <w:rFonts w:ascii="Times New Roman" w:eastAsia="Times New Roman" w:hAnsi="Times New Roman" w:cs="Times New Roman"/>
          <w:kern w:val="0"/>
          <w:sz w:val="24"/>
          <w:szCs w:val="24"/>
          <w14:ligatures w14:val="none"/>
        </w:rPr>
        <w:t>, climate change refers to long-term changes in temperature and weather caused by human activities. Manifestations of climate change include an increase in average global temperature and extreme, unpredictable weather. Climate change is no longer a looming threat; it has become a tangible reality with far-reaching consequences. While the natural greenhouse effect is essential for maintaining Earth's habitable temperature, human activities have significantly disrupted this balance by releasing excessive GHGs into the atmosphere.</w:t>
      </w:r>
    </w:p>
    <w:p w14:paraId="282785FC" w14:textId="0623A1E9" w:rsidR="00180B3C" w:rsidRPr="00180B3C" w:rsidRDefault="00180B3C" w:rsidP="00180B3C">
      <w:pPr>
        <w:spacing w:after="0" w:line="240" w:lineRule="auto"/>
        <w:jc w:val="both"/>
        <w:rPr>
          <w:rFonts w:ascii="Times New Roman" w:eastAsia="Times New Roman" w:hAnsi="Times New Roman" w:cs="Times New Roman"/>
          <w:kern w:val="0"/>
          <w:sz w:val="24"/>
          <w:szCs w:val="24"/>
          <w14:ligatures w14:val="none"/>
        </w:rPr>
      </w:pPr>
      <w:r w:rsidRPr="00180B3C">
        <w:rPr>
          <w:rFonts w:ascii="Times New Roman" w:eastAsia="Times New Roman" w:hAnsi="Times New Roman" w:cs="Times New Roman"/>
          <w:kern w:val="0"/>
          <w:sz w:val="24"/>
          <w:szCs w:val="24"/>
          <w14:ligatures w14:val="none"/>
        </w:rPr>
        <w:t xml:space="preserve">Decades of scientific data reveal an undeniable rise in global temperatures, primarily driven by human-caused GHG emissions </w:t>
      </w:r>
      <w:r>
        <w:rPr>
          <w:rFonts w:ascii="Times New Roman" w:eastAsia="Times New Roman" w:hAnsi="Times New Roman" w:cs="Times New Roman"/>
          <w:kern w:val="0"/>
          <w:sz w:val="24"/>
          <w:szCs w:val="24"/>
          <w14:ligatures w14:val="none"/>
        </w:rPr>
        <w:t>[58]</w:t>
      </w:r>
      <w:r w:rsidRPr="00180B3C">
        <w:rPr>
          <w:rFonts w:ascii="Times New Roman" w:eastAsia="Times New Roman" w:hAnsi="Times New Roman" w:cs="Times New Roman"/>
          <w:kern w:val="0"/>
          <w:sz w:val="24"/>
          <w:szCs w:val="24"/>
          <w14:ligatures w14:val="none"/>
        </w:rPr>
        <w:t xml:space="preserve">. The years 2011–2020 are estimated to be the warmest on record, with each decade since the 1980s consistently surpassing the previous one </w:t>
      </w:r>
      <w:r>
        <w:rPr>
          <w:rFonts w:ascii="Times New Roman" w:eastAsia="Times New Roman" w:hAnsi="Times New Roman" w:cs="Times New Roman"/>
          <w:kern w:val="0"/>
          <w:sz w:val="24"/>
          <w:szCs w:val="24"/>
          <w14:ligatures w14:val="none"/>
        </w:rPr>
        <w:t>[29]</w:t>
      </w:r>
      <w:r w:rsidRPr="00180B3C">
        <w:rPr>
          <w:rFonts w:ascii="Times New Roman" w:eastAsia="Times New Roman" w:hAnsi="Times New Roman" w:cs="Times New Roman"/>
          <w:kern w:val="0"/>
          <w:sz w:val="24"/>
          <w:szCs w:val="24"/>
          <w14:ligatures w14:val="none"/>
        </w:rPr>
        <w:t xml:space="preserve">. A global temperature increase of 1.5 °C above pre-industrial levels, coupled with ongoing biodiversity loss, poses catastrophic and irreversible risks to health </w:t>
      </w:r>
      <w:r w:rsidR="00897105">
        <w:rPr>
          <w:rFonts w:ascii="Times New Roman" w:eastAsia="Times New Roman" w:hAnsi="Times New Roman" w:cs="Times New Roman"/>
          <w:kern w:val="0"/>
          <w:sz w:val="24"/>
          <w:szCs w:val="24"/>
          <w14:ligatures w14:val="none"/>
        </w:rPr>
        <w:t>[5</w:t>
      </w:r>
      <w:r w:rsidR="0056564B">
        <w:rPr>
          <w:rFonts w:ascii="Times New Roman" w:eastAsia="Times New Roman" w:hAnsi="Times New Roman" w:cs="Times New Roman"/>
          <w:kern w:val="0"/>
          <w:sz w:val="24"/>
          <w:szCs w:val="24"/>
          <w14:ligatures w14:val="none"/>
        </w:rPr>
        <w:t>, 9</w:t>
      </w:r>
      <w:r w:rsidR="00897105">
        <w:rPr>
          <w:rFonts w:ascii="Times New Roman" w:eastAsia="Times New Roman" w:hAnsi="Times New Roman" w:cs="Times New Roman"/>
          <w:kern w:val="0"/>
          <w:sz w:val="24"/>
          <w:szCs w:val="24"/>
          <w14:ligatures w14:val="none"/>
        </w:rPr>
        <w:t>]</w:t>
      </w:r>
      <w:r w:rsidRPr="00180B3C">
        <w:rPr>
          <w:rFonts w:ascii="Times New Roman" w:eastAsia="Times New Roman" w:hAnsi="Times New Roman" w:cs="Times New Roman"/>
          <w:kern w:val="0"/>
          <w:sz w:val="24"/>
          <w:szCs w:val="24"/>
          <w14:ligatures w14:val="none"/>
        </w:rPr>
        <w:t>. Earth's average surface temperature has significantly increased, with notable warming trends since the late 19th century, leading to disruptions in climatic patterns, biodiversity, and human activities.</w:t>
      </w:r>
    </w:p>
    <w:p w14:paraId="52ED2E5C" w14:textId="3CC86452" w:rsidR="001C66E4" w:rsidRDefault="00180B3C" w:rsidP="00180B3C">
      <w:pPr>
        <w:spacing w:after="0" w:line="240" w:lineRule="auto"/>
        <w:jc w:val="both"/>
        <w:rPr>
          <w:rFonts w:ascii="Times New Roman" w:eastAsia="Times New Roman" w:hAnsi="Times New Roman" w:cs="Times New Roman"/>
          <w:kern w:val="0"/>
          <w:sz w:val="24"/>
          <w:szCs w:val="24"/>
          <w14:ligatures w14:val="none"/>
        </w:rPr>
      </w:pPr>
      <w:r w:rsidRPr="00180B3C">
        <w:rPr>
          <w:rFonts w:ascii="Times New Roman" w:eastAsia="Times New Roman" w:hAnsi="Times New Roman" w:cs="Times New Roman"/>
          <w:kern w:val="0"/>
          <w:sz w:val="24"/>
          <w:szCs w:val="24"/>
          <w14:ligatures w14:val="none"/>
        </w:rPr>
        <w:t xml:space="preserve">The Intergovernmental Panel on Climate Change (IPCC, </w:t>
      </w:r>
      <w:r w:rsidR="00897105">
        <w:rPr>
          <w:rFonts w:ascii="Times New Roman" w:eastAsia="Times New Roman" w:hAnsi="Times New Roman" w:cs="Times New Roman"/>
          <w:kern w:val="0"/>
          <w:sz w:val="24"/>
          <w:szCs w:val="24"/>
          <w14:ligatures w14:val="none"/>
        </w:rPr>
        <w:t>[28]</w:t>
      </w:r>
      <w:r w:rsidRPr="00180B3C">
        <w:rPr>
          <w:rFonts w:ascii="Times New Roman" w:eastAsia="Times New Roman" w:hAnsi="Times New Roman" w:cs="Times New Roman"/>
          <w:kern w:val="0"/>
          <w:sz w:val="24"/>
          <w:szCs w:val="24"/>
          <w14:ligatures w14:val="none"/>
        </w:rPr>
        <w:t xml:space="preserve">) projects that global temperatures will rise by 1.5–2.0 °C above pre-industrial levels by the end of the 21st century if current emissions persist. Other significant climatic changes include melting ice caps and rising sea levels </w:t>
      </w:r>
      <w:r w:rsidR="00897105">
        <w:rPr>
          <w:rFonts w:ascii="Times New Roman" w:eastAsia="Times New Roman" w:hAnsi="Times New Roman" w:cs="Times New Roman"/>
          <w:kern w:val="0"/>
          <w:sz w:val="24"/>
          <w:szCs w:val="24"/>
          <w14:ligatures w14:val="none"/>
        </w:rPr>
        <w:t xml:space="preserve">[40, 64], </w:t>
      </w:r>
      <w:r w:rsidRPr="00180B3C">
        <w:rPr>
          <w:rFonts w:ascii="Times New Roman" w:eastAsia="Times New Roman" w:hAnsi="Times New Roman" w:cs="Times New Roman"/>
          <w:kern w:val="0"/>
          <w:sz w:val="24"/>
          <w:szCs w:val="24"/>
          <w14:ligatures w14:val="none"/>
        </w:rPr>
        <w:t xml:space="preserve">extreme weather events </w:t>
      </w:r>
      <w:r w:rsidR="00897105">
        <w:rPr>
          <w:rFonts w:ascii="Times New Roman" w:eastAsia="Times New Roman" w:hAnsi="Times New Roman" w:cs="Times New Roman"/>
          <w:kern w:val="0"/>
          <w:sz w:val="24"/>
          <w:szCs w:val="24"/>
          <w14:ligatures w14:val="none"/>
        </w:rPr>
        <w:t>[6, 34, 68]</w:t>
      </w:r>
      <w:r w:rsidRPr="00180B3C">
        <w:rPr>
          <w:rFonts w:ascii="Times New Roman" w:eastAsia="Times New Roman" w:hAnsi="Times New Roman" w:cs="Times New Roman"/>
          <w:kern w:val="0"/>
          <w:sz w:val="24"/>
          <w:szCs w:val="24"/>
          <w14:ligatures w14:val="none"/>
        </w:rPr>
        <w:t xml:space="preserve">, changes in biodiversity and ecosystems </w:t>
      </w:r>
      <w:r w:rsidR="00897105">
        <w:rPr>
          <w:rFonts w:ascii="Times New Roman" w:eastAsia="Times New Roman" w:hAnsi="Times New Roman" w:cs="Times New Roman"/>
          <w:kern w:val="0"/>
          <w:sz w:val="24"/>
          <w:szCs w:val="24"/>
          <w14:ligatures w14:val="none"/>
        </w:rPr>
        <w:t>[63, 76]</w:t>
      </w:r>
      <w:r w:rsidRPr="00180B3C">
        <w:rPr>
          <w:rFonts w:ascii="Times New Roman" w:eastAsia="Times New Roman" w:hAnsi="Times New Roman" w:cs="Times New Roman"/>
          <w:kern w:val="0"/>
          <w:sz w:val="24"/>
          <w:szCs w:val="24"/>
          <w14:ligatures w14:val="none"/>
        </w:rPr>
        <w:t xml:space="preserve">, challenges in agriculture and food security </w:t>
      </w:r>
      <w:r w:rsidR="00897105">
        <w:rPr>
          <w:rFonts w:ascii="Times New Roman" w:eastAsia="Times New Roman" w:hAnsi="Times New Roman" w:cs="Times New Roman"/>
          <w:kern w:val="0"/>
          <w:sz w:val="24"/>
          <w:szCs w:val="24"/>
          <w14:ligatures w14:val="none"/>
        </w:rPr>
        <w:t>[36]</w:t>
      </w:r>
      <w:r w:rsidRPr="00180B3C">
        <w:rPr>
          <w:rFonts w:ascii="Times New Roman" w:eastAsia="Times New Roman" w:hAnsi="Times New Roman" w:cs="Times New Roman"/>
          <w:kern w:val="0"/>
          <w:sz w:val="24"/>
          <w:szCs w:val="24"/>
          <w14:ligatures w14:val="none"/>
        </w:rPr>
        <w:t xml:space="preserve">, human health impacts </w:t>
      </w:r>
      <w:r w:rsidR="00897105">
        <w:rPr>
          <w:rFonts w:ascii="Times New Roman" w:eastAsia="Times New Roman" w:hAnsi="Times New Roman" w:cs="Times New Roman"/>
          <w:kern w:val="0"/>
          <w:sz w:val="24"/>
          <w:szCs w:val="24"/>
          <w14:ligatures w14:val="none"/>
        </w:rPr>
        <w:t>[12-13]</w:t>
      </w:r>
      <w:r w:rsidRPr="00180B3C">
        <w:rPr>
          <w:rFonts w:ascii="Times New Roman" w:eastAsia="Times New Roman" w:hAnsi="Times New Roman" w:cs="Times New Roman"/>
          <w:kern w:val="0"/>
          <w:sz w:val="24"/>
          <w:szCs w:val="24"/>
          <w14:ligatures w14:val="none"/>
        </w:rPr>
        <w:t xml:space="preserve">, and economic and social consequences </w:t>
      </w:r>
      <w:r w:rsidR="00897105">
        <w:rPr>
          <w:rFonts w:ascii="Times New Roman" w:eastAsia="Times New Roman" w:hAnsi="Times New Roman" w:cs="Times New Roman"/>
          <w:kern w:val="0"/>
          <w:sz w:val="24"/>
          <w:szCs w:val="24"/>
          <w14:ligatures w14:val="none"/>
        </w:rPr>
        <w:t>[79]</w:t>
      </w:r>
      <w:r w:rsidRPr="00180B3C">
        <w:rPr>
          <w:rFonts w:ascii="Times New Roman" w:eastAsia="Times New Roman" w:hAnsi="Times New Roman" w:cs="Times New Roman"/>
          <w:kern w:val="0"/>
          <w:sz w:val="24"/>
          <w:szCs w:val="24"/>
          <w14:ligatures w14:val="none"/>
        </w:rPr>
        <w:t>.</w:t>
      </w:r>
      <w:r w:rsidR="00897105">
        <w:rPr>
          <w:rFonts w:ascii="Times New Roman" w:eastAsia="Times New Roman" w:hAnsi="Times New Roman" w:cs="Times New Roman"/>
          <w:kern w:val="0"/>
          <w:sz w:val="24"/>
          <w:szCs w:val="24"/>
          <w14:ligatures w14:val="none"/>
        </w:rPr>
        <w:t xml:space="preserve"> </w:t>
      </w:r>
      <w:r w:rsidRPr="00180B3C">
        <w:rPr>
          <w:rFonts w:ascii="Times New Roman" w:eastAsia="Times New Roman" w:hAnsi="Times New Roman" w:cs="Times New Roman"/>
          <w:kern w:val="0"/>
          <w:sz w:val="24"/>
          <w:szCs w:val="24"/>
          <w14:ligatures w14:val="none"/>
        </w:rPr>
        <w:t xml:space="preserve">Furthermore, food security is threatened </w:t>
      </w:r>
      <w:r w:rsidR="001C66E4">
        <w:rPr>
          <w:rFonts w:ascii="Times New Roman" w:eastAsia="Times New Roman" w:hAnsi="Times New Roman" w:cs="Times New Roman"/>
          <w:kern w:val="0"/>
          <w:sz w:val="24"/>
          <w:szCs w:val="24"/>
          <w14:ligatures w14:val="none"/>
        </w:rPr>
        <w:t>[4, 15]</w:t>
      </w:r>
      <w:r w:rsidRPr="00180B3C">
        <w:rPr>
          <w:rFonts w:ascii="Times New Roman" w:eastAsia="Times New Roman" w:hAnsi="Times New Roman" w:cs="Times New Roman"/>
          <w:kern w:val="0"/>
          <w:sz w:val="24"/>
          <w:szCs w:val="24"/>
          <w14:ligatures w14:val="none"/>
        </w:rPr>
        <w:t xml:space="preserve">, mass migration is increasing </w:t>
      </w:r>
      <w:r w:rsidR="001C66E4">
        <w:rPr>
          <w:rFonts w:ascii="Times New Roman" w:eastAsia="Times New Roman" w:hAnsi="Times New Roman" w:cs="Times New Roman"/>
          <w:kern w:val="0"/>
          <w:sz w:val="24"/>
          <w:szCs w:val="24"/>
          <w14:ligatures w14:val="none"/>
        </w:rPr>
        <w:t>[62, 10]</w:t>
      </w:r>
      <w:r w:rsidRPr="00180B3C">
        <w:rPr>
          <w:rFonts w:ascii="Times New Roman" w:eastAsia="Times New Roman" w:hAnsi="Times New Roman" w:cs="Times New Roman"/>
          <w:kern w:val="0"/>
          <w:sz w:val="24"/>
          <w:szCs w:val="24"/>
          <w14:ligatures w14:val="none"/>
        </w:rPr>
        <w:t xml:space="preserve">, and ocean acidification and freshwater resource loss are becoming more prominent </w:t>
      </w:r>
      <w:r w:rsidR="001C66E4">
        <w:rPr>
          <w:rFonts w:ascii="Times New Roman" w:eastAsia="Times New Roman" w:hAnsi="Times New Roman" w:cs="Times New Roman"/>
          <w:kern w:val="0"/>
          <w:sz w:val="24"/>
          <w:szCs w:val="24"/>
          <w14:ligatures w14:val="none"/>
        </w:rPr>
        <w:t>[20]</w:t>
      </w:r>
      <w:r w:rsidRPr="00180B3C">
        <w:rPr>
          <w:rFonts w:ascii="Times New Roman" w:eastAsia="Times New Roman" w:hAnsi="Times New Roman" w:cs="Times New Roman"/>
          <w:kern w:val="0"/>
          <w:sz w:val="24"/>
          <w:szCs w:val="24"/>
          <w14:ligatures w14:val="none"/>
        </w:rPr>
        <w:t xml:space="preserve">. </w:t>
      </w:r>
    </w:p>
    <w:p w14:paraId="1B959D87" w14:textId="7E718C85" w:rsidR="001C66E4" w:rsidRPr="001C66E4" w:rsidRDefault="001C66E4" w:rsidP="001C66E4">
      <w:pPr>
        <w:spacing w:after="0" w:line="240" w:lineRule="auto"/>
        <w:jc w:val="both"/>
        <w:rPr>
          <w:rFonts w:ascii="Times New Roman" w:eastAsia="Times New Roman" w:hAnsi="Times New Roman" w:cs="Times New Roman"/>
          <w:kern w:val="0"/>
          <w:sz w:val="24"/>
          <w:szCs w:val="24"/>
          <w14:ligatures w14:val="none"/>
        </w:rPr>
      </w:pPr>
      <w:r w:rsidRPr="001C66E4">
        <w:rPr>
          <w:rFonts w:ascii="Times New Roman" w:eastAsia="Times New Roman" w:hAnsi="Times New Roman" w:cs="Times New Roman"/>
          <w:kern w:val="0"/>
          <w:sz w:val="24"/>
          <w:szCs w:val="24"/>
          <w14:ligatures w14:val="none"/>
        </w:rPr>
        <w:t xml:space="preserve">Studies analyzing Earth's energy balance and GHG dynamics have significantly advanced our understanding of climate change. Trenberth et al. </w:t>
      </w:r>
      <w:r>
        <w:rPr>
          <w:rFonts w:ascii="Times New Roman" w:eastAsia="Times New Roman" w:hAnsi="Times New Roman" w:cs="Times New Roman"/>
          <w:kern w:val="0"/>
          <w:sz w:val="24"/>
          <w:szCs w:val="24"/>
          <w14:ligatures w14:val="none"/>
        </w:rPr>
        <w:t xml:space="preserve">[69]  </w:t>
      </w:r>
      <w:r w:rsidRPr="001C66E4">
        <w:rPr>
          <w:rFonts w:ascii="Times New Roman" w:eastAsia="Times New Roman" w:hAnsi="Times New Roman" w:cs="Times New Roman"/>
          <w:kern w:val="0"/>
          <w:sz w:val="24"/>
          <w:szCs w:val="24"/>
          <w14:ligatures w14:val="none"/>
        </w:rPr>
        <w:t xml:space="preserve">linked Earth's energy imbalance, caused by differences between incoming solar and outgoing terrestrial radiation, to rising GHG concentrations due to population growth. Similarly, the IPCC </w:t>
      </w:r>
      <w:r w:rsidR="003E2927">
        <w:rPr>
          <w:rFonts w:ascii="Times New Roman" w:eastAsia="Times New Roman" w:hAnsi="Times New Roman" w:cs="Times New Roman"/>
          <w:kern w:val="0"/>
          <w:sz w:val="24"/>
          <w:szCs w:val="24"/>
          <w14:ligatures w14:val="none"/>
        </w:rPr>
        <w:t>[28]</w:t>
      </w:r>
      <w:r w:rsidRPr="001C66E4">
        <w:rPr>
          <w:rFonts w:ascii="Times New Roman" w:eastAsia="Times New Roman" w:hAnsi="Times New Roman" w:cs="Times New Roman"/>
          <w:kern w:val="0"/>
          <w:sz w:val="24"/>
          <w:szCs w:val="24"/>
          <w14:ligatures w14:val="none"/>
        </w:rPr>
        <w:t xml:space="preserve"> provided a comprehensive assessment of GHG emissions, climate </w:t>
      </w:r>
      <w:r w:rsidR="003E2927">
        <w:rPr>
          <w:rFonts w:ascii="Times New Roman" w:eastAsia="Times New Roman" w:hAnsi="Times New Roman" w:cs="Times New Roman"/>
          <w:kern w:val="0"/>
          <w:sz w:val="24"/>
          <w:szCs w:val="24"/>
          <w14:ligatures w14:val="none"/>
        </w:rPr>
        <w:t>feedback</w:t>
      </w:r>
      <w:r w:rsidRPr="001C66E4">
        <w:rPr>
          <w:rFonts w:ascii="Times New Roman" w:eastAsia="Times New Roman" w:hAnsi="Times New Roman" w:cs="Times New Roman"/>
          <w:kern w:val="0"/>
          <w:sz w:val="24"/>
          <w:szCs w:val="24"/>
          <w14:ligatures w14:val="none"/>
        </w:rPr>
        <w:t>, and future climate scenarios, urging immediate emission reductions to mitigate climate impacts.</w:t>
      </w:r>
    </w:p>
    <w:p w14:paraId="061DD645" w14:textId="0A821DC3" w:rsidR="001C66E4" w:rsidRDefault="001C66E4" w:rsidP="00180B3C">
      <w:pPr>
        <w:spacing w:after="0" w:line="240" w:lineRule="auto"/>
        <w:jc w:val="both"/>
        <w:rPr>
          <w:rFonts w:ascii="Times New Roman" w:eastAsia="Times New Roman" w:hAnsi="Times New Roman" w:cs="Times New Roman"/>
          <w:kern w:val="0"/>
          <w:sz w:val="24"/>
          <w:szCs w:val="24"/>
          <w14:ligatures w14:val="none"/>
        </w:rPr>
      </w:pPr>
      <w:r w:rsidRPr="001C66E4">
        <w:rPr>
          <w:rFonts w:ascii="Times New Roman" w:eastAsia="Times New Roman" w:hAnsi="Times New Roman" w:cs="Times New Roman"/>
          <w:kern w:val="0"/>
          <w:sz w:val="24"/>
          <w:szCs w:val="24"/>
          <w14:ligatures w14:val="none"/>
        </w:rPr>
        <w:t xml:space="preserve">Saunois et al. </w:t>
      </w:r>
      <w:r w:rsidR="003E2927">
        <w:rPr>
          <w:rFonts w:ascii="Times New Roman" w:eastAsia="Times New Roman" w:hAnsi="Times New Roman" w:cs="Times New Roman"/>
          <w:kern w:val="0"/>
          <w:sz w:val="24"/>
          <w:szCs w:val="24"/>
          <w14:ligatures w14:val="none"/>
        </w:rPr>
        <w:t>[60]</w:t>
      </w:r>
      <w:r w:rsidRPr="001C66E4">
        <w:rPr>
          <w:rFonts w:ascii="Times New Roman" w:eastAsia="Times New Roman" w:hAnsi="Times New Roman" w:cs="Times New Roman"/>
          <w:kern w:val="0"/>
          <w:sz w:val="24"/>
          <w:szCs w:val="24"/>
          <w14:ligatures w14:val="none"/>
        </w:rPr>
        <w:t xml:space="preserve"> examined the global CH₄ budget, identifying agriculture, fossil fuels, and wetlands as major sources. Ravishankara et al. </w:t>
      </w:r>
      <w:r w:rsidR="003E2927">
        <w:rPr>
          <w:rFonts w:ascii="Times New Roman" w:eastAsia="Times New Roman" w:hAnsi="Times New Roman" w:cs="Times New Roman"/>
          <w:kern w:val="0"/>
          <w:sz w:val="24"/>
          <w:szCs w:val="24"/>
          <w14:ligatures w14:val="none"/>
        </w:rPr>
        <w:t>[57]</w:t>
      </w:r>
      <w:r w:rsidRPr="001C66E4">
        <w:rPr>
          <w:rFonts w:ascii="Times New Roman" w:eastAsia="Times New Roman" w:hAnsi="Times New Roman" w:cs="Times New Roman"/>
          <w:kern w:val="0"/>
          <w:sz w:val="24"/>
          <w:szCs w:val="24"/>
          <w14:ligatures w14:val="none"/>
        </w:rPr>
        <w:t xml:space="preserve"> identified nitrous oxide (N₂O) as the leading ozone-depleting substance and a contributor to climate change. Monks et al. </w:t>
      </w:r>
      <w:r w:rsidR="003E2927">
        <w:rPr>
          <w:rFonts w:ascii="Times New Roman" w:eastAsia="Times New Roman" w:hAnsi="Times New Roman" w:cs="Times New Roman"/>
          <w:kern w:val="0"/>
          <w:sz w:val="24"/>
          <w:szCs w:val="24"/>
          <w14:ligatures w14:val="none"/>
        </w:rPr>
        <w:t>[41]</w:t>
      </w:r>
      <w:r w:rsidRPr="001C66E4">
        <w:rPr>
          <w:rFonts w:ascii="Times New Roman" w:eastAsia="Times New Roman" w:hAnsi="Times New Roman" w:cs="Times New Roman"/>
          <w:kern w:val="0"/>
          <w:sz w:val="24"/>
          <w:szCs w:val="24"/>
          <w14:ligatures w14:val="none"/>
        </w:rPr>
        <w:t xml:space="preserve"> explored the chemistry and impacts of tropospheric ozone, a short-lived climate forcer and pollutant linked to fossil fuel combustion and industrial processes, emphasizing its effects on air quality and human health.</w:t>
      </w:r>
      <w:r w:rsidR="003E2927">
        <w:rPr>
          <w:rFonts w:ascii="Times New Roman" w:eastAsia="Times New Roman" w:hAnsi="Times New Roman" w:cs="Times New Roman"/>
          <w:kern w:val="0"/>
          <w:sz w:val="24"/>
          <w:szCs w:val="24"/>
          <w14:ligatures w14:val="none"/>
        </w:rPr>
        <w:t xml:space="preserve"> </w:t>
      </w:r>
      <w:r w:rsidRPr="001C66E4">
        <w:rPr>
          <w:rFonts w:ascii="Times New Roman" w:eastAsia="Times New Roman" w:hAnsi="Times New Roman" w:cs="Times New Roman"/>
          <w:kern w:val="0"/>
          <w:sz w:val="24"/>
          <w:szCs w:val="24"/>
          <w14:ligatures w14:val="none"/>
        </w:rPr>
        <w:t xml:space="preserve">Le Quéré et al. </w:t>
      </w:r>
      <w:r w:rsidR="003E2927">
        <w:rPr>
          <w:rFonts w:ascii="Times New Roman" w:eastAsia="Times New Roman" w:hAnsi="Times New Roman" w:cs="Times New Roman"/>
          <w:kern w:val="0"/>
          <w:sz w:val="24"/>
          <w:szCs w:val="24"/>
          <w14:ligatures w14:val="none"/>
        </w:rPr>
        <w:t>[35]</w:t>
      </w:r>
      <w:r w:rsidRPr="001C66E4">
        <w:rPr>
          <w:rFonts w:ascii="Times New Roman" w:eastAsia="Times New Roman" w:hAnsi="Times New Roman" w:cs="Times New Roman"/>
          <w:kern w:val="0"/>
          <w:sz w:val="24"/>
          <w:szCs w:val="24"/>
          <w14:ligatures w14:val="none"/>
        </w:rPr>
        <w:t xml:space="preserve"> highlighted increasing CO₂ emissions from fossil fuels and land-use changes, stressing the importance of carbon management to meet climate targets. Petit et al. </w:t>
      </w:r>
      <w:r w:rsidR="003E2927">
        <w:rPr>
          <w:rFonts w:ascii="Times New Roman" w:eastAsia="Times New Roman" w:hAnsi="Times New Roman" w:cs="Times New Roman"/>
          <w:kern w:val="0"/>
          <w:sz w:val="24"/>
          <w:szCs w:val="24"/>
          <w14:ligatures w14:val="none"/>
        </w:rPr>
        <w:t>[55]</w:t>
      </w:r>
      <w:r w:rsidRPr="001C66E4">
        <w:rPr>
          <w:rFonts w:ascii="Times New Roman" w:eastAsia="Times New Roman" w:hAnsi="Times New Roman" w:cs="Times New Roman"/>
          <w:kern w:val="0"/>
          <w:sz w:val="24"/>
          <w:szCs w:val="24"/>
          <w14:ligatures w14:val="none"/>
        </w:rPr>
        <w:t xml:space="preserve"> provided evidence of the historical correlation between GHG concentrations and global </w:t>
      </w:r>
      <w:r w:rsidRPr="001C66E4">
        <w:rPr>
          <w:rFonts w:ascii="Times New Roman" w:eastAsia="Times New Roman" w:hAnsi="Times New Roman" w:cs="Times New Roman"/>
          <w:kern w:val="0"/>
          <w:sz w:val="24"/>
          <w:szCs w:val="24"/>
          <w14:ligatures w14:val="none"/>
        </w:rPr>
        <w:lastRenderedPageBreak/>
        <w:t>temperatures from the Vostok ice core, underscoring the importance of long-term climate records for contextualizing current changes.</w:t>
      </w:r>
      <w:r w:rsidR="003E2927">
        <w:rPr>
          <w:rFonts w:ascii="Times New Roman" w:eastAsia="Times New Roman" w:hAnsi="Times New Roman" w:cs="Times New Roman"/>
          <w:kern w:val="0"/>
          <w:sz w:val="24"/>
          <w:szCs w:val="24"/>
          <w14:ligatures w14:val="none"/>
        </w:rPr>
        <w:t xml:space="preserve"> </w:t>
      </w:r>
      <w:r w:rsidRPr="001C66E4">
        <w:rPr>
          <w:rFonts w:ascii="Times New Roman" w:eastAsia="Times New Roman" w:hAnsi="Times New Roman" w:cs="Times New Roman"/>
          <w:kern w:val="0"/>
          <w:sz w:val="24"/>
          <w:szCs w:val="24"/>
          <w14:ligatures w14:val="none"/>
        </w:rPr>
        <w:t xml:space="preserve">Gulev et al. </w:t>
      </w:r>
      <w:r w:rsidR="003E2927">
        <w:rPr>
          <w:rFonts w:ascii="Times New Roman" w:eastAsia="Times New Roman" w:hAnsi="Times New Roman" w:cs="Times New Roman"/>
          <w:kern w:val="0"/>
          <w:sz w:val="24"/>
          <w:szCs w:val="24"/>
          <w14:ligatures w14:val="none"/>
        </w:rPr>
        <w:t>[22]</w:t>
      </w:r>
      <w:r w:rsidRPr="001C66E4">
        <w:rPr>
          <w:rFonts w:ascii="Times New Roman" w:eastAsia="Times New Roman" w:hAnsi="Times New Roman" w:cs="Times New Roman"/>
          <w:kern w:val="0"/>
          <w:sz w:val="24"/>
          <w:szCs w:val="24"/>
          <w14:ligatures w14:val="none"/>
        </w:rPr>
        <w:t xml:space="preserve"> presented large-scale indicators of human influence on the climate, such as GHG concentrations, rising global temperatures, and sea-level changes, offering policymakers critical evidence for informed climate action. Together, these studies emphasize the urgent need for targeted mitigation strategies and policy interventions to address the multifaceted challenges of climate change.</w:t>
      </w:r>
    </w:p>
    <w:p w14:paraId="5AA1229A" w14:textId="77777777" w:rsidR="001C66E4" w:rsidRDefault="001C66E4" w:rsidP="00180B3C">
      <w:pPr>
        <w:spacing w:after="0" w:line="240" w:lineRule="auto"/>
        <w:jc w:val="both"/>
        <w:rPr>
          <w:rFonts w:ascii="Times New Roman" w:eastAsia="Times New Roman" w:hAnsi="Times New Roman" w:cs="Times New Roman"/>
          <w:kern w:val="0"/>
          <w:sz w:val="24"/>
          <w:szCs w:val="24"/>
          <w14:ligatures w14:val="none"/>
        </w:rPr>
      </w:pPr>
    </w:p>
    <w:p w14:paraId="5EAEC2B2" w14:textId="2BBE2126" w:rsidR="00CA3E6C" w:rsidRPr="003E2927" w:rsidRDefault="00180B3C" w:rsidP="00CA3E6C">
      <w:pPr>
        <w:spacing w:after="0" w:line="240" w:lineRule="auto"/>
        <w:jc w:val="both"/>
        <w:rPr>
          <w:rFonts w:ascii="Times New Roman" w:eastAsia="Times New Roman" w:hAnsi="Times New Roman" w:cs="Times New Roman"/>
          <w:kern w:val="0"/>
          <w:sz w:val="24"/>
          <w:szCs w:val="24"/>
          <w14:ligatures w14:val="none"/>
        </w:rPr>
      </w:pPr>
      <w:r w:rsidRPr="00180B3C">
        <w:rPr>
          <w:rFonts w:ascii="Times New Roman" w:eastAsia="Times New Roman" w:hAnsi="Times New Roman" w:cs="Times New Roman"/>
          <w:kern w:val="0"/>
          <w:sz w:val="24"/>
          <w:szCs w:val="24"/>
          <w14:ligatures w14:val="none"/>
        </w:rPr>
        <w:t xml:space="preserve">Urban centers in Nigeria face mounting challenges due to climate variability and population growth </w:t>
      </w:r>
      <w:r w:rsidR="003E2927">
        <w:rPr>
          <w:rFonts w:ascii="Times New Roman" w:eastAsia="Times New Roman" w:hAnsi="Times New Roman" w:cs="Times New Roman"/>
          <w:kern w:val="0"/>
          <w:sz w:val="24"/>
          <w:szCs w:val="24"/>
          <w14:ligatures w14:val="none"/>
        </w:rPr>
        <w:t xml:space="preserve">[1]. </w:t>
      </w:r>
      <w:r w:rsidR="00CA3E6C" w:rsidRPr="00AC7FD1">
        <w:rPr>
          <w:rFonts w:ascii="Times New Roman" w:hAnsi="Times New Roman" w:cs="Times New Roman"/>
          <w:sz w:val="24"/>
          <w:szCs w:val="24"/>
        </w:rPr>
        <w:t>In Nigeria,</w:t>
      </w:r>
      <w:r w:rsidR="00CA3E6C">
        <w:rPr>
          <w:rFonts w:ascii="Times New Roman" w:hAnsi="Times New Roman" w:cs="Times New Roman"/>
          <w:sz w:val="24"/>
          <w:szCs w:val="24"/>
        </w:rPr>
        <w:t xml:space="preserve"> Anambra state, </w:t>
      </w:r>
      <w:r w:rsidR="00CA3E6C" w:rsidRPr="00AC7FD1">
        <w:rPr>
          <w:rFonts w:ascii="Times New Roman" w:hAnsi="Times New Roman" w:cs="Times New Roman"/>
          <w:sz w:val="24"/>
          <w:szCs w:val="24"/>
        </w:rPr>
        <w:t>Nnewi</w:t>
      </w:r>
      <w:r w:rsidR="00CA3E6C">
        <w:rPr>
          <w:rFonts w:ascii="Times New Roman" w:hAnsi="Times New Roman" w:cs="Times New Roman"/>
          <w:sz w:val="24"/>
          <w:szCs w:val="24"/>
        </w:rPr>
        <w:t>,</w:t>
      </w:r>
      <w:r w:rsidR="00CA3E6C" w:rsidRPr="00AC7FD1">
        <w:rPr>
          <w:rFonts w:ascii="Times New Roman" w:hAnsi="Times New Roman" w:cs="Times New Roman"/>
          <w:sz w:val="24"/>
          <w:szCs w:val="24"/>
        </w:rPr>
        <w:t xml:space="preserve"> and Onitsha, as key commercial hubs, are no exceptions. Rising temperatures, erratic rainfall patterns, and increasing population densities pose significant risks to infrastructure, public health, and livelihoods.  Nnewi </w:t>
      </w:r>
      <w:r w:rsidR="00CA3E6C">
        <w:rPr>
          <w:rFonts w:ascii="Times New Roman" w:hAnsi="Times New Roman" w:cs="Times New Roman"/>
          <w:sz w:val="24"/>
          <w:szCs w:val="24"/>
        </w:rPr>
        <w:t xml:space="preserve">(semi-urban) </w:t>
      </w:r>
      <w:r w:rsidR="00CA3E6C" w:rsidRPr="00AC7FD1">
        <w:rPr>
          <w:rFonts w:ascii="Times New Roman" w:hAnsi="Times New Roman" w:cs="Times New Roman"/>
          <w:sz w:val="24"/>
          <w:szCs w:val="24"/>
        </w:rPr>
        <w:t xml:space="preserve">and Onitsha </w:t>
      </w:r>
      <w:r w:rsidR="00CA3E6C">
        <w:rPr>
          <w:rFonts w:ascii="Times New Roman" w:hAnsi="Times New Roman" w:cs="Times New Roman"/>
          <w:sz w:val="24"/>
          <w:szCs w:val="24"/>
        </w:rPr>
        <w:t>(</w:t>
      </w:r>
      <w:r w:rsidR="00CA3E6C" w:rsidRPr="00AC7FD1">
        <w:rPr>
          <w:rFonts w:ascii="Times New Roman" w:hAnsi="Times New Roman" w:cs="Times New Roman"/>
          <w:sz w:val="24"/>
          <w:szCs w:val="24"/>
        </w:rPr>
        <w:t>urban</w:t>
      </w:r>
      <w:r w:rsidR="00CA3E6C">
        <w:rPr>
          <w:rFonts w:ascii="Times New Roman" w:hAnsi="Times New Roman" w:cs="Times New Roman"/>
          <w:sz w:val="24"/>
          <w:szCs w:val="24"/>
        </w:rPr>
        <w:t>)</w:t>
      </w:r>
      <w:r w:rsidR="00CA3E6C" w:rsidRPr="00AC7FD1">
        <w:rPr>
          <w:rFonts w:ascii="Times New Roman" w:hAnsi="Times New Roman" w:cs="Times New Roman"/>
          <w:sz w:val="24"/>
          <w:szCs w:val="24"/>
        </w:rPr>
        <w:t xml:space="preserve"> centers in Anambra State, serve as prime examples of regions experiencing rapid urbanization and socio-economic transformations. These changes coincide with shifts in weather patterns and population trends.</w:t>
      </w:r>
      <w:r w:rsidR="00CA3E6C">
        <w:rPr>
          <w:rFonts w:ascii="Times New Roman" w:hAnsi="Times New Roman" w:cs="Times New Roman"/>
          <w:sz w:val="24"/>
          <w:szCs w:val="24"/>
        </w:rPr>
        <w:t xml:space="preserve">  </w:t>
      </w:r>
      <w:r w:rsidR="00CA3E6C" w:rsidRPr="00AC7FD1">
        <w:rPr>
          <w:rFonts w:ascii="Times New Roman" w:hAnsi="Times New Roman" w:cs="Times New Roman"/>
          <w:sz w:val="24"/>
          <w:szCs w:val="24"/>
        </w:rPr>
        <w:t>Despite the availability of historical data, limited research has explored the interconnections between weather parameters and population dynamics in these cities.</w:t>
      </w:r>
      <w:r w:rsidR="00CA3E6C">
        <w:rPr>
          <w:rFonts w:ascii="Times New Roman" w:hAnsi="Times New Roman" w:cs="Times New Roman"/>
          <w:sz w:val="24"/>
          <w:szCs w:val="24"/>
        </w:rPr>
        <w:t xml:space="preserve"> </w:t>
      </w:r>
      <w:r w:rsidR="00CA3E6C" w:rsidRPr="00AC7FD1">
        <w:rPr>
          <w:rFonts w:ascii="Times New Roman" w:hAnsi="Times New Roman" w:cs="Times New Roman"/>
          <w:sz w:val="24"/>
          <w:szCs w:val="24"/>
        </w:rPr>
        <w:t>Addressing this gap is critical to understanding how weather influences population trends and vice versa. Insights from such research can inform strategies to mitigate adverse effects and enhance resilience in urban settings.</w:t>
      </w:r>
    </w:p>
    <w:p w14:paraId="1EF17DEC" w14:textId="1707F95E" w:rsidR="00997876" w:rsidRPr="00997876" w:rsidRDefault="00997876" w:rsidP="007F2BBA">
      <w:pPr>
        <w:spacing w:after="0" w:line="240" w:lineRule="auto"/>
        <w:jc w:val="both"/>
        <w:rPr>
          <w:rFonts w:ascii="Times New Roman" w:eastAsia="Times New Roman" w:hAnsi="Times New Roman" w:cs="Times New Roman"/>
          <w:kern w:val="0"/>
          <w:sz w:val="24"/>
          <w:szCs w:val="24"/>
          <w14:ligatures w14:val="none"/>
        </w:rPr>
      </w:pPr>
      <w:r w:rsidRPr="00AC7FD1">
        <w:rPr>
          <w:rFonts w:ascii="Times New Roman" w:hAnsi="Times New Roman" w:cs="Times New Roman"/>
          <w:sz w:val="24"/>
          <w:szCs w:val="24"/>
        </w:rPr>
        <w:t xml:space="preserve">Despite extensive research, limited studies explore the interaction between weather and population dynamics in sub-Saharan urban centers. Few have utilized long-term online data, particularly in Nnewi and Onitsha. This study addresses these gaps by focusing on </w:t>
      </w:r>
      <w:r>
        <w:rPr>
          <w:rFonts w:ascii="Times New Roman" w:hAnsi="Times New Roman" w:cs="Times New Roman"/>
          <w:sz w:val="24"/>
          <w:szCs w:val="24"/>
        </w:rPr>
        <w:t>15 years</w:t>
      </w:r>
      <w:r>
        <w:rPr>
          <w:rFonts w:ascii="Times New Roman" w:eastAsia="Times New Roman" w:hAnsi="Times New Roman" w:cs="Times New Roman"/>
          <w:kern w:val="0"/>
          <w:sz w:val="24"/>
          <w:szCs w:val="24"/>
          <w14:ligatures w14:val="none"/>
        </w:rPr>
        <w:t xml:space="preserve">. </w:t>
      </w:r>
      <w:r w:rsidR="00CA3E6C">
        <w:rPr>
          <w:rFonts w:ascii="Times New Roman" w:hAnsi="Times New Roman" w:cs="Times New Roman"/>
          <w:sz w:val="24"/>
          <w:szCs w:val="24"/>
        </w:rPr>
        <w:t>In this study</w:t>
      </w:r>
      <w:r w:rsidR="00CD61BC">
        <w:rPr>
          <w:rFonts w:ascii="Times New Roman" w:hAnsi="Times New Roman" w:cs="Times New Roman"/>
          <w:sz w:val="24"/>
          <w:szCs w:val="24"/>
        </w:rPr>
        <w:t>,</w:t>
      </w:r>
      <w:r w:rsidR="00CA3E6C">
        <w:rPr>
          <w:rFonts w:ascii="Times New Roman" w:hAnsi="Times New Roman" w:cs="Times New Roman"/>
          <w:sz w:val="24"/>
          <w:szCs w:val="24"/>
        </w:rPr>
        <w:t xml:space="preserve"> we aim t</w:t>
      </w:r>
      <w:r w:rsidR="00CA3E6C" w:rsidRPr="00AC7FD1">
        <w:rPr>
          <w:rFonts w:ascii="Times New Roman" w:hAnsi="Times New Roman" w:cs="Times New Roman"/>
          <w:sz w:val="24"/>
          <w:szCs w:val="24"/>
        </w:rPr>
        <w:t>o examine the relationship between weather parameters and</w:t>
      </w:r>
      <w:r w:rsidR="00CA3E6C">
        <w:rPr>
          <w:rFonts w:ascii="Times New Roman" w:hAnsi="Times New Roman" w:cs="Times New Roman"/>
          <w:sz w:val="24"/>
          <w:szCs w:val="24"/>
        </w:rPr>
        <w:t xml:space="preserve"> GHGs as represented by</w:t>
      </w:r>
      <w:r w:rsidR="00CA3E6C" w:rsidRPr="00AC7FD1">
        <w:rPr>
          <w:rFonts w:ascii="Times New Roman" w:hAnsi="Times New Roman" w:cs="Times New Roman"/>
          <w:sz w:val="24"/>
          <w:szCs w:val="24"/>
        </w:rPr>
        <w:t xml:space="preserve"> </w:t>
      </w:r>
      <w:r w:rsidR="00CA3E6C">
        <w:rPr>
          <w:rFonts w:ascii="Times New Roman" w:hAnsi="Times New Roman" w:cs="Times New Roman"/>
          <w:sz w:val="24"/>
          <w:szCs w:val="24"/>
        </w:rPr>
        <w:t xml:space="preserve">human </w:t>
      </w:r>
      <w:r w:rsidR="00CA3E6C" w:rsidRPr="00AC7FD1">
        <w:rPr>
          <w:rFonts w:ascii="Times New Roman" w:hAnsi="Times New Roman" w:cs="Times New Roman"/>
          <w:sz w:val="24"/>
          <w:szCs w:val="24"/>
        </w:rPr>
        <w:t>population trends in Nnewi and Onitsha.</w:t>
      </w:r>
      <w:r w:rsidR="00CA3E6C">
        <w:rPr>
          <w:rFonts w:ascii="Times New Roman" w:hAnsi="Times New Roman" w:cs="Times New Roman"/>
          <w:sz w:val="24"/>
          <w:szCs w:val="24"/>
        </w:rPr>
        <w:t xml:space="preserve"> </w:t>
      </w:r>
      <w:r w:rsidR="00CD61BC">
        <w:rPr>
          <w:rFonts w:ascii="Times New Roman" w:hAnsi="Times New Roman" w:cs="Times New Roman"/>
          <w:sz w:val="24"/>
          <w:szCs w:val="24"/>
        </w:rPr>
        <w:t>Specifically,</w:t>
      </w:r>
      <w:r w:rsidR="007F2BBA" w:rsidRPr="00131660">
        <w:rPr>
          <w:rFonts w:ascii="Times New Roman" w:hAnsi="Times New Roman" w:cs="Times New Roman"/>
          <w:sz w:val="24"/>
          <w:szCs w:val="24"/>
        </w:rPr>
        <w:t xml:space="preserve"> </w:t>
      </w:r>
      <w:r w:rsidR="007F2BBA">
        <w:rPr>
          <w:rFonts w:ascii="Times New Roman" w:hAnsi="Times New Roman" w:cs="Times New Roman"/>
          <w:sz w:val="24"/>
          <w:szCs w:val="24"/>
        </w:rPr>
        <w:t xml:space="preserve">we want to </w:t>
      </w:r>
      <w:r w:rsidR="00CA3E6C" w:rsidRPr="007F2BBA">
        <w:rPr>
          <w:rFonts w:ascii="Times New Roman" w:hAnsi="Times New Roman" w:cs="Times New Roman"/>
          <w:sz w:val="24"/>
          <w:szCs w:val="24"/>
        </w:rPr>
        <w:t>analyze changes in key weather parameters (temperature</w:t>
      </w:r>
      <w:r w:rsidR="003E2927">
        <w:rPr>
          <w:rFonts w:ascii="Times New Roman" w:hAnsi="Times New Roman" w:cs="Times New Roman"/>
          <w:sz w:val="24"/>
          <w:szCs w:val="24"/>
        </w:rPr>
        <w:t xml:space="preserve"> (T)</w:t>
      </w:r>
      <w:r w:rsidR="00CA3E6C" w:rsidRPr="007F2BBA">
        <w:rPr>
          <w:rFonts w:ascii="Times New Roman" w:hAnsi="Times New Roman" w:cs="Times New Roman"/>
          <w:sz w:val="24"/>
          <w:szCs w:val="24"/>
        </w:rPr>
        <w:t>, rainfall</w:t>
      </w:r>
      <w:r w:rsidR="003E2927">
        <w:rPr>
          <w:rFonts w:ascii="Times New Roman" w:hAnsi="Times New Roman" w:cs="Times New Roman"/>
          <w:sz w:val="24"/>
          <w:szCs w:val="24"/>
        </w:rPr>
        <w:t xml:space="preserve"> (PP)</w:t>
      </w:r>
      <w:r w:rsidR="00CA3E6C" w:rsidRPr="007F2BBA">
        <w:rPr>
          <w:rFonts w:ascii="Times New Roman" w:hAnsi="Times New Roman" w:cs="Times New Roman"/>
          <w:sz w:val="24"/>
          <w:szCs w:val="24"/>
        </w:rPr>
        <w:t>, humidity</w:t>
      </w:r>
      <w:r w:rsidR="003E2927">
        <w:rPr>
          <w:rFonts w:ascii="Times New Roman" w:hAnsi="Times New Roman" w:cs="Times New Roman"/>
          <w:sz w:val="24"/>
          <w:szCs w:val="24"/>
        </w:rPr>
        <w:t xml:space="preserve"> (H)</w:t>
      </w:r>
      <w:r w:rsidR="00CA3E6C" w:rsidRPr="007F2BBA">
        <w:rPr>
          <w:rFonts w:ascii="Times New Roman" w:hAnsi="Times New Roman" w:cs="Times New Roman"/>
          <w:sz w:val="24"/>
          <w:szCs w:val="24"/>
        </w:rPr>
        <w:t xml:space="preserve">, </w:t>
      </w:r>
      <w:r w:rsidR="00CA3E6C" w:rsidRPr="007F2BBA">
        <w:rPr>
          <w:rFonts w:ascii="Times New Roman" w:eastAsiaTheme="minorEastAsia" w:hAnsi="Times New Roman" w:cs="Times New Roman"/>
          <w:sz w:val="24"/>
          <w:szCs w:val="24"/>
        </w:rPr>
        <w:t>wind speed</w:t>
      </w:r>
      <w:r w:rsidR="003E2927">
        <w:rPr>
          <w:rFonts w:ascii="Times New Roman" w:eastAsiaTheme="minorEastAsia" w:hAnsi="Times New Roman" w:cs="Times New Roman"/>
          <w:sz w:val="24"/>
          <w:szCs w:val="24"/>
        </w:rPr>
        <w:t>, (WS)</w:t>
      </w:r>
      <w:r w:rsidR="00CA3E6C" w:rsidRPr="007F2BBA">
        <w:rPr>
          <w:rFonts w:ascii="Times New Roman" w:eastAsiaTheme="minorEastAsia" w:hAnsi="Times New Roman" w:cs="Times New Roman"/>
          <w:sz w:val="24"/>
          <w:szCs w:val="24"/>
        </w:rPr>
        <w:t xml:space="preserve"> cloud cover</w:t>
      </w:r>
      <w:r w:rsidR="003E2927">
        <w:rPr>
          <w:rFonts w:ascii="Times New Roman" w:eastAsiaTheme="minorEastAsia" w:hAnsi="Times New Roman" w:cs="Times New Roman"/>
          <w:sz w:val="24"/>
          <w:szCs w:val="24"/>
        </w:rPr>
        <w:t xml:space="preserve"> (CC)</w:t>
      </w:r>
      <w:r w:rsidR="00CA3E6C" w:rsidRPr="007F2BBA">
        <w:rPr>
          <w:rFonts w:ascii="Times New Roman" w:eastAsiaTheme="minorEastAsia" w:hAnsi="Times New Roman" w:cs="Times New Roman"/>
          <w:sz w:val="24"/>
          <w:szCs w:val="24"/>
        </w:rPr>
        <w:t>, solar radiation</w:t>
      </w:r>
      <w:r w:rsidR="003E2927">
        <w:rPr>
          <w:rFonts w:ascii="Times New Roman" w:eastAsiaTheme="minorEastAsia" w:hAnsi="Times New Roman" w:cs="Times New Roman"/>
          <w:sz w:val="24"/>
          <w:szCs w:val="24"/>
        </w:rPr>
        <w:t xml:space="preserve"> (SR)</w:t>
      </w:r>
      <w:r w:rsidR="00CA3E6C" w:rsidRPr="007F2BBA">
        <w:rPr>
          <w:rFonts w:ascii="Times New Roman" w:eastAsiaTheme="minorEastAsia" w:hAnsi="Times New Roman" w:cs="Times New Roman"/>
          <w:sz w:val="24"/>
          <w:szCs w:val="24"/>
        </w:rPr>
        <w:t>, and ultraviolet radiation index</w:t>
      </w:r>
      <w:r w:rsidR="003E2927">
        <w:rPr>
          <w:rFonts w:ascii="Times New Roman" w:eastAsiaTheme="minorEastAsia" w:hAnsi="Times New Roman" w:cs="Times New Roman"/>
          <w:sz w:val="24"/>
          <w:szCs w:val="24"/>
        </w:rPr>
        <w:t xml:space="preserve"> (UVI)</w:t>
      </w:r>
      <w:r w:rsidR="00CA3E6C" w:rsidRPr="007F2BBA">
        <w:rPr>
          <w:rFonts w:ascii="Times New Roman" w:eastAsiaTheme="minorEastAsia" w:hAnsi="Times New Roman" w:cs="Times New Roman"/>
          <w:sz w:val="24"/>
          <w:szCs w:val="24"/>
        </w:rPr>
        <w:t xml:space="preserve"> </w:t>
      </w:r>
      <w:r w:rsidR="00BC44B5">
        <w:rPr>
          <w:rFonts w:ascii="Times New Roman" w:hAnsi="Times New Roman" w:cs="Times New Roman"/>
          <w:sz w:val="24"/>
          <w:szCs w:val="24"/>
        </w:rPr>
        <w:t>with</w:t>
      </w:r>
      <w:r w:rsidR="007F2BBA">
        <w:rPr>
          <w:rFonts w:ascii="Times New Roman" w:hAnsi="Times New Roman" w:cs="Times New Roman"/>
          <w:sz w:val="24"/>
          <w:szCs w:val="24"/>
        </w:rPr>
        <w:t xml:space="preserve"> </w:t>
      </w:r>
      <w:r w:rsidR="00CA3E6C" w:rsidRPr="007F2BBA">
        <w:rPr>
          <w:rFonts w:ascii="Times New Roman" w:hAnsi="Times New Roman" w:cs="Times New Roman"/>
          <w:sz w:val="24"/>
          <w:szCs w:val="24"/>
        </w:rPr>
        <w:t>population growth patterns in Nnewi and Onitsha</w:t>
      </w:r>
      <w:r w:rsidR="007F2BBA">
        <w:rPr>
          <w:rFonts w:ascii="Times New Roman" w:hAnsi="Times New Roman" w:cs="Times New Roman"/>
          <w:sz w:val="24"/>
          <w:szCs w:val="24"/>
        </w:rPr>
        <w:t xml:space="preserve"> and </w:t>
      </w:r>
      <w:r w:rsidR="00CA3E6C" w:rsidRPr="00AC7FD1">
        <w:rPr>
          <w:rFonts w:ascii="Times New Roman" w:hAnsi="Times New Roman" w:cs="Times New Roman"/>
          <w:sz w:val="24"/>
          <w:szCs w:val="24"/>
        </w:rPr>
        <w:t xml:space="preserve">investigate the correlation between weather changes and </w:t>
      </w:r>
      <w:r w:rsidR="00CA3E6C">
        <w:rPr>
          <w:rFonts w:ascii="Times New Roman" w:hAnsi="Times New Roman" w:cs="Times New Roman"/>
          <w:sz w:val="24"/>
          <w:szCs w:val="24"/>
        </w:rPr>
        <w:t xml:space="preserve">GHG using human </w:t>
      </w:r>
      <w:r w:rsidR="00CA3E6C" w:rsidRPr="00AC7FD1">
        <w:rPr>
          <w:rFonts w:ascii="Times New Roman" w:hAnsi="Times New Roman" w:cs="Times New Roman"/>
          <w:sz w:val="24"/>
          <w:szCs w:val="24"/>
        </w:rPr>
        <w:t>population dynamics.</w:t>
      </w:r>
    </w:p>
    <w:p w14:paraId="6F025977" w14:textId="2AF8A912" w:rsidR="00655EBF" w:rsidRDefault="00655EBF" w:rsidP="00655EBF">
      <w:pPr>
        <w:spacing w:after="0" w:line="240" w:lineRule="auto"/>
        <w:jc w:val="both"/>
        <w:rPr>
          <w:rFonts w:ascii="Times New Roman" w:hAnsi="Times New Roman" w:cs="Times New Roman"/>
          <w:sz w:val="24"/>
          <w:szCs w:val="24"/>
        </w:rPr>
      </w:pPr>
      <w:r w:rsidRPr="00AC7FD1">
        <w:rPr>
          <w:rFonts w:ascii="Times New Roman" w:hAnsi="Times New Roman" w:cs="Times New Roman"/>
          <w:sz w:val="24"/>
          <w:szCs w:val="24"/>
        </w:rPr>
        <w:t xml:space="preserve">This study </w:t>
      </w:r>
      <w:r>
        <w:rPr>
          <w:rFonts w:ascii="Times New Roman" w:hAnsi="Times New Roman" w:cs="Times New Roman"/>
          <w:sz w:val="24"/>
          <w:szCs w:val="24"/>
        </w:rPr>
        <w:t xml:space="preserve">hopes to </w:t>
      </w:r>
      <w:r w:rsidRPr="00AC7FD1">
        <w:rPr>
          <w:rFonts w:ascii="Times New Roman" w:hAnsi="Times New Roman" w:cs="Times New Roman"/>
          <w:sz w:val="24"/>
          <w:szCs w:val="24"/>
        </w:rPr>
        <w:t>provide empirical evidence on the relationship between weather and population dynamics</w:t>
      </w:r>
      <w:r>
        <w:rPr>
          <w:rFonts w:ascii="Times New Roman" w:hAnsi="Times New Roman" w:cs="Times New Roman"/>
          <w:sz w:val="24"/>
          <w:szCs w:val="24"/>
        </w:rPr>
        <w:t xml:space="preserve"> which represents increased GHGs</w:t>
      </w:r>
      <w:r w:rsidRPr="00AC7FD1">
        <w:rPr>
          <w:rFonts w:ascii="Times New Roman" w:hAnsi="Times New Roman" w:cs="Times New Roman"/>
          <w:sz w:val="24"/>
          <w:szCs w:val="24"/>
        </w:rPr>
        <w:t xml:space="preserve"> in two Nigerian urban centers. </w:t>
      </w:r>
      <w:r w:rsidR="005C63DA" w:rsidRPr="005C63DA">
        <w:rPr>
          <w:rFonts w:ascii="Times New Roman" w:hAnsi="Times New Roman" w:cs="Times New Roman"/>
          <w:sz w:val="24"/>
          <w:szCs w:val="24"/>
        </w:rPr>
        <w:t>Onitsha, as the commercial hub, and Nnewi, an emerging commercial center</w:t>
      </w:r>
      <w:r w:rsidR="005C63DA">
        <w:rPr>
          <w:rFonts w:ascii="Times New Roman" w:hAnsi="Times New Roman" w:cs="Times New Roman"/>
          <w:sz w:val="24"/>
          <w:szCs w:val="24"/>
        </w:rPr>
        <w:t xml:space="preserve"> </w:t>
      </w:r>
      <w:r w:rsidR="005C63DA" w:rsidRPr="005C63DA">
        <w:rPr>
          <w:rFonts w:ascii="Times New Roman" w:hAnsi="Times New Roman" w:cs="Times New Roman"/>
          <w:sz w:val="24"/>
          <w:szCs w:val="24"/>
        </w:rPr>
        <w:t>of Anambra State, have both experienced significant growth accompanied by challenges such as increased traffic congestion, indiscriminate waste dumping, and the frequent presence of heavy-duty vehicles. These factors are clear indicators of rising GHG emissions in the region</w:t>
      </w:r>
      <w:r w:rsidR="00260149">
        <w:rPr>
          <w:rFonts w:ascii="Times New Roman" w:hAnsi="Times New Roman" w:cs="Times New Roman"/>
          <w:sz w:val="24"/>
          <w:szCs w:val="24"/>
        </w:rPr>
        <w:t xml:space="preserve"> [90-92]</w:t>
      </w:r>
      <w:r w:rsidR="005C63DA" w:rsidRPr="005C63DA">
        <w:rPr>
          <w:rFonts w:ascii="Times New Roman" w:hAnsi="Times New Roman" w:cs="Times New Roman"/>
          <w:sz w:val="24"/>
          <w:szCs w:val="24"/>
        </w:rPr>
        <w:t>.</w:t>
      </w:r>
      <w:r w:rsidR="005C63DA">
        <w:rPr>
          <w:rFonts w:ascii="Times New Roman" w:hAnsi="Times New Roman" w:cs="Times New Roman"/>
          <w:sz w:val="24"/>
          <w:szCs w:val="24"/>
        </w:rPr>
        <w:t xml:space="preserve"> So this study</w:t>
      </w:r>
      <w:r w:rsidRPr="00AC7FD1">
        <w:rPr>
          <w:rFonts w:ascii="Times New Roman" w:hAnsi="Times New Roman" w:cs="Times New Roman"/>
          <w:sz w:val="24"/>
          <w:szCs w:val="24"/>
        </w:rPr>
        <w:t xml:space="preserve"> </w:t>
      </w:r>
      <w:r w:rsidR="00997876">
        <w:rPr>
          <w:rFonts w:ascii="Times New Roman" w:hAnsi="Times New Roman" w:cs="Times New Roman"/>
          <w:sz w:val="24"/>
          <w:szCs w:val="24"/>
        </w:rPr>
        <w:t>will contribute</w:t>
      </w:r>
      <w:r w:rsidRPr="00AC7FD1">
        <w:rPr>
          <w:rFonts w:ascii="Times New Roman" w:hAnsi="Times New Roman" w:cs="Times New Roman"/>
          <w:sz w:val="24"/>
          <w:szCs w:val="24"/>
        </w:rPr>
        <w:t xml:space="preserve"> to policy development by offering insights to guide urban planning and climate adaptation efforts </w:t>
      </w:r>
      <w:r w:rsidR="00997876">
        <w:rPr>
          <w:rFonts w:ascii="Times New Roman" w:hAnsi="Times New Roman" w:cs="Times New Roman"/>
          <w:sz w:val="24"/>
          <w:szCs w:val="24"/>
        </w:rPr>
        <w:t>[49]</w:t>
      </w:r>
      <w:r w:rsidRPr="00AC7FD1">
        <w:rPr>
          <w:rFonts w:ascii="Times New Roman" w:hAnsi="Times New Roman" w:cs="Times New Roman"/>
          <w:sz w:val="24"/>
          <w:szCs w:val="24"/>
        </w:rPr>
        <w:t>. Additionally, it enriches academic discourse on climate-population interactions in sub-Saharan Africa.</w:t>
      </w:r>
    </w:p>
    <w:p w14:paraId="06365E23" w14:textId="75B921B1" w:rsidR="00997876" w:rsidRPr="00997876" w:rsidRDefault="00997876" w:rsidP="00997876">
      <w:pPr>
        <w:pStyle w:val="ListParagraph"/>
        <w:numPr>
          <w:ilvl w:val="0"/>
          <w:numId w:val="5"/>
        </w:numPr>
        <w:spacing w:after="0" w:line="240" w:lineRule="auto"/>
        <w:jc w:val="both"/>
        <w:rPr>
          <w:rFonts w:ascii="Times New Roman" w:hAnsi="Times New Roman" w:cs="Times New Roman"/>
          <w:b/>
          <w:bCs/>
          <w:sz w:val="24"/>
          <w:szCs w:val="24"/>
        </w:rPr>
      </w:pPr>
      <w:r w:rsidRPr="00997876">
        <w:rPr>
          <w:rFonts w:ascii="Times New Roman" w:hAnsi="Times New Roman" w:cs="Times New Roman"/>
          <w:b/>
          <w:bCs/>
          <w:sz w:val="24"/>
          <w:szCs w:val="24"/>
        </w:rPr>
        <w:t>Study Areas</w:t>
      </w:r>
    </w:p>
    <w:p w14:paraId="44327705" w14:textId="72C55DEB" w:rsidR="005A2FC3" w:rsidRDefault="00655EBF" w:rsidP="00655E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areas are Nnewi and Onitsha. </w:t>
      </w:r>
      <w:r w:rsidRPr="00130813">
        <w:rPr>
          <w:rFonts w:ascii="Times New Roman" w:hAnsi="Times New Roman" w:cs="Times New Roman"/>
          <w:sz w:val="24"/>
          <w:szCs w:val="24"/>
        </w:rPr>
        <w:t>Nnewi is a prominent city located in Anambra State, southeastern Nigeria. Geographically, it is positioned at approximately 6.01</w:t>
      </w:r>
      <w:r w:rsidR="00997876">
        <w:rPr>
          <w:rFonts w:ascii="Times New Roman" w:hAnsi="Times New Roman" w:cs="Times New Roman"/>
          <w:sz w:val="24"/>
          <w:szCs w:val="24"/>
        </w:rPr>
        <w:t>37</w:t>
      </w:r>
      <w:r w:rsidRPr="00130813">
        <w:rPr>
          <w:rFonts w:ascii="Times New Roman" w:hAnsi="Times New Roman" w:cs="Times New Roman"/>
          <w:sz w:val="24"/>
          <w:szCs w:val="24"/>
        </w:rPr>
        <w:t>° N latitude and 6.910</w:t>
      </w:r>
      <w:r w:rsidR="00997876">
        <w:rPr>
          <w:rFonts w:ascii="Times New Roman" w:hAnsi="Times New Roman" w:cs="Times New Roman"/>
          <w:sz w:val="24"/>
          <w:szCs w:val="24"/>
        </w:rPr>
        <w:t>2</w:t>
      </w:r>
      <w:r w:rsidRPr="00130813">
        <w:rPr>
          <w:rFonts w:ascii="Times New Roman" w:hAnsi="Times New Roman" w:cs="Times New Roman"/>
          <w:sz w:val="24"/>
          <w:szCs w:val="24"/>
        </w:rPr>
        <w:t>° E longitude, about 24 km south of Onitsha</w:t>
      </w:r>
      <w:r w:rsidR="00997876">
        <w:rPr>
          <w:rFonts w:ascii="Times New Roman" w:hAnsi="Times New Roman" w:cs="Times New Roman"/>
          <w:sz w:val="24"/>
          <w:szCs w:val="24"/>
        </w:rPr>
        <w:t xml:space="preserve"> [37, 7]</w:t>
      </w:r>
      <w:r w:rsidRPr="00130813">
        <w:rPr>
          <w:rFonts w:ascii="Times New Roman" w:hAnsi="Times New Roman" w:cs="Times New Roman"/>
          <w:sz w:val="24"/>
          <w:szCs w:val="24"/>
        </w:rPr>
        <w:t xml:space="preserve">. The city serves as a significant commercial and industrial hub in the region. As of 2024, Nnewi's population is estimated at 1,301,000, reflecting consistent growth due to its robust economy and industrial activities </w:t>
      </w:r>
      <w:r w:rsidR="00997876">
        <w:rPr>
          <w:rFonts w:ascii="Times New Roman" w:hAnsi="Times New Roman" w:cs="Times New Roman"/>
          <w:sz w:val="24"/>
          <w:szCs w:val="24"/>
        </w:rPr>
        <w:t>[37]</w:t>
      </w:r>
      <w:r w:rsidRPr="00130813">
        <w:rPr>
          <w:rFonts w:ascii="Times New Roman" w:hAnsi="Times New Roman" w:cs="Times New Roman"/>
          <w:sz w:val="24"/>
          <w:szCs w:val="24"/>
        </w:rPr>
        <w:t>.</w:t>
      </w:r>
      <w:r w:rsidR="005A2FC3">
        <w:rPr>
          <w:rFonts w:ascii="Times New Roman" w:hAnsi="Times New Roman" w:cs="Times New Roman"/>
          <w:sz w:val="24"/>
          <w:szCs w:val="24"/>
        </w:rPr>
        <w:t xml:space="preserve"> The map of Nnewi is shown in Appendix 1 [8</w:t>
      </w:r>
      <w:r w:rsidR="005C63DA">
        <w:rPr>
          <w:rFonts w:ascii="Times New Roman" w:hAnsi="Times New Roman" w:cs="Times New Roman"/>
          <w:sz w:val="24"/>
          <w:szCs w:val="24"/>
        </w:rPr>
        <w:t>5</w:t>
      </w:r>
      <w:r w:rsidR="005A2FC3">
        <w:rPr>
          <w:rFonts w:ascii="Times New Roman" w:hAnsi="Times New Roman" w:cs="Times New Roman"/>
          <w:sz w:val="24"/>
          <w:szCs w:val="24"/>
        </w:rPr>
        <w:t>].</w:t>
      </w:r>
    </w:p>
    <w:p w14:paraId="51D29277" w14:textId="388254BA" w:rsidR="00CD61BC" w:rsidRDefault="00655EBF" w:rsidP="00CD61BC">
      <w:pPr>
        <w:spacing w:after="0" w:line="240" w:lineRule="auto"/>
        <w:jc w:val="both"/>
        <w:rPr>
          <w:rFonts w:ascii="Times New Roman" w:hAnsi="Times New Roman" w:cs="Times New Roman"/>
          <w:sz w:val="24"/>
          <w:szCs w:val="24"/>
        </w:rPr>
      </w:pPr>
      <w:r w:rsidRPr="00E86461">
        <w:rPr>
          <w:rFonts w:ascii="Times New Roman" w:hAnsi="Times New Roman" w:cs="Times New Roman"/>
          <w:sz w:val="24"/>
          <w:szCs w:val="24"/>
        </w:rPr>
        <w:t>Onitsha is a prominent city situated on the eastern bank of the Niger River in Anambra State, southeastern Nigeria. Geographically, it is located at approximately 6</w:t>
      </w:r>
      <w:r w:rsidR="00997876">
        <w:rPr>
          <w:rFonts w:ascii="Times New Roman" w:hAnsi="Times New Roman" w:cs="Times New Roman"/>
          <w:sz w:val="24"/>
          <w:szCs w:val="24"/>
        </w:rPr>
        <w:t>.1329</w:t>
      </w:r>
      <w:r w:rsidRPr="00E86461">
        <w:rPr>
          <w:rFonts w:ascii="Times New Roman" w:hAnsi="Times New Roman" w:cs="Times New Roman"/>
          <w:sz w:val="24"/>
          <w:szCs w:val="24"/>
        </w:rPr>
        <w:t>° N latitude and 6.</w:t>
      </w:r>
      <w:r w:rsidR="00997876">
        <w:rPr>
          <w:rFonts w:ascii="Times New Roman" w:hAnsi="Times New Roman" w:cs="Times New Roman"/>
          <w:sz w:val="24"/>
          <w:szCs w:val="24"/>
        </w:rPr>
        <w:t>7924</w:t>
      </w:r>
      <w:r w:rsidRPr="00E86461">
        <w:rPr>
          <w:rFonts w:ascii="Times New Roman" w:hAnsi="Times New Roman" w:cs="Times New Roman"/>
          <w:sz w:val="24"/>
          <w:szCs w:val="24"/>
        </w:rPr>
        <w:t xml:space="preserve">° E longitude. As of early 2024, Onitsha has an estimated population of 1,695,000, </w:t>
      </w:r>
      <w:r w:rsidR="00997876">
        <w:rPr>
          <w:rFonts w:ascii="Times New Roman" w:hAnsi="Times New Roman" w:cs="Times New Roman"/>
          <w:sz w:val="24"/>
          <w:szCs w:val="24"/>
        </w:rPr>
        <w:t xml:space="preserve">[37, 7] </w:t>
      </w:r>
      <w:r w:rsidRPr="00E86461">
        <w:rPr>
          <w:rFonts w:ascii="Times New Roman" w:hAnsi="Times New Roman" w:cs="Times New Roman"/>
          <w:sz w:val="24"/>
          <w:szCs w:val="24"/>
        </w:rPr>
        <w:t xml:space="preserve">reflecting </w:t>
      </w:r>
      <w:r w:rsidRPr="00E86461">
        <w:rPr>
          <w:rFonts w:ascii="Times New Roman" w:hAnsi="Times New Roman" w:cs="Times New Roman"/>
          <w:sz w:val="24"/>
          <w:szCs w:val="24"/>
        </w:rPr>
        <w:lastRenderedPageBreak/>
        <w:t>a 4.44% increase from the previous year</w:t>
      </w:r>
      <w:r w:rsidR="00997876">
        <w:rPr>
          <w:rFonts w:ascii="Times New Roman" w:hAnsi="Times New Roman" w:cs="Times New Roman"/>
          <w:sz w:val="24"/>
          <w:szCs w:val="24"/>
        </w:rPr>
        <w:t>.</w:t>
      </w:r>
      <w:r w:rsidR="005A2FC3">
        <w:rPr>
          <w:rFonts w:ascii="Times New Roman" w:hAnsi="Times New Roman" w:cs="Times New Roman"/>
          <w:sz w:val="24"/>
          <w:szCs w:val="24"/>
        </w:rPr>
        <w:t xml:space="preserve"> The city is noted for its commercial activity. The map of Onitsha is shown in Appendix 2</w:t>
      </w:r>
      <w:r w:rsidR="003A4C58">
        <w:rPr>
          <w:rFonts w:ascii="Times New Roman" w:hAnsi="Times New Roman" w:cs="Times New Roman"/>
          <w:sz w:val="24"/>
          <w:szCs w:val="24"/>
        </w:rPr>
        <w:t xml:space="preserve"> [8</w:t>
      </w:r>
      <w:r w:rsidR="005C63DA">
        <w:rPr>
          <w:rFonts w:ascii="Times New Roman" w:hAnsi="Times New Roman" w:cs="Times New Roman"/>
          <w:sz w:val="24"/>
          <w:szCs w:val="24"/>
        </w:rPr>
        <w:t>7</w:t>
      </w:r>
      <w:r w:rsidR="003A4C58">
        <w:rPr>
          <w:rFonts w:ascii="Times New Roman" w:hAnsi="Times New Roman" w:cs="Times New Roman"/>
          <w:sz w:val="24"/>
          <w:szCs w:val="24"/>
        </w:rPr>
        <w:t xml:space="preserve">]. </w:t>
      </w:r>
      <w:r w:rsidR="003A4C58" w:rsidRPr="003A4C58">
        <w:rPr>
          <w:rFonts w:ascii="Times New Roman" w:hAnsi="Times New Roman" w:cs="Times New Roman"/>
          <w:sz w:val="24"/>
          <w:szCs w:val="24"/>
        </w:rPr>
        <w:t>The decreas</w:t>
      </w:r>
      <w:r w:rsidR="003A4C58">
        <w:rPr>
          <w:rFonts w:ascii="Times New Roman" w:hAnsi="Times New Roman" w:cs="Times New Roman"/>
          <w:sz w:val="24"/>
          <w:szCs w:val="24"/>
        </w:rPr>
        <w:t>ing</w:t>
      </w:r>
      <w:r w:rsidR="003A4C58" w:rsidRPr="003A4C58">
        <w:rPr>
          <w:rFonts w:ascii="Times New Roman" w:hAnsi="Times New Roman" w:cs="Times New Roman"/>
          <w:sz w:val="24"/>
          <w:szCs w:val="24"/>
        </w:rPr>
        <w:t xml:space="preserve"> tree cover in Onitsha North resulted in the annual release of 557 t</w:t>
      </w:r>
      <w:r w:rsidR="003A4C58">
        <w:rPr>
          <w:rFonts w:ascii="Times New Roman" w:hAnsi="Times New Roman" w:cs="Times New Roman"/>
          <w:sz w:val="24"/>
          <w:szCs w:val="24"/>
        </w:rPr>
        <w:t>ons</w:t>
      </w:r>
      <w:r w:rsidR="003A4C58" w:rsidRPr="003A4C58">
        <w:rPr>
          <w:rFonts w:ascii="Times New Roman" w:hAnsi="Times New Roman" w:cs="Times New Roman"/>
          <w:sz w:val="24"/>
          <w:szCs w:val="24"/>
        </w:rPr>
        <w:t xml:space="preserve"> into the atmosphere on average between 2001 and 2022</w:t>
      </w:r>
      <w:r w:rsidR="003A4C58">
        <w:rPr>
          <w:rFonts w:ascii="Times New Roman" w:hAnsi="Times New Roman" w:cs="Times New Roman"/>
          <w:sz w:val="24"/>
          <w:szCs w:val="24"/>
        </w:rPr>
        <w:t xml:space="preserve"> [8</w:t>
      </w:r>
      <w:r w:rsidR="005C63DA">
        <w:rPr>
          <w:rFonts w:ascii="Times New Roman" w:hAnsi="Times New Roman" w:cs="Times New Roman"/>
          <w:sz w:val="24"/>
          <w:szCs w:val="24"/>
        </w:rPr>
        <w:t>9</w:t>
      </w:r>
      <w:r w:rsidR="003A4C58">
        <w:rPr>
          <w:rFonts w:ascii="Times New Roman" w:hAnsi="Times New Roman" w:cs="Times New Roman"/>
          <w:sz w:val="24"/>
          <w:szCs w:val="24"/>
        </w:rPr>
        <w:t>].</w:t>
      </w:r>
    </w:p>
    <w:p w14:paraId="76BCF86F" w14:textId="77777777" w:rsidR="00294B6B" w:rsidRPr="003A4C58" w:rsidRDefault="00294B6B" w:rsidP="00CD61BC">
      <w:pPr>
        <w:spacing w:after="0" w:line="240" w:lineRule="auto"/>
        <w:jc w:val="both"/>
        <w:rPr>
          <w:rFonts w:ascii="Times New Roman" w:hAnsi="Times New Roman" w:cs="Times New Roman"/>
          <w:sz w:val="24"/>
          <w:szCs w:val="24"/>
        </w:rPr>
      </w:pPr>
    </w:p>
    <w:p w14:paraId="6F26FD8E" w14:textId="0E89AAA4" w:rsidR="00CD61BC" w:rsidRDefault="00D14CB6" w:rsidP="00294B6B">
      <w:pPr>
        <w:pStyle w:val="ListParagraph"/>
        <w:numPr>
          <w:ilvl w:val="0"/>
          <w:numId w:val="5"/>
        </w:numPr>
        <w:ind w:hanging="720"/>
        <w:jc w:val="both"/>
        <w:rPr>
          <w:rFonts w:ascii="Times New Roman" w:hAnsi="Times New Roman" w:cs="Times New Roman"/>
          <w:b/>
          <w:bCs/>
          <w:sz w:val="24"/>
          <w:szCs w:val="24"/>
        </w:rPr>
      </w:pPr>
      <w:r w:rsidRPr="00CD61BC">
        <w:rPr>
          <w:rFonts w:ascii="Times New Roman" w:hAnsi="Times New Roman" w:cs="Times New Roman"/>
          <w:b/>
          <w:bCs/>
          <w:sz w:val="24"/>
          <w:szCs w:val="24"/>
        </w:rPr>
        <w:t>DATA DESCRIPTION</w:t>
      </w:r>
      <w:r>
        <w:rPr>
          <w:rFonts w:ascii="Times New Roman" w:hAnsi="Times New Roman" w:cs="Times New Roman"/>
          <w:b/>
          <w:bCs/>
          <w:sz w:val="24"/>
          <w:szCs w:val="24"/>
        </w:rPr>
        <w:t xml:space="preserve"> AND METHOD OF ANALYSIS</w:t>
      </w:r>
    </w:p>
    <w:p w14:paraId="3CB4A7F5" w14:textId="5D23AD80" w:rsidR="005756BF" w:rsidRPr="00D14CB6" w:rsidRDefault="00D14CB6" w:rsidP="005756BF">
      <w:pPr>
        <w:spacing w:after="0" w:line="240" w:lineRule="auto"/>
        <w:jc w:val="both"/>
        <w:rPr>
          <w:rFonts w:ascii="Times New Roman" w:hAnsi="Times New Roman" w:cs="Times New Roman"/>
          <w:sz w:val="24"/>
          <w:szCs w:val="24"/>
        </w:rPr>
      </w:pPr>
      <w:r w:rsidRPr="00D14CB6">
        <w:rPr>
          <w:rFonts w:ascii="Times New Roman" w:hAnsi="Times New Roman" w:cs="Times New Roman"/>
          <w:sz w:val="24"/>
          <w:szCs w:val="24"/>
        </w:rPr>
        <w:t>Our data were obtained from online platforms, including meteorological databases and population census websites, which provide reliable data for analyses (W</w:t>
      </w:r>
      <w:r w:rsidR="00BC44B5">
        <w:rPr>
          <w:rFonts w:ascii="Times New Roman" w:hAnsi="Times New Roman" w:cs="Times New Roman"/>
          <w:sz w:val="24"/>
          <w:szCs w:val="24"/>
        </w:rPr>
        <w:t xml:space="preserve">orld </w:t>
      </w:r>
      <w:r w:rsidRPr="00D14CB6">
        <w:rPr>
          <w:rFonts w:ascii="Times New Roman" w:hAnsi="Times New Roman" w:cs="Times New Roman"/>
          <w:sz w:val="24"/>
          <w:szCs w:val="24"/>
        </w:rPr>
        <w:t>M</w:t>
      </w:r>
      <w:r w:rsidR="00BC44B5">
        <w:rPr>
          <w:rFonts w:ascii="Times New Roman" w:hAnsi="Times New Roman" w:cs="Times New Roman"/>
          <w:sz w:val="24"/>
          <w:szCs w:val="24"/>
        </w:rPr>
        <w:t xml:space="preserve">etrological </w:t>
      </w:r>
      <w:r w:rsidRPr="00D14CB6">
        <w:rPr>
          <w:rFonts w:ascii="Times New Roman" w:hAnsi="Times New Roman" w:cs="Times New Roman"/>
          <w:sz w:val="24"/>
          <w:szCs w:val="24"/>
        </w:rPr>
        <w:t>O</w:t>
      </w:r>
      <w:r w:rsidR="00BC44B5">
        <w:rPr>
          <w:rFonts w:ascii="Times New Roman" w:hAnsi="Times New Roman" w:cs="Times New Roman"/>
          <w:sz w:val="24"/>
          <w:szCs w:val="24"/>
        </w:rPr>
        <w:t>rganization (WMO</w:t>
      </w:r>
      <w:r w:rsidR="00294B6B">
        <w:rPr>
          <w:rFonts w:ascii="Times New Roman" w:hAnsi="Times New Roman" w:cs="Times New Roman"/>
          <w:sz w:val="24"/>
          <w:szCs w:val="24"/>
        </w:rPr>
        <w:t xml:space="preserve"> [81]</w:t>
      </w:r>
      <w:r w:rsidRPr="00D14CB6">
        <w:rPr>
          <w:rFonts w:ascii="Times New Roman" w:hAnsi="Times New Roman" w:cs="Times New Roman"/>
          <w:sz w:val="24"/>
          <w:szCs w:val="24"/>
        </w:rPr>
        <w:t xml:space="preserve">). </w:t>
      </w:r>
      <w:r w:rsidR="005756BF">
        <w:rPr>
          <w:rFonts w:ascii="Times New Roman" w:hAnsi="Times New Roman" w:cs="Times New Roman"/>
          <w:sz w:val="24"/>
          <w:szCs w:val="24"/>
        </w:rPr>
        <w:t>The Onitsha and Nnewi population data were obtained from [38, 83]</w:t>
      </w:r>
      <w:r w:rsidR="005756BF" w:rsidRPr="00F40BB2">
        <w:rPr>
          <w:rFonts w:ascii="Times New Roman" w:hAnsi="Times New Roman" w:cs="Times New Roman"/>
          <w:sz w:val="24"/>
          <w:szCs w:val="24"/>
        </w:rPr>
        <w:t>.</w:t>
      </w:r>
      <w:r w:rsidR="005756BF">
        <w:rPr>
          <w:rFonts w:ascii="Times New Roman" w:hAnsi="Times New Roman" w:cs="Times New Roman"/>
          <w:sz w:val="24"/>
          <w:szCs w:val="24"/>
        </w:rPr>
        <w:t xml:space="preserve"> We used an online population estimate since the National Population Commission website (</w:t>
      </w:r>
      <w:hyperlink r:id="rId7" w:history="1">
        <w:r w:rsidR="005756BF" w:rsidRPr="00152A00">
          <w:rPr>
            <w:rStyle w:val="Hyperlink"/>
            <w:rFonts w:ascii="Times New Roman" w:hAnsi="Times New Roman" w:cs="Times New Roman"/>
            <w:sz w:val="24"/>
            <w:szCs w:val="24"/>
          </w:rPr>
          <w:t>https://nationalpopulation.gov.ng/</w:t>
        </w:r>
      </w:hyperlink>
      <w:r w:rsidR="00FD6725">
        <w:rPr>
          <w:rStyle w:val="Hyperlink"/>
          <w:rFonts w:ascii="Times New Roman" w:hAnsi="Times New Roman" w:cs="Times New Roman"/>
          <w:sz w:val="24"/>
          <w:szCs w:val="24"/>
        </w:rPr>
        <w:t xml:space="preserve"> </w:t>
      </w:r>
      <w:r w:rsidR="00FD6725" w:rsidRPr="00FD6725">
        <w:rPr>
          <w:rStyle w:val="Hyperlink"/>
          <w:rFonts w:ascii="Times New Roman" w:hAnsi="Times New Roman" w:cs="Times New Roman"/>
          <w:color w:val="auto"/>
          <w:sz w:val="24"/>
          <w:szCs w:val="24"/>
          <w:u w:val="none"/>
        </w:rPr>
        <w:t>[23]</w:t>
      </w:r>
      <w:r w:rsidR="005756BF">
        <w:rPr>
          <w:rFonts w:ascii="Times New Roman" w:hAnsi="Times New Roman" w:cs="Times New Roman"/>
          <w:sz w:val="24"/>
          <w:szCs w:val="24"/>
        </w:rPr>
        <w:t xml:space="preserve">) contains no information on the population from 2010 – 2024 which is the study period. The estimated yearly population data and the yearly growth rate are shown in Table 1. The </w:t>
      </w:r>
      <w:r w:rsidR="005756BF" w:rsidRPr="00D567B6">
        <w:rPr>
          <w:rFonts w:ascii="Times New Roman" w:hAnsi="Times New Roman" w:cs="Times New Roman"/>
          <w:sz w:val="24"/>
          <w:szCs w:val="24"/>
        </w:rPr>
        <w:t>meteorological</w:t>
      </w:r>
      <w:r w:rsidR="005756BF">
        <w:rPr>
          <w:rFonts w:ascii="Times New Roman" w:hAnsi="Times New Roman" w:cs="Times New Roman"/>
          <w:sz w:val="24"/>
          <w:szCs w:val="24"/>
        </w:rPr>
        <w:t xml:space="preserve"> data for the cities were obtained from [</w:t>
      </w:r>
      <w:r w:rsidR="00FD6725">
        <w:rPr>
          <w:rFonts w:ascii="Times New Roman" w:hAnsi="Times New Roman" w:cs="Times New Roman"/>
          <w:sz w:val="24"/>
          <w:szCs w:val="24"/>
        </w:rPr>
        <w:t>24</w:t>
      </w:r>
      <w:r w:rsidR="005756BF">
        <w:rPr>
          <w:rFonts w:ascii="Times New Roman" w:hAnsi="Times New Roman" w:cs="Times New Roman"/>
          <w:sz w:val="24"/>
          <w:szCs w:val="24"/>
        </w:rPr>
        <w:t xml:space="preserve">]. The online data was used because NiMET charges were beyond our reach.  The </w:t>
      </w:r>
      <w:r w:rsidR="005756BF" w:rsidRPr="00D567B6">
        <w:rPr>
          <w:rFonts w:ascii="Times New Roman" w:hAnsi="Times New Roman" w:cs="Times New Roman"/>
          <w:sz w:val="24"/>
          <w:szCs w:val="24"/>
        </w:rPr>
        <w:t>meteorological</w:t>
      </w:r>
      <w:r w:rsidR="005756BF">
        <w:rPr>
          <w:rFonts w:ascii="Times New Roman" w:hAnsi="Times New Roman" w:cs="Times New Roman"/>
          <w:sz w:val="24"/>
          <w:szCs w:val="24"/>
        </w:rPr>
        <w:t xml:space="preserve"> parameters selected from the website include the daily average temperature (T in </w:t>
      </w:r>
      <m:oMath>
        <m:r>
          <w:rPr>
            <w:rFonts w:ascii="Cambria Math" w:hAnsi="Cambria Math" w:cs="Times New Roman"/>
            <w:sz w:val="24"/>
            <w:szCs w:val="24"/>
          </w:rPr>
          <m:t>℃</m:t>
        </m:r>
      </m:oMath>
      <w:r w:rsidR="005756BF">
        <w:rPr>
          <w:rFonts w:ascii="Times New Roman" w:eastAsiaTheme="minorEastAsia" w:hAnsi="Times New Roman" w:cs="Times New Roman"/>
          <w:sz w:val="24"/>
          <w:szCs w:val="24"/>
        </w:rPr>
        <w:t xml:space="preserve">), daily average dew point (DP in </w:t>
      </w:r>
      <m:oMath>
        <m:r>
          <w:rPr>
            <w:rFonts w:ascii="Cambria Math" w:hAnsi="Cambria Math" w:cs="Times New Roman"/>
            <w:sz w:val="24"/>
            <w:szCs w:val="24"/>
          </w:rPr>
          <m:t>℃</m:t>
        </m:r>
      </m:oMath>
      <w:r w:rsidR="005756BF">
        <w:rPr>
          <w:rFonts w:ascii="Times New Roman" w:eastAsiaTheme="minorEastAsia" w:hAnsi="Times New Roman" w:cs="Times New Roman"/>
          <w:sz w:val="24"/>
          <w:szCs w:val="24"/>
        </w:rPr>
        <w:t>), daily average humidity (H in %), daily average precipitation (PP in mm), daily average wind speed (WS in km/h), daily average cloud cover (CC in %), daily average solar radiation (SR in W/m</w:t>
      </w:r>
      <w:r w:rsidR="005756BF" w:rsidRPr="00E1601E">
        <w:rPr>
          <w:rFonts w:ascii="Times New Roman" w:eastAsiaTheme="minorEastAsia" w:hAnsi="Times New Roman" w:cs="Times New Roman"/>
          <w:sz w:val="24"/>
          <w:szCs w:val="24"/>
          <w:vertAlign w:val="superscript"/>
        </w:rPr>
        <w:t>2</w:t>
      </w:r>
      <w:r w:rsidR="005756BF">
        <w:rPr>
          <w:rFonts w:ascii="Times New Roman" w:eastAsiaTheme="minorEastAsia" w:hAnsi="Times New Roman" w:cs="Times New Roman"/>
          <w:sz w:val="24"/>
          <w:szCs w:val="24"/>
        </w:rPr>
        <w:t xml:space="preserve">), and daily average ultraviolet radiation index (UVI). The UVI </w:t>
      </w:r>
      <w:r w:rsidR="005756BF" w:rsidRPr="00E1601E">
        <w:rPr>
          <w:rFonts w:ascii="Times New Roman" w:eastAsia="Times New Roman" w:hAnsi="Times New Roman" w:cs="Times New Roman"/>
          <w:color w:val="333333"/>
          <w:kern w:val="0"/>
          <w:sz w:val="24"/>
          <w:szCs w:val="24"/>
          <w14:ligatures w14:val="none"/>
        </w:rPr>
        <w:t>a value between 0 and 10 indicates the UV exposure level for that day. 10 represents a high level of exposure, and 0 means no exposure. The UVI is calculated based on the amount of short-wave solar radiation, which is a level of cloudiness, type of cloud, time of day, time of year, and location altitude. Daily values represent the maximum value of the hourly values.</w:t>
      </w:r>
      <w:r w:rsidR="005756BF">
        <w:rPr>
          <w:rFonts w:ascii="Times New Roman" w:eastAsiaTheme="minorEastAsia" w:hAnsi="Times New Roman" w:cs="Times New Roman"/>
          <w:sz w:val="24"/>
          <w:szCs w:val="24"/>
        </w:rPr>
        <w:t xml:space="preserve"> </w:t>
      </w:r>
    </w:p>
    <w:p w14:paraId="5D7C6FF3" w14:textId="7CD0CC43" w:rsidR="00D14CB6" w:rsidRPr="001D1EED" w:rsidRDefault="005756BF" w:rsidP="00D14CB6">
      <w:pPr>
        <w:spacing w:after="0" w:line="240" w:lineRule="auto"/>
        <w:jc w:val="both"/>
        <w:rPr>
          <w:rFonts w:ascii="Times New Roman" w:eastAsiaTheme="minorEastAsia" w:hAnsi="Times New Roman" w:cs="Times New Roman"/>
          <w:sz w:val="24"/>
          <w:szCs w:val="24"/>
        </w:rPr>
      </w:pPr>
      <w:r w:rsidRPr="00294B6B">
        <w:rPr>
          <w:rFonts w:ascii="Times New Roman" w:hAnsi="Times New Roman" w:cs="Times New Roman"/>
          <w:sz w:val="24"/>
          <w:szCs w:val="24"/>
        </w:rPr>
        <w:t>Online weather and population data spanning from 2010 to 2024 present a unique opportunity to analyze how weather parameters and GHGs as represented by human population trends interact</w:t>
      </w:r>
      <w:r w:rsidR="001D1EED">
        <w:rPr>
          <w:rFonts w:ascii="Times New Roman" w:hAnsi="Times New Roman" w:cs="Times New Roman"/>
          <w:sz w:val="24"/>
          <w:szCs w:val="24"/>
        </w:rPr>
        <w:t>. This</w:t>
      </w:r>
      <w:r w:rsidRPr="00294B6B">
        <w:rPr>
          <w:rFonts w:ascii="Times New Roman" w:hAnsi="Times New Roman" w:cs="Times New Roman"/>
          <w:sz w:val="24"/>
          <w:szCs w:val="24"/>
        </w:rPr>
        <w:t xml:space="preserve"> is vital for policy-making in urban planning, public health, and climate adaptation strategies. </w:t>
      </w:r>
      <w:r w:rsidR="001D1EED">
        <w:rPr>
          <w:rFonts w:ascii="Times New Roman" w:eastAsiaTheme="minorEastAsia" w:hAnsi="Times New Roman" w:cs="Times New Roman"/>
          <w:sz w:val="24"/>
          <w:szCs w:val="24"/>
        </w:rPr>
        <w:t xml:space="preserve">The yearly average </w:t>
      </w:r>
      <w:r w:rsidR="001D1EED" w:rsidRPr="00D567B6">
        <w:rPr>
          <w:rFonts w:ascii="Times New Roman" w:hAnsi="Times New Roman" w:cs="Times New Roman"/>
          <w:sz w:val="24"/>
          <w:szCs w:val="24"/>
        </w:rPr>
        <w:t>meteorological</w:t>
      </w:r>
      <w:r w:rsidR="001D1EED">
        <w:rPr>
          <w:rFonts w:ascii="Times New Roman" w:eastAsiaTheme="minorEastAsia" w:hAnsi="Times New Roman" w:cs="Times New Roman"/>
          <w:sz w:val="24"/>
          <w:szCs w:val="24"/>
        </w:rPr>
        <w:t xml:space="preserve"> parameters were calculated from the daily average </w:t>
      </w:r>
      <w:r w:rsidR="001D1EED" w:rsidRPr="00D567B6">
        <w:rPr>
          <w:rFonts w:ascii="Times New Roman" w:hAnsi="Times New Roman" w:cs="Times New Roman"/>
          <w:sz w:val="24"/>
          <w:szCs w:val="24"/>
        </w:rPr>
        <w:t>meteorological</w:t>
      </w:r>
      <w:r w:rsidR="001D1EED">
        <w:rPr>
          <w:rFonts w:ascii="Times New Roman" w:eastAsiaTheme="minorEastAsia" w:hAnsi="Times New Roman" w:cs="Times New Roman"/>
          <w:sz w:val="24"/>
          <w:szCs w:val="24"/>
        </w:rPr>
        <w:t xml:space="preserve"> parameters. The yearly mean values are shown in Table 2 (for Nnewi and Onitsha). </w:t>
      </w:r>
      <w:r w:rsidR="00D14CB6" w:rsidRPr="00D14CB6">
        <w:rPr>
          <w:rFonts w:ascii="Times New Roman" w:hAnsi="Times New Roman" w:cs="Times New Roman"/>
          <w:sz w:val="24"/>
          <w:szCs w:val="24"/>
        </w:rPr>
        <w:t xml:space="preserve">We employed common methods of analysis including time series analysis, correlation analysis, and simple linear regression models and plots </w:t>
      </w:r>
      <w:r w:rsidR="001D1EED">
        <w:rPr>
          <w:rFonts w:ascii="Times New Roman" w:hAnsi="Times New Roman" w:cs="Times New Roman"/>
          <w:sz w:val="24"/>
          <w:szCs w:val="24"/>
        </w:rPr>
        <w:t>[65]</w:t>
      </w:r>
      <w:r w:rsidR="00D14CB6" w:rsidRPr="00D14CB6">
        <w:rPr>
          <w:rFonts w:ascii="Times New Roman" w:hAnsi="Times New Roman" w:cs="Times New Roman"/>
          <w:sz w:val="24"/>
          <w:szCs w:val="24"/>
        </w:rPr>
        <w:t>.</w:t>
      </w:r>
    </w:p>
    <w:p w14:paraId="4CF41610" w14:textId="255C237E" w:rsidR="00CD61BC" w:rsidRPr="00F4123C" w:rsidRDefault="00CD61BC" w:rsidP="00D14CB6">
      <w:pPr>
        <w:tabs>
          <w:tab w:val="left" w:pos="4860"/>
        </w:tabs>
        <w:spacing w:after="0" w:line="240" w:lineRule="auto"/>
        <w:jc w:val="both"/>
        <w:rPr>
          <w:rFonts w:asciiTheme="majorBidi" w:eastAsiaTheme="majorEastAsia" w:hAnsiTheme="majorBidi" w:cstheme="majorBidi"/>
          <w:b/>
          <w:bCs/>
          <w:kern w:val="0"/>
          <w:sz w:val="24"/>
          <w:szCs w:val="24"/>
          <w14:ligatures w14:val="none"/>
        </w:rPr>
      </w:pPr>
      <w:r w:rsidRPr="00F4123C">
        <w:rPr>
          <w:rFonts w:asciiTheme="majorBidi" w:eastAsiaTheme="majorEastAsia" w:hAnsiTheme="majorBidi" w:cstheme="majorBidi"/>
          <w:b/>
          <w:bCs/>
          <w:kern w:val="0"/>
          <w:sz w:val="24"/>
          <w:szCs w:val="24"/>
          <w14:ligatures w14:val="none"/>
        </w:rPr>
        <w:t>Time Series Analysis</w:t>
      </w:r>
    </w:p>
    <w:p w14:paraId="4AFF4A17" w14:textId="77777777" w:rsidR="00CD61BC" w:rsidRPr="00937570"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sidRPr="00A250A2">
        <w:rPr>
          <w:rFonts w:asciiTheme="majorBidi" w:eastAsiaTheme="majorEastAsia" w:hAnsiTheme="majorBidi" w:cstheme="majorBidi"/>
          <w:kern w:val="0"/>
          <w:sz w:val="24"/>
          <w:szCs w:val="24"/>
          <w14:ligatures w14:val="none"/>
        </w:rPr>
        <w:t>Time series analysis is a specific way of analyzing a sequence of data points collected over time. In time series analysis, analysts record data points at consistent intervals over a set period rather than just recording the data points intermittently or randomly. Time series analysis typically requires a large number of data points to ensure consistency and reliability. An extensive data set ensures you have a representative sample size and that analysis can cut through noisy data.</w:t>
      </w:r>
    </w:p>
    <w:p w14:paraId="3ECA2BDF" w14:textId="4C1DB4E7" w:rsidR="00CD61BC" w:rsidRPr="00F4123C" w:rsidRDefault="00CD61BC" w:rsidP="00D14CB6">
      <w:pPr>
        <w:tabs>
          <w:tab w:val="left" w:pos="4860"/>
        </w:tabs>
        <w:spacing w:after="0" w:line="240" w:lineRule="auto"/>
        <w:jc w:val="both"/>
        <w:rPr>
          <w:rFonts w:asciiTheme="majorBidi" w:eastAsiaTheme="majorEastAsia" w:hAnsiTheme="majorBidi" w:cstheme="majorBidi"/>
          <w:b/>
          <w:bCs/>
          <w:kern w:val="0"/>
          <w:sz w:val="24"/>
          <w:szCs w:val="24"/>
          <w14:ligatures w14:val="none"/>
        </w:rPr>
      </w:pPr>
      <w:r w:rsidRPr="00F4123C">
        <w:rPr>
          <w:rFonts w:asciiTheme="majorBidi" w:eastAsiaTheme="majorEastAsia" w:hAnsiTheme="majorBidi" w:cstheme="majorBidi"/>
          <w:b/>
          <w:bCs/>
          <w:kern w:val="0"/>
          <w:sz w:val="24"/>
          <w:szCs w:val="24"/>
          <w14:ligatures w14:val="none"/>
        </w:rPr>
        <w:t>Correlation And Regression Analysis</w:t>
      </w:r>
    </w:p>
    <w:p w14:paraId="6D01E9D8" w14:textId="4EDF2DEA" w:rsidR="00CD61BC"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sidRPr="00A250A2">
        <w:rPr>
          <w:rFonts w:asciiTheme="majorBidi" w:eastAsiaTheme="majorEastAsia" w:hAnsiTheme="majorBidi" w:cstheme="majorBidi"/>
          <w:kern w:val="0"/>
          <w:sz w:val="24"/>
          <w:szCs w:val="24"/>
          <w14:ligatures w14:val="none"/>
        </w:rPr>
        <w:t xml:space="preserve">Correlation quantifies the extent of </w:t>
      </w:r>
      <w:r>
        <w:rPr>
          <w:rFonts w:asciiTheme="majorBidi" w:eastAsiaTheme="majorEastAsia" w:hAnsiTheme="majorBidi" w:cstheme="majorBidi"/>
          <w:kern w:val="0"/>
          <w:sz w:val="24"/>
          <w:szCs w:val="24"/>
          <w14:ligatures w14:val="none"/>
        </w:rPr>
        <w:t xml:space="preserve">a </w:t>
      </w:r>
      <w:r w:rsidRPr="00A250A2">
        <w:rPr>
          <w:rFonts w:asciiTheme="majorBidi" w:eastAsiaTheme="majorEastAsia" w:hAnsiTheme="majorBidi" w:cstheme="majorBidi"/>
          <w:kern w:val="0"/>
          <w:sz w:val="24"/>
          <w:szCs w:val="24"/>
          <w14:ligatures w14:val="none"/>
        </w:rPr>
        <w:t xml:space="preserve">linear relationship between two or more variables, indicating how changes in one variable are related to changes in another, either in the same or opposite direction. The correlation coefficient, denoted as </w:t>
      </w:r>
      <m:oMath>
        <m:r>
          <w:rPr>
            <w:rFonts w:ascii="Cambria Math" w:eastAsiaTheme="majorEastAsia" w:hAnsi="Cambria Math" w:cstheme="majorBidi"/>
            <w:kern w:val="0"/>
            <w:sz w:val="24"/>
            <w:szCs w:val="24"/>
            <w14:ligatures w14:val="none"/>
          </w:rPr>
          <m:t>r</m:t>
        </m:r>
      </m:oMath>
      <w:r w:rsidRPr="00A250A2">
        <w:rPr>
          <w:rFonts w:asciiTheme="majorBidi" w:eastAsiaTheme="majorEastAsia" w:hAnsiTheme="majorBidi" w:cstheme="majorBidi"/>
          <w:kern w:val="0"/>
          <w:sz w:val="24"/>
          <w:szCs w:val="24"/>
          <w14:ligatures w14:val="none"/>
        </w:rPr>
        <w:t xml:space="preserve">, represents the strength of this linear relationship between two variables, </w:t>
      </w:r>
      <m:oMath>
        <m:r>
          <w:rPr>
            <w:rFonts w:ascii="Cambria Math" w:eastAsiaTheme="majorEastAsia" w:hAnsi="Cambria Math" w:cstheme="majorBidi"/>
            <w:kern w:val="0"/>
            <w:sz w:val="24"/>
            <w:szCs w:val="24"/>
            <w14:ligatures w14:val="none"/>
          </w:rPr>
          <m:t>X</m:t>
        </m:r>
      </m:oMath>
      <w:r>
        <w:rPr>
          <w:rFonts w:asciiTheme="majorBidi" w:eastAsiaTheme="majorEastAsia" w:hAnsiTheme="majorBidi" w:cstheme="majorBidi"/>
          <w:kern w:val="0"/>
          <w:sz w:val="24"/>
          <w:szCs w:val="24"/>
          <w14:ligatures w14:val="none"/>
        </w:rPr>
        <w:t xml:space="preserve"> </w:t>
      </w:r>
      <w:r w:rsidRPr="00A250A2">
        <w:rPr>
          <w:rFonts w:asciiTheme="majorBidi" w:eastAsiaTheme="majorEastAsia" w:hAnsiTheme="majorBidi" w:cstheme="majorBidi"/>
          <w:kern w:val="0"/>
          <w:sz w:val="24"/>
          <w:szCs w:val="24"/>
          <w14:ligatures w14:val="none"/>
        </w:rPr>
        <w:t>and</w:t>
      </w:r>
      <w:r>
        <w:rPr>
          <w:rFonts w:asciiTheme="majorBidi" w:eastAsiaTheme="majorEastAsia" w:hAnsiTheme="majorBidi" w:cstheme="majorBidi"/>
          <w:kern w:val="0"/>
          <w:sz w:val="24"/>
          <w:szCs w:val="24"/>
          <w14:ligatures w14:val="none"/>
        </w:rPr>
        <w:t xml:space="preserve"> </w:t>
      </w:r>
      <w:r w:rsidRPr="00A250A2">
        <w:rPr>
          <w:rFonts w:asciiTheme="majorBidi" w:eastAsiaTheme="majorEastAsia" w:hAnsiTheme="majorBidi" w:cstheme="majorBidi"/>
          <w:kern w:val="0"/>
          <w:sz w:val="24"/>
          <w:szCs w:val="24"/>
          <w14:ligatures w14:val="none"/>
        </w:rPr>
        <w:t>Y. The degree of this correlation is measured using the</w:t>
      </w:r>
      <w:r>
        <w:rPr>
          <w:rFonts w:asciiTheme="majorBidi" w:eastAsiaTheme="majorEastAsia" w:hAnsiTheme="majorBidi" w:cstheme="majorBidi"/>
          <w:kern w:val="0"/>
          <w:sz w:val="24"/>
          <w:szCs w:val="24"/>
          <w14:ligatures w14:val="none"/>
        </w:rPr>
        <w:t xml:space="preserve"> </w:t>
      </w:r>
      <w:r w:rsidRPr="00A250A2">
        <w:rPr>
          <w:rFonts w:asciiTheme="majorBidi" w:eastAsiaTheme="majorEastAsia" w:hAnsiTheme="majorBidi" w:cstheme="majorBidi"/>
          <w:kern w:val="0"/>
          <w:sz w:val="24"/>
          <w:szCs w:val="24"/>
          <w14:ligatures w14:val="none"/>
        </w:rPr>
        <w:t xml:space="preserve">product-moment correlation coefficient, as introduced by </w:t>
      </w:r>
      <w:r w:rsidR="001D1EED">
        <w:rPr>
          <w:rFonts w:asciiTheme="majorBidi" w:eastAsiaTheme="majorEastAsia" w:hAnsiTheme="majorBidi" w:cstheme="majorBidi"/>
          <w:kern w:val="0"/>
          <w:sz w:val="24"/>
          <w:szCs w:val="24"/>
          <w14:ligatures w14:val="none"/>
        </w:rPr>
        <w:t>[16]</w:t>
      </w:r>
      <w:r w:rsidRPr="00A250A2">
        <w:rPr>
          <w:rFonts w:asciiTheme="majorBidi" w:eastAsiaTheme="majorEastAsia" w:hAnsiTheme="majorBidi" w:cstheme="majorBidi"/>
          <w:kern w:val="0"/>
          <w:sz w:val="24"/>
          <w:szCs w:val="24"/>
          <w14:ligatures w14:val="none"/>
        </w:rPr>
        <w:t xml:space="preserve">, it is given as </w:t>
      </w:r>
    </w:p>
    <w:p w14:paraId="7D74E985" w14:textId="6E2493F6" w:rsidR="00CD61BC" w:rsidRPr="00A250A2"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Pr>
          <w:rFonts w:asciiTheme="majorBidi" w:eastAsiaTheme="majorEastAsia" w:hAnsiTheme="majorBidi" w:cstheme="majorBidi"/>
          <w:kern w:val="0"/>
          <w:sz w:val="24"/>
          <w:szCs w:val="24"/>
          <w14:ligatures w14:val="none"/>
        </w:rPr>
        <w:t xml:space="preserve">  </w:t>
      </w:r>
      <m:oMath>
        <m:r>
          <w:rPr>
            <w:rFonts w:ascii="Cambria Math" w:eastAsiaTheme="majorEastAsia" w:hAnsi="Cambria Math" w:cstheme="majorBidi"/>
            <w:kern w:val="0"/>
            <w:sz w:val="24"/>
            <w:szCs w:val="24"/>
            <w14:ligatures w14:val="none"/>
          </w:rPr>
          <m:t>r=</m:t>
        </m:r>
        <m:f>
          <m:fPr>
            <m:ctrlPr>
              <w:rPr>
                <w:rFonts w:ascii="Cambria Math" w:eastAsiaTheme="majorEastAsia" w:hAnsi="Cambria Math" w:cstheme="majorBidi"/>
                <w:i/>
                <w:kern w:val="0"/>
                <w:sz w:val="24"/>
                <w:szCs w:val="24"/>
                <w14:ligatures w14:val="none"/>
              </w:rPr>
            </m:ctrlPr>
          </m:fPr>
          <m:num>
            <m:nary>
              <m:naryPr>
                <m:chr m:val="∑"/>
                <m:limLoc m:val="undOvr"/>
                <m:ctrlPr>
                  <w:rPr>
                    <w:rFonts w:ascii="Cambria Math" w:eastAsiaTheme="majorEastAsia" w:hAnsi="Cambria Math" w:cstheme="majorBidi"/>
                    <w:i/>
                    <w:kern w:val="0"/>
                    <w:sz w:val="24"/>
                    <w:szCs w:val="24"/>
                    <w14:ligatures w14:val="none"/>
                  </w:rPr>
                </m:ctrlPr>
              </m:naryPr>
              <m:sub>
                <m:r>
                  <w:rPr>
                    <w:rFonts w:ascii="Cambria Math" w:eastAsiaTheme="majorEastAsia" w:hAnsi="Cambria Math" w:cstheme="majorBidi"/>
                    <w:kern w:val="0"/>
                    <w:sz w:val="24"/>
                    <w:szCs w:val="24"/>
                    <w14:ligatures w14:val="none"/>
                  </w:rPr>
                  <m:t>i=1</m:t>
                </m:r>
              </m:sub>
              <m:sup>
                <m:r>
                  <w:rPr>
                    <w:rFonts w:ascii="Cambria Math" w:eastAsiaTheme="majorEastAsia" w:hAnsi="Cambria Math" w:cstheme="majorBidi"/>
                    <w:kern w:val="0"/>
                    <w:sz w:val="24"/>
                    <w:szCs w:val="24"/>
                    <w14:ligatures w14:val="none"/>
                  </w:rPr>
                  <m:t>n</m:t>
                </m:r>
              </m:sup>
              <m:e>
                <m:d>
                  <m:dPr>
                    <m:ctrlPr>
                      <w:rPr>
                        <w:rFonts w:ascii="Cambria Math" w:eastAsiaTheme="majorEastAsia" w:hAnsi="Cambria Math" w:cstheme="majorBidi"/>
                        <w:i/>
                        <w:kern w:val="0"/>
                        <w:sz w:val="24"/>
                        <w:szCs w:val="24"/>
                        <w14:ligatures w14:val="none"/>
                      </w:rPr>
                    </m:ctrlPr>
                  </m:dPr>
                  <m:e>
                    <m:sSub>
                      <m:sSubPr>
                        <m:ctrlPr>
                          <w:rPr>
                            <w:rFonts w:ascii="Cambria Math" w:eastAsiaTheme="majorEastAsia" w:hAnsi="Cambria Math" w:cstheme="majorBidi"/>
                            <w:i/>
                            <w:kern w:val="0"/>
                            <w:sz w:val="24"/>
                            <w:szCs w:val="24"/>
                            <w14:ligatures w14:val="none"/>
                          </w:rPr>
                        </m:ctrlPr>
                      </m:sSubPr>
                      <m:e>
                        <m:r>
                          <w:rPr>
                            <w:rFonts w:ascii="Cambria Math" w:eastAsiaTheme="majorEastAsia" w:hAnsi="Cambria Math" w:cstheme="majorBidi"/>
                            <w:kern w:val="0"/>
                            <w:sz w:val="24"/>
                            <w:szCs w:val="24"/>
                            <w14:ligatures w14:val="none"/>
                          </w:rPr>
                          <m:t>X</m:t>
                        </m:r>
                      </m:e>
                      <m:sub>
                        <m:r>
                          <w:rPr>
                            <w:rFonts w:ascii="Cambria Math" w:eastAsiaTheme="majorEastAsia" w:hAnsi="Cambria Math" w:cstheme="majorBidi"/>
                            <w:kern w:val="0"/>
                            <w:sz w:val="24"/>
                            <w:szCs w:val="24"/>
                            <w14:ligatures w14:val="none"/>
                          </w:rPr>
                          <m:t>i</m:t>
                        </m:r>
                      </m:sub>
                    </m:sSub>
                    <m:r>
                      <w:rPr>
                        <w:rFonts w:ascii="Cambria Math" w:eastAsiaTheme="majorEastAsia" w:hAnsi="Cambria Math" w:cstheme="majorBidi"/>
                        <w:kern w:val="0"/>
                        <w:sz w:val="24"/>
                        <w:szCs w:val="24"/>
                        <w14:ligatures w14:val="none"/>
                      </w:rPr>
                      <m:t>-</m:t>
                    </m:r>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X</m:t>
                        </m:r>
                      </m:e>
                    </m:acc>
                  </m:e>
                </m:d>
                <m:d>
                  <m:dPr>
                    <m:ctrlPr>
                      <w:rPr>
                        <w:rFonts w:ascii="Cambria Math" w:eastAsiaTheme="majorEastAsia" w:hAnsi="Cambria Math" w:cstheme="majorBidi"/>
                        <w:i/>
                        <w:kern w:val="0"/>
                        <w:sz w:val="24"/>
                        <w:szCs w:val="24"/>
                        <w14:ligatures w14:val="none"/>
                      </w:rPr>
                    </m:ctrlPr>
                  </m:dPr>
                  <m:e>
                    <m:sSub>
                      <m:sSubPr>
                        <m:ctrlPr>
                          <w:rPr>
                            <w:rFonts w:ascii="Cambria Math" w:eastAsiaTheme="majorEastAsia" w:hAnsi="Cambria Math" w:cstheme="majorBidi"/>
                            <w:i/>
                            <w:kern w:val="0"/>
                            <w:sz w:val="24"/>
                            <w:szCs w:val="24"/>
                            <w14:ligatures w14:val="none"/>
                          </w:rPr>
                        </m:ctrlPr>
                      </m:sSubPr>
                      <m:e>
                        <m:r>
                          <w:rPr>
                            <w:rFonts w:ascii="Cambria Math" w:eastAsiaTheme="majorEastAsia" w:hAnsi="Cambria Math" w:cstheme="majorBidi"/>
                            <w:kern w:val="0"/>
                            <w:sz w:val="24"/>
                            <w:szCs w:val="24"/>
                            <w14:ligatures w14:val="none"/>
                          </w:rPr>
                          <m:t>Y</m:t>
                        </m:r>
                      </m:e>
                      <m:sub>
                        <m:r>
                          <w:rPr>
                            <w:rFonts w:ascii="Cambria Math" w:eastAsiaTheme="majorEastAsia" w:hAnsi="Cambria Math" w:cstheme="majorBidi"/>
                            <w:kern w:val="0"/>
                            <w:sz w:val="24"/>
                            <w:szCs w:val="24"/>
                            <w14:ligatures w14:val="none"/>
                          </w:rPr>
                          <m:t>i</m:t>
                        </m:r>
                      </m:sub>
                    </m:sSub>
                    <m:r>
                      <w:rPr>
                        <w:rFonts w:ascii="Cambria Math" w:eastAsiaTheme="majorEastAsia" w:hAnsi="Cambria Math" w:cstheme="majorBidi"/>
                        <w:kern w:val="0"/>
                        <w:sz w:val="24"/>
                        <w:szCs w:val="24"/>
                        <w14:ligatures w14:val="none"/>
                      </w:rPr>
                      <m:t>-</m:t>
                    </m:r>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Y</m:t>
                        </m:r>
                      </m:e>
                    </m:acc>
                  </m:e>
                </m:d>
              </m:e>
            </m:nary>
          </m:num>
          <m:den>
            <m:rad>
              <m:radPr>
                <m:degHide m:val="1"/>
                <m:ctrlPr>
                  <w:rPr>
                    <w:rFonts w:ascii="Cambria Math" w:eastAsiaTheme="majorEastAsia" w:hAnsi="Cambria Math" w:cstheme="majorBidi"/>
                    <w:i/>
                    <w:kern w:val="0"/>
                    <w:sz w:val="24"/>
                    <w:szCs w:val="24"/>
                    <w14:ligatures w14:val="none"/>
                  </w:rPr>
                </m:ctrlPr>
              </m:radPr>
              <m:deg/>
              <m:e>
                <m:nary>
                  <m:naryPr>
                    <m:chr m:val="∑"/>
                    <m:limLoc m:val="undOvr"/>
                    <m:ctrlPr>
                      <w:rPr>
                        <w:rFonts w:ascii="Cambria Math" w:eastAsiaTheme="majorEastAsia" w:hAnsi="Cambria Math" w:cstheme="majorBidi"/>
                        <w:i/>
                        <w:kern w:val="0"/>
                        <w:sz w:val="24"/>
                        <w:szCs w:val="24"/>
                        <w14:ligatures w14:val="none"/>
                      </w:rPr>
                    </m:ctrlPr>
                  </m:naryPr>
                  <m:sub>
                    <m:r>
                      <w:rPr>
                        <w:rFonts w:ascii="Cambria Math" w:eastAsiaTheme="majorEastAsia" w:hAnsi="Cambria Math" w:cstheme="majorBidi"/>
                        <w:kern w:val="0"/>
                        <w:sz w:val="24"/>
                        <w:szCs w:val="24"/>
                        <w14:ligatures w14:val="none"/>
                      </w:rPr>
                      <m:t>i=1</m:t>
                    </m:r>
                  </m:sub>
                  <m:sup>
                    <m:r>
                      <w:rPr>
                        <w:rFonts w:ascii="Cambria Math" w:eastAsiaTheme="majorEastAsia" w:hAnsi="Cambria Math" w:cstheme="majorBidi"/>
                        <w:kern w:val="0"/>
                        <w:sz w:val="24"/>
                        <w:szCs w:val="24"/>
                        <w14:ligatures w14:val="none"/>
                      </w:rPr>
                      <m:t>n</m:t>
                    </m:r>
                  </m:sup>
                  <m:e>
                    <m:sSup>
                      <m:sSupPr>
                        <m:ctrlPr>
                          <w:rPr>
                            <w:rFonts w:ascii="Cambria Math" w:eastAsiaTheme="majorEastAsia" w:hAnsi="Cambria Math" w:cstheme="majorBidi"/>
                            <w:i/>
                            <w:kern w:val="0"/>
                            <w:sz w:val="24"/>
                            <w:szCs w:val="24"/>
                            <w14:ligatures w14:val="none"/>
                          </w:rPr>
                        </m:ctrlPr>
                      </m:sSupPr>
                      <m:e>
                        <m:d>
                          <m:dPr>
                            <m:ctrlPr>
                              <w:rPr>
                                <w:rFonts w:ascii="Cambria Math" w:eastAsiaTheme="majorEastAsia" w:hAnsi="Cambria Math" w:cstheme="majorBidi"/>
                                <w:i/>
                                <w:kern w:val="0"/>
                                <w:sz w:val="24"/>
                                <w:szCs w:val="24"/>
                                <w14:ligatures w14:val="none"/>
                              </w:rPr>
                            </m:ctrlPr>
                          </m:dPr>
                          <m:e>
                            <m:sSub>
                              <m:sSubPr>
                                <m:ctrlPr>
                                  <w:rPr>
                                    <w:rFonts w:ascii="Cambria Math" w:eastAsiaTheme="majorEastAsia" w:hAnsi="Cambria Math" w:cstheme="majorBidi"/>
                                    <w:i/>
                                    <w:kern w:val="0"/>
                                    <w:sz w:val="24"/>
                                    <w:szCs w:val="24"/>
                                    <w14:ligatures w14:val="none"/>
                                  </w:rPr>
                                </m:ctrlPr>
                              </m:sSubPr>
                              <m:e>
                                <m:r>
                                  <w:rPr>
                                    <w:rFonts w:ascii="Cambria Math" w:eastAsiaTheme="majorEastAsia" w:hAnsi="Cambria Math" w:cstheme="majorBidi"/>
                                    <w:kern w:val="0"/>
                                    <w:sz w:val="24"/>
                                    <w:szCs w:val="24"/>
                                    <w14:ligatures w14:val="none"/>
                                  </w:rPr>
                                  <m:t>X</m:t>
                                </m:r>
                              </m:e>
                              <m:sub>
                                <m:r>
                                  <w:rPr>
                                    <w:rFonts w:ascii="Cambria Math" w:eastAsiaTheme="majorEastAsia" w:hAnsi="Cambria Math" w:cstheme="majorBidi"/>
                                    <w:kern w:val="0"/>
                                    <w:sz w:val="24"/>
                                    <w:szCs w:val="24"/>
                                    <w14:ligatures w14:val="none"/>
                                  </w:rPr>
                                  <m:t>i</m:t>
                                </m:r>
                              </m:sub>
                            </m:sSub>
                            <m:r>
                              <w:rPr>
                                <w:rFonts w:ascii="Cambria Math" w:eastAsiaTheme="majorEastAsia" w:hAnsi="Cambria Math" w:cstheme="majorBidi"/>
                                <w:kern w:val="0"/>
                                <w:sz w:val="24"/>
                                <w:szCs w:val="24"/>
                                <w14:ligatures w14:val="none"/>
                              </w:rPr>
                              <m:t>-</m:t>
                            </m:r>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X</m:t>
                                </m:r>
                              </m:e>
                            </m:acc>
                          </m:e>
                        </m:d>
                      </m:e>
                      <m:sup>
                        <m:r>
                          <w:rPr>
                            <w:rFonts w:ascii="Cambria Math" w:eastAsiaTheme="majorEastAsia" w:hAnsi="Cambria Math" w:cstheme="majorBidi"/>
                            <w:kern w:val="0"/>
                            <w:sz w:val="24"/>
                            <w:szCs w:val="24"/>
                            <w14:ligatures w14:val="none"/>
                          </w:rPr>
                          <m:t>2</m:t>
                        </m:r>
                      </m:sup>
                    </m:sSup>
                  </m:e>
                </m:nary>
              </m:e>
            </m:rad>
            <m:sSup>
              <m:sSupPr>
                <m:ctrlPr>
                  <w:rPr>
                    <w:rFonts w:ascii="Cambria Math" w:eastAsiaTheme="majorEastAsia" w:hAnsi="Cambria Math" w:cstheme="majorBidi"/>
                    <w:i/>
                    <w:kern w:val="0"/>
                    <w:sz w:val="24"/>
                    <w:szCs w:val="24"/>
                    <w14:ligatures w14:val="none"/>
                  </w:rPr>
                </m:ctrlPr>
              </m:sSupPr>
              <m:e>
                <m:d>
                  <m:dPr>
                    <m:ctrlPr>
                      <w:rPr>
                        <w:rFonts w:ascii="Cambria Math" w:eastAsiaTheme="majorEastAsia" w:hAnsi="Cambria Math" w:cstheme="majorBidi"/>
                        <w:i/>
                        <w:kern w:val="0"/>
                        <w:sz w:val="24"/>
                        <w:szCs w:val="24"/>
                        <w14:ligatures w14:val="none"/>
                      </w:rPr>
                    </m:ctrlPr>
                  </m:dPr>
                  <m:e>
                    <m:sSub>
                      <m:sSubPr>
                        <m:ctrlPr>
                          <w:rPr>
                            <w:rFonts w:ascii="Cambria Math" w:eastAsiaTheme="majorEastAsia" w:hAnsi="Cambria Math" w:cstheme="majorBidi"/>
                            <w:i/>
                            <w:kern w:val="0"/>
                            <w:sz w:val="24"/>
                            <w:szCs w:val="24"/>
                            <w14:ligatures w14:val="none"/>
                          </w:rPr>
                        </m:ctrlPr>
                      </m:sSubPr>
                      <m:e>
                        <m:r>
                          <w:rPr>
                            <w:rFonts w:ascii="Cambria Math" w:eastAsiaTheme="majorEastAsia" w:hAnsi="Cambria Math" w:cstheme="majorBidi"/>
                            <w:kern w:val="0"/>
                            <w:sz w:val="24"/>
                            <w:szCs w:val="24"/>
                            <w14:ligatures w14:val="none"/>
                          </w:rPr>
                          <m:t>Y</m:t>
                        </m:r>
                      </m:e>
                      <m:sub>
                        <m:r>
                          <w:rPr>
                            <w:rFonts w:ascii="Cambria Math" w:eastAsiaTheme="majorEastAsia" w:hAnsi="Cambria Math" w:cstheme="majorBidi"/>
                            <w:kern w:val="0"/>
                            <w:sz w:val="24"/>
                            <w:szCs w:val="24"/>
                            <w14:ligatures w14:val="none"/>
                          </w:rPr>
                          <m:t>i</m:t>
                        </m:r>
                      </m:sub>
                    </m:sSub>
                    <m:r>
                      <w:rPr>
                        <w:rFonts w:ascii="Cambria Math" w:eastAsiaTheme="majorEastAsia" w:hAnsi="Cambria Math" w:cstheme="majorBidi"/>
                        <w:kern w:val="0"/>
                        <w:sz w:val="24"/>
                        <w:szCs w:val="24"/>
                        <w14:ligatures w14:val="none"/>
                      </w:rPr>
                      <m:t>-</m:t>
                    </m:r>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Y</m:t>
                        </m:r>
                      </m:e>
                    </m:acc>
                  </m:e>
                </m:d>
              </m:e>
              <m:sup>
                <m:r>
                  <w:rPr>
                    <w:rFonts w:ascii="Cambria Math" w:eastAsiaTheme="majorEastAsia" w:hAnsi="Cambria Math" w:cstheme="majorBidi"/>
                    <w:kern w:val="0"/>
                    <w:sz w:val="24"/>
                    <w:szCs w:val="24"/>
                    <w14:ligatures w14:val="none"/>
                  </w:rPr>
                  <m:t>2</m:t>
                </m:r>
              </m:sup>
            </m:sSup>
          </m:den>
        </m:f>
      </m:oMath>
      <w:r>
        <w:rPr>
          <w:rFonts w:asciiTheme="majorBidi" w:eastAsiaTheme="majorEastAsia" w:hAnsiTheme="majorBidi" w:cstheme="majorBidi"/>
          <w:kern w:val="0"/>
          <w:sz w:val="24"/>
          <w:szCs w:val="24"/>
          <w14:ligatures w14:val="none"/>
        </w:rPr>
        <w:t xml:space="preserve"> </w:t>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t>.1</w:t>
      </w:r>
    </w:p>
    <w:p w14:paraId="092F7C72" w14:textId="225C0BA4" w:rsidR="00CD61BC" w:rsidRPr="00A250A2"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sidRPr="00A250A2">
        <w:rPr>
          <w:rFonts w:asciiTheme="majorBidi" w:eastAsiaTheme="majorEastAsia" w:hAnsiTheme="majorBidi" w:cstheme="majorBidi"/>
          <w:kern w:val="0"/>
          <w:sz w:val="24"/>
          <w:szCs w:val="24"/>
          <w14:ligatures w14:val="none"/>
        </w:rPr>
        <w:t xml:space="preserve">where </w:t>
      </w:r>
      <m:oMath>
        <m:r>
          <w:rPr>
            <w:rFonts w:ascii="Cambria Math" w:eastAsiaTheme="majorEastAsia" w:hAnsi="Cambria Math" w:cstheme="majorBidi"/>
            <w:kern w:val="0"/>
            <w:sz w:val="24"/>
            <w:szCs w:val="24"/>
            <w14:ligatures w14:val="none"/>
          </w:rPr>
          <m:t>n</m:t>
        </m:r>
      </m:oMath>
      <w:r w:rsidRPr="00A250A2">
        <w:rPr>
          <w:rFonts w:asciiTheme="majorBidi" w:eastAsiaTheme="majorEastAsia" w:hAnsiTheme="majorBidi" w:cstheme="majorBidi"/>
          <w:kern w:val="0"/>
          <w:sz w:val="24"/>
          <w:szCs w:val="24"/>
          <w14:ligatures w14:val="none"/>
        </w:rPr>
        <w:t xml:space="preserve"> is the number of each variable which must be equal, </w:t>
      </w:r>
      <m:oMath>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X</m:t>
            </m:r>
          </m:e>
        </m:acc>
      </m:oMath>
      <w:r>
        <w:rPr>
          <w:rFonts w:asciiTheme="majorBidi" w:eastAsiaTheme="majorEastAsia" w:hAnsiTheme="majorBidi" w:cstheme="majorBidi"/>
          <w:kern w:val="0"/>
          <w:sz w:val="24"/>
          <w:szCs w:val="24"/>
          <w14:ligatures w14:val="none"/>
        </w:rPr>
        <w:t xml:space="preserve"> and</w:t>
      </w:r>
      <w:r w:rsidRPr="00A250A2">
        <w:rPr>
          <w:rFonts w:asciiTheme="majorBidi" w:eastAsiaTheme="majorEastAsia" w:hAnsiTheme="majorBidi" w:cstheme="majorBidi"/>
          <w:kern w:val="0"/>
          <w:sz w:val="24"/>
          <w:szCs w:val="24"/>
          <w14:ligatures w14:val="none"/>
        </w:rPr>
        <w:t xml:space="preserve"> </w:t>
      </w:r>
      <m:oMath>
        <m:acc>
          <m:accPr>
            <m:chr m:val="̅"/>
            <m:ctrlPr>
              <w:rPr>
                <w:rFonts w:ascii="Cambria Math" w:eastAsiaTheme="majorEastAsia" w:hAnsi="Cambria Math" w:cstheme="majorBidi"/>
                <w:i/>
                <w:kern w:val="0"/>
                <w:sz w:val="24"/>
                <w:szCs w:val="24"/>
                <w14:ligatures w14:val="none"/>
              </w:rPr>
            </m:ctrlPr>
          </m:accPr>
          <m:e>
            <m:r>
              <w:rPr>
                <w:rFonts w:ascii="Cambria Math" w:eastAsiaTheme="majorEastAsia" w:hAnsi="Cambria Math" w:cstheme="majorBidi"/>
                <w:kern w:val="0"/>
                <w:sz w:val="24"/>
                <w:szCs w:val="24"/>
                <w14:ligatures w14:val="none"/>
              </w:rPr>
              <m:t>Y</m:t>
            </m:r>
          </m:e>
        </m:acc>
      </m:oMath>
      <w:r w:rsidRPr="00A250A2">
        <w:rPr>
          <w:rFonts w:asciiTheme="majorBidi" w:eastAsiaTheme="majorEastAsia" w:hAnsiTheme="majorBidi" w:cstheme="majorBidi"/>
          <w:kern w:val="0"/>
          <w:sz w:val="24"/>
          <w:szCs w:val="24"/>
          <w14:ligatures w14:val="none"/>
        </w:rPr>
        <w:t xml:space="preserve"> are the mean value of the variable </w:t>
      </w:r>
      <m:oMath>
        <m:r>
          <w:rPr>
            <w:rFonts w:ascii="Cambria Math" w:eastAsiaTheme="majorEastAsia" w:hAnsi="Cambria Math" w:cstheme="majorBidi"/>
            <w:kern w:val="0"/>
            <w:sz w:val="24"/>
            <w:szCs w:val="24"/>
            <w14:ligatures w14:val="none"/>
          </w:rPr>
          <m:t>X</m:t>
        </m:r>
      </m:oMath>
      <w:r w:rsidRPr="00A250A2">
        <w:rPr>
          <w:rFonts w:asciiTheme="majorBidi" w:eastAsiaTheme="majorEastAsia" w:hAnsiTheme="majorBidi" w:cstheme="majorBidi"/>
          <w:kern w:val="0"/>
          <w:sz w:val="24"/>
          <w:szCs w:val="24"/>
          <w14:ligatures w14:val="none"/>
        </w:rPr>
        <w:t xml:space="preserve"> and </w:t>
      </w:r>
      <m:oMath>
        <m:r>
          <w:rPr>
            <w:rFonts w:ascii="Cambria Math" w:eastAsiaTheme="majorEastAsia" w:hAnsi="Cambria Math" w:cstheme="majorBidi"/>
            <w:kern w:val="0"/>
            <w:sz w:val="24"/>
            <w:szCs w:val="24"/>
            <w14:ligatures w14:val="none"/>
          </w:rPr>
          <m:t>Y</m:t>
        </m:r>
      </m:oMath>
      <w:r w:rsidRPr="00A250A2">
        <w:rPr>
          <w:rFonts w:asciiTheme="majorBidi" w:eastAsiaTheme="majorEastAsia" w:hAnsiTheme="majorBidi" w:cstheme="majorBidi"/>
          <w:kern w:val="0"/>
          <w:sz w:val="24"/>
          <w:szCs w:val="24"/>
          <w14:ligatures w14:val="none"/>
        </w:rPr>
        <w:t xml:space="preserve"> respectively. Interpretation of </w:t>
      </w:r>
      <m:oMath>
        <m:r>
          <w:rPr>
            <w:rFonts w:ascii="Cambria Math" w:eastAsiaTheme="majorEastAsia" w:hAnsi="Cambria Math" w:cstheme="majorBidi"/>
            <w:kern w:val="0"/>
            <w:sz w:val="24"/>
            <w:szCs w:val="24"/>
            <w14:ligatures w14:val="none"/>
          </w:rPr>
          <m:t>r: r=±1</m:t>
        </m:r>
      </m:oMath>
      <w:r w:rsidRPr="00A250A2">
        <w:rPr>
          <w:rFonts w:asciiTheme="majorBidi" w:eastAsiaTheme="majorEastAsia" w:hAnsiTheme="majorBidi" w:cstheme="majorBidi"/>
          <w:kern w:val="0"/>
          <w:sz w:val="24"/>
          <w:szCs w:val="24"/>
          <w14:ligatures w14:val="none"/>
        </w:rPr>
        <w:t>, implies that there is a perfect (</w:t>
      </w:r>
      <w:r w:rsidR="00D51A65">
        <w:rPr>
          <w:rFonts w:asciiTheme="majorBidi" w:eastAsiaTheme="majorEastAsia" w:hAnsiTheme="majorBidi" w:cstheme="majorBidi"/>
          <w:kern w:val="0"/>
          <w:sz w:val="24"/>
          <w:szCs w:val="24"/>
          <w14:ligatures w14:val="none"/>
        </w:rPr>
        <w:t xml:space="preserve">+ </w:t>
      </w:r>
      <w:r w:rsidRPr="00A250A2">
        <w:rPr>
          <w:rFonts w:asciiTheme="majorBidi" w:eastAsiaTheme="majorEastAsia" w:hAnsiTheme="majorBidi" w:cstheme="majorBidi"/>
          <w:kern w:val="0"/>
          <w:sz w:val="24"/>
          <w:szCs w:val="24"/>
          <w14:ligatures w14:val="none"/>
        </w:rPr>
        <w:t>direct</w:t>
      </w:r>
      <w:r w:rsidR="00D51A65">
        <w:rPr>
          <w:rFonts w:asciiTheme="majorBidi" w:eastAsiaTheme="majorEastAsia" w:hAnsiTheme="majorBidi" w:cstheme="majorBidi"/>
          <w:kern w:val="0"/>
          <w:sz w:val="24"/>
          <w:szCs w:val="24"/>
          <w14:ligatures w14:val="none"/>
        </w:rPr>
        <w:t xml:space="preserve"> and </w:t>
      </w:r>
      <m:oMath>
        <m:r>
          <w:rPr>
            <w:rFonts w:ascii="Cambria Math" w:eastAsiaTheme="majorEastAsia" w:hAnsi="Cambria Math" w:cstheme="majorBidi"/>
            <w:kern w:val="0"/>
            <w:sz w:val="24"/>
            <w:szCs w:val="24"/>
            <w14:ligatures w14:val="none"/>
          </w:rPr>
          <m:t>-</m:t>
        </m:r>
      </m:oMath>
      <w:r w:rsidR="00D51A65">
        <w:rPr>
          <w:rFonts w:asciiTheme="majorBidi" w:eastAsiaTheme="majorEastAsia" w:hAnsiTheme="majorBidi" w:cstheme="majorBidi"/>
          <w:kern w:val="0"/>
          <w:sz w:val="24"/>
          <w:szCs w:val="24"/>
          <w14:ligatures w14:val="none"/>
        </w:rPr>
        <w:t xml:space="preserve"> indirect</w:t>
      </w:r>
      <w:r w:rsidRPr="00A250A2">
        <w:rPr>
          <w:rFonts w:asciiTheme="majorBidi" w:eastAsiaTheme="majorEastAsia" w:hAnsiTheme="majorBidi" w:cstheme="majorBidi"/>
          <w:kern w:val="0"/>
          <w:sz w:val="24"/>
          <w:szCs w:val="24"/>
          <w14:ligatures w14:val="none"/>
        </w:rPr>
        <w:t xml:space="preserve">) relationship; </w:t>
      </w:r>
      <m:oMath>
        <m:r>
          <w:rPr>
            <w:rFonts w:ascii="Cambria Math" w:eastAsiaTheme="majorEastAsia" w:hAnsi="Cambria Math" w:cstheme="majorBidi"/>
            <w:kern w:val="0"/>
            <w:sz w:val="24"/>
            <w:szCs w:val="24"/>
            <w14:ligatures w14:val="none"/>
          </w:rPr>
          <m:t>±1.0&lt;r≤±0.5</m:t>
        </m:r>
      </m:oMath>
      <w:r w:rsidRPr="00A250A2">
        <w:rPr>
          <w:rFonts w:asciiTheme="majorBidi" w:eastAsiaTheme="majorEastAsia" w:hAnsiTheme="majorBidi" w:cstheme="majorBidi"/>
          <w:kern w:val="0"/>
          <w:sz w:val="24"/>
          <w:szCs w:val="24"/>
          <w14:ligatures w14:val="none"/>
        </w:rPr>
        <w:t xml:space="preserve">, implies there is a strong linear relationship; </w:t>
      </w:r>
      <m:oMath>
        <m:r>
          <w:rPr>
            <w:rFonts w:ascii="Cambria Math" w:eastAsiaTheme="majorEastAsia" w:hAnsi="Cambria Math" w:cstheme="majorBidi"/>
            <w:kern w:val="0"/>
            <w:sz w:val="24"/>
            <w:szCs w:val="24"/>
            <w14:ligatures w14:val="none"/>
          </w:rPr>
          <w:lastRenderedPageBreak/>
          <m:t>±0.5≤r&lt;±0.3</m:t>
        </m:r>
      </m:oMath>
      <w:r w:rsidRPr="00A250A2">
        <w:rPr>
          <w:rFonts w:asciiTheme="majorBidi" w:eastAsiaTheme="majorEastAsia" w:hAnsiTheme="majorBidi" w:cstheme="majorBidi"/>
          <w:kern w:val="0"/>
          <w:sz w:val="24"/>
          <w:szCs w:val="24"/>
          <w14:ligatures w14:val="none"/>
        </w:rPr>
        <w:t xml:space="preserve">, implies there is a weak  relationship; </w:t>
      </w:r>
      <m:oMath>
        <m:r>
          <w:rPr>
            <w:rFonts w:ascii="Cambria Math" w:eastAsiaTheme="majorEastAsia" w:hAnsi="Cambria Math" w:cstheme="majorBidi"/>
            <w:kern w:val="0"/>
            <w:sz w:val="24"/>
            <w:szCs w:val="24"/>
            <w14:ligatures w14:val="none"/>
          </w:rPr>
          <m:t>r&lt;± 0.3</m:t>
        </m:r>
      </m:oMath>
      <w:r w:rsidRPr="00A250A2">
        <w:rPr>
          <w:rFonts w:asciiTheme="majorBidi" w:eastAsiaTheme="majorEastAsia" w:hAnsiTheme="majorBidi" w:cstheme="majorBidi"/>
          <w:kern w:val="0"/>
          <w:sz w:val="24"/>
          <w:szCs w:val="24"/>
          <w14:ligatures w14:val="none"/>
        </w:rPr>
        <w:t xml:space="preserve"> implies there is no relationship between the two variables.</w:t>
      </w:r>
    </w:p>
    <w:p w14:paraId="7DC5CEE4" w14:textId="3D5B9BA8" w:rsidR="00CD61BC" w:rsidRDefault="00D14CB6"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Pr>
          <w:rFonts w:asciiTheme="majorBidi" w:eastAsiaTheme="majorEastAsia" w:hAnsiTheme="majorBidi" w:cstheme="majorBidi"/>
          <w:kern w:val="0"/>
          <w:sz w:val="24"/>
          <w:szCs w:val="24"/>
          <w14:ligatures w14:val="none"/>
        </w:rPr>
        <w:t>Simple linear r</w:t>
      </w:r>
      <w:r w:rsidR="00CD61BC" w:rsidRPr="00A250A2">
        <w:rPr>
          <w:rFonts w:asciiTheme="majorBidi" w:eastAsiaTheme="majorEastAsia" w:hAnsiTheme="majorBidi" w:cstheme="majorBidi"/>
          <w:kern w:val="0"/>
          <w:sz w:val="24"/>
          <w:szCs w:val="24"/>
          <w14:ligatures w14:val="none"/>
        </w:rPr>
        <w:t xml:space="preserve">egression analysis is the study of the nature and extent of association between two or more variables based on the assumed relationship between them to predict the value of one variable from the other. The simple regression equation of </w:t>
      </w:r>
      <m:oMath>
        <m:r>
          <w:rPr>
            <w:rFonts w:ascii="Cambria Math" w:eastAsiaTheme="majorEastAsia" w:hAnsi="Cambria Math" w:cstheme="majorBidi"/>
            <w:kern w:val="0"/>
            <w:sz w:val="24"/>
            <w:szCs w:val="24"/>
            <w14:ligatures w14:val="none"/>
          </w:rPr>
          <m:t>Y</m:t>
        </m:r>
      </m:oMath>
      <w:r w:rsidR="00CD61BC" w:rsidRPr="00A250A2">
        <w:rPr>
          <w:rFonts w:asciiTheme="majorBidi" w:eastAsiaTheme="majorEastAsia" w:hAnsiTheme="majorBidi" w:cstheme="majorBidi"/>
          <w:kern w:val="0"/>
          <w:sz w:val="24"/>
          <w:szCs w:val="24"/>
          <w14:ligatures w14:val="none"/>
        </w:rPr>
        <w:t xml:space="preserve"> on </w:t>
      </w:r>
      <m:oMath>
        <m:r>
          <w:rPr>
            <w:rFonts w:ascii="Cambria Math" w:eastAsiaTheme="majorEastAsia" w:hAnsi="Cambria Math" w:cstheme="majorBidi"/>
            <w:kern w:val="0"/>
            <w:sz w:val="24"/>
            <w:szCs w:val="24"/>
            <w14:ligatures w14:val="none"/>
          </w:rPr>
          <m:t>X</m:t>
        </m:r>
      </m:oMath>
      <w:r w:rsidR="00CD61BC" w:rsidRPr="00A250A2">
        <w:rPr>
          <w:rFonts w:asciiTheme="majorBidi" w:eastAsiaTheme="majorEastAsia" w:hAnsiTheme="majorBidi" w:cstheme="majorBidi"/>
          <w:kern w:val="0"/>
          <w:sz w:val="24"/>
          <w:szCs w:val="24"/>
          <w14:ligatures w14:val="none"/>
        </w:rPr>
        <w:t xml:space="preserve"> is defined as</w:t>
      </w:r>
      <w:r w:rsidR="00CD61BC">
        <w:rPr>
          <w:rFonts w:asciiTheme="majorBidi" w:eastAsiaTheme="majorEastAsia" w:hAnsiTheme="majorBidi" w:cstheme="majorBidi"/>
          <w:kern w:val="0"/>
          <w:sz w:val="24"/>
          <w:szCs w:val="24"/>
          <w14:ligatures w14:val="none"/>
        </w:rPr>
        <w:t xml:space="preserve">   </w:t>
      </w:r>
    </w:p>
    <w:p w14:paraId="289F0AD9" w14:textId="070DD7AD" w:rsidR="00CD61BC" w:rsidRPr="00A250A2"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Pr>
          <w:rFonts w:asciiTheme="majorBidi" w:eastAsiaTheme="majorEastAsia" w:hAnsiTheme="majorBidi" w:cstheme="majorBidi"/>
          <w:kern w:val="0"/>
          <w:sz w:val="24"/>
          <w:szCs w:val="24"/>
          <w14:ligatures w14:val="none"/>
        </w:rPr>
        <w:t xml:space="preserve">  </w:t>
      </w:r>
      <m:oMath>
        <m:r>
          <w:rPr>
            <w:rFonts w:ascii="Cambria Math" w:eastAsiaTheme="majorEastAsia" w:hAnsi="Cambria Math" w:cstheme="majorBidi"/>
            <w:kern w:val="0"/>
            <w:sz w:val="24"/>
            <w:szCs w:val="24"/>
            <w14:ligatures w14:val="none"/>
          </w:rPr>
          <m:t>Y=</m:t>
        </m:r>
        <m:d>
          <m:dPr>
            <m:ctrlPr>
              <w:rPr>
                <w:rFonts w:ascii="Cambria Math" w:eastAsiaTheme="majorEastAsia" w:hAnsi="Cambria Math" w:cstheme="majorBidi"/>
                <w:i/>
                <w:kern w:val="0"/>
                <w:sz w:val="24"/>
                <w:szCs w:val="24"/>
                <w14:ligatures w14:val="none"/>
              </w:rPr>
            </m:ctrlPr>
          </m:dPr>
          <m:e>
            <m:r>
              <w:rPr>
                <w:rFonts w:ascii="Cambria Math" w:eastAsiaTheme="majorEastAsia" w:hAnsi="Cambria Math" w:cstheme="majorBidi"/>
                <w:kern w:val="0"/>
                <w:sz w:val="24"/>
                <w:szCs w:val="24"/>
                <w14:ligatures w14:val="none"/>
              </w:rPr>
              <m:t>m±∆m</m:t>
            </m:r>
          </m:e>
        </m:d>
        <m:r>
          <w:rPr>
            <w:rFonts w:ascii="Cambria Math" w:eastAsiaTheme="majorEastAsia" w:hAnsi="Cambria Math" w:cstheme="majorBidi"/>
            <w:kern w:val="0"/>
            <w:sz w:val="24"/>
            <w:szCs w:val="24"/>
            <w14:ligatures w14:val="none"/>
          </w:rPr>
          <m:t>X+C</m:t>
        </m:r>
      </m:oMath>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r>
      <w:r>
        <w:rPr>
          <w:rFonts w:asciiTheme="majorBidi" w:eastAsiaTheme="majorEastAsia" w:hAnsiTheme="majorBidi" w:cstheme="majorBidi"/>
          <w:kern w:val="0"/>
          <w:sz w:val="24"/>
          <w:szCs w:val="24"/>
          <w14:ligatures w14:val="none"/>
        </w:rPr>
        <w:tab/>
        <w:t>2</w:t>
      </w:r>
      <w:r w:rsidRPr="00A250A2">
        <w:rPr>
          <w:rFonts w:asciiTheme="majorBidi" w:eastAsiaTheme="majorEastAsia" w:hAnsiTheme="majorBidi" w:cstheme="majorBidi"/>
          <w:kern w:val="0"/>
          <w:sz w:val="24"/>
          <w:szCs w:val="24"/>
          <w14:ligatures w14:val="none"/>
        </w:rPr>
        <w:tab/>
      </w:r>
    </w:p>
    <w:p w14:paraId="786FF0C8" w14:textId="77777777" w:rsidR="00CD61BC" w:rsidRDefault="00CD61BC" w:rsidP="00D14CB6">
      <w:pPr>
        <w:tabs>
          <w:tab w:val="left" w:pos="4860"/>
        </w:tabs>
        <w:spacing w:after="0" w:line="240" w:lineRule="auto"/>
        <w:jc w:val="both"/>
        <w:rPr>
          <w:rFonts w:asciiTheme="majorBidi" w:eastAsiaTheme="majorEastAsia" w:hAnsiTheme="majorBidi" w:cstheme="majorBidi"/>
          <w:kern w:val="0"/>
          <w:sz w:val="24"/>
          <w:szCs w:val="24"/>
          <w14:ligatures w14:val="none"/>
        </w:rPr>
      </w:pPr>
      <w:r>
        <w:rPr>
          <w:rFonts w:asciiTheme="majorBidi" w:eastAsiaTheme="majorEastAsia" w:hAnsiTheme="majorBidi" w:cstheme="majorBidi"/>
          <w:kern w:val="0"/>
          <w:sz w:val="24"/>
          <w:szCs w:val="24"/>
          <w14:ligatures w14:val="none"/>
        </w:rPr>
        <w:t>w</w:t>
      </w:r>
      <w:r w:rsidRPr="00A250A2">
        <w:rPr>
          <w:rFonts w:asciiTheme="majorBidi" w:eastAsiaTheme="majorEastAsia" w:hAnsiTheme="majorBidi" w:cstheme="majorBidi"/>
          <w:kern w:val="0"/>
          <w:sz w:val="24"/>
          <w:szCs w:val="24"/>
          <w14:ligatures w14:val="none"/>
        </w:rPr>
        <w:t xml:space="preserve">here </w:t>
      </w:r>
      <m:oMath>
        <m:r>
          <w:rPr>
            <w:rFonts w:ascii="Cambria Math" w:eastAsiaTheme="majorEastAsia" w:hAnsi="Cambria Math" w:cstheme="majorBidi"/>
            <w:kern w:val="0"/>
            <w:sz w:val="24"/>
            <w:szCs w:val="24"/>
            <w14:ligatures w14:val="none"/>
          </w:rPr>
          <m:t>Y</m:t>
        </m:r>
      </m:oMath>
      <w:r w:rsidRPr="00A250A2">
        <w:rPr>
          <w:rFonts w:asciiTheme="majorBidi" w:eastAsiaTheme="majorEastAsia" w:hAnsiTheme="majorBidi" w:cstheme="majorBidi"/>
          <w:kern w:val="0"/>
          <w:sz w:val="24"/>
          <w:szCs w:val="24"/>
          <w14:ligatures w14:val="none"/>
        </w:rPr>
        <w:t xml:space="preserve"> is the assumed dependent variable, </w:t>
      </w:r>
      <m:oMath>
        <m:r>
          <w:rPr>
            <w:rFonts w:ascii="Cambria Math" w:eastAsiaTheme="majorEastAsia" w:hAnsi="Cambria Math" w:cstheme="majorBidi"/>
            <w:kern w:val="0"/>
            <w:sz w:val="24"/>
            <w:szCs w:val="24"/>
            <w14:ligatures w14:val="none"/>
          </w:rPr>
          <m:t>X</m:t>
        </m:r>
      </m:oMath>
      <w:r w:rsidRPr="00A250A2">
        <w:rPr>
          <w:rFonts w:asciiTheme="majorBidi" w:eastAsiaTheme="majorEastAsia" w:hAnsiTheme="majorBidi" w:cstheme="majorBidi"/>
          <w:kern w:val="0"/>
          <w:sz w:val="24"/>
          <w:szCs w:val="24"/>
          <w14:ligatures w14:val="none"/>
        </w:rPr>
        <w:t xml:space="preserve"> is the assumed independent variable, </w:t>
      </w:r>
      <m:oMath>
        <m:r>
          <w:rPr>
            <w:rFonts w:ascii="Cambria Math" w:eastAsiaTheme="majorEastAsia" w:hAnsi="Cambria Math" w:cstheme="majorBidi"/>
            <w:kern w:val="0"/>
            <w:sz w:val="24"/>
            <w:szCs w:val="24"/>
            <w14:ligatures w14:val="none"/>
          </w:rPr>
          <m:t>m±∆m</m:t>
        </m:r>
      </m:oMath>
      <w:r w:rsidRPr="00A250A2">
        <w:rPr>
          <w:rFonts w:asciiTheme="majorBidi" w:eastAsiaTheme="majorEastAsia" w:hAnsiTheme="majorBidi" w:cstheme="majorBidi"/>
          <w:kern w:val="0"/>
          <w:sz w:val="24"/>
          <w:szCs w:val="24"/>
          <w14:ligatures w14:val="none"/>
        </w:rPr>
        <w:t xml:space="preserve"> is the slope with its associated error, and </w:t>
      </w:r>
      <m:oMath>
        <m:r>
          <w:rPr>
            <w:rFonts w:ascii="Cambria Math" w:eastAsiaTheme="majorEastAsia" w:hAnsi="Cambria Math" w:cstheme="majorBidi"/>
            <w:kern w:val="0"/>
            <w:sz w:val="24"/>
            <w:szCs w:val="24"/>
            <w14:ligatures w14:val="none"/>
          </w:rPr>
          <m:t>C</m:t>
        </m:r>
      </m:oMath>
      <w:r w:rsidRPr="00A250A2">
        <w:rPr>
          <w:rFonts w:asciiTheme="majorBidi" w:eastAsiaTheme="majorEastAsia" w:hAnsiTheme="majorBidi" w:cstheme="majorBidi"/>
          <w:kern w:val="0"/>
          <w:sz w:val="24"/>
          <w:szCs w:val="24"/>
          <w14:ligatures w14:val="none"/>
        </w:rPr>
        <w:t xml:space="preserve"> is the intercept.</w:t>
      </w:r>
      <w:r>
        <w:rPr>
          <w:rFonts w:asciiTheme="majorBidi" w:eastAsiaTheme="majorEastAsia" w:hAnsiTheme="majorBidi" w:cstheme="majorBidi"/>
          <w:kern w:val="0"/>
          <w:sz w:val="24"/>
          <w:szCs w:val="24"/>
          <w14:ligatures w14:val="none"/>
        </w:rPr>
        <w:t xml:space="preserve"> </w:t>
      </w:r>
    </w:p>
    <w:tbl>
      <w:tblPr>
        <w:tblStyle w:val="TableGrid"/>
        <w:tblpPr w:leftFromText="180" w:rightFromText="180" w:vertAnchor="page" w:horzAnchor="margin" w:tblpY="3586"/>
        <w:tblW w:w="0" w:type="auto"/>
        <w:tblLook w:val="04A0" w:firstRow="1" w:lastRow="0" w:firstColumn="1" w:lastColumn="0" w:noHBand="0" w:noVBand="1"/>
      </w:tblPr>
      <w:tblGrid>
        <w:gridCol w:w="1058"/>
        <w:gridCol w:w="2030"/>
        <w:gridCol w:w="2082"/>
        <w:gridCol w:w="2027"/>
        <w:gridCol w:w="2163"/>
      </w:tblGrid>
      <w:tr w:rsidR="001D1EED" w:rsidRPr="00D51A65" w14:paraId="33D62FDE" w14:textId="77777777" w:rsidTr="001D1EED">
        <w:trPr>
          <w:trHeight w:val="20"/>
        </w:trPr>
        <w:tc>
          <w:tcPr>
            <w:tcW w:w="0" w:type="auto"/>
            <w:gridSpan w:val="5"/>
            <w:tcBorders>
              <w:top w:val="nil"/>
              <w:left w:val="nil"/>
              <w:bottom w:val="single" w:sz="4" w:space="0" w:color="auto"/>
              <w:right w:val="nil"/>
            </w:tcBorders>
          </w:tcPr>
          <w:p w14:paraId="33C5518C"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Table 1: Shows The Estimated Population of Onitsha and Nnewi for 2010 - 2014</w:t>
            </w:r>
          </w:p>
        </w:tc>
      </w:tr>
      <w:tr w:rsidR="001D1EED" w:rsidRPr="00D51A65" w14:paraId="08BE76BE" w14:textId="77777777" w:rsidTr="001D1EED">
        <w:trPr>
          <w:trHeight w:val="20"/>
        </w:trPr>
        <w:tc>
          <w:tcPr>
            <w:tcW w:w="0" w:type="auto"/>
            <w:tcBorders>
              <w:top w:val="single" w:sz="4" w:space="0" w:color="auto"/>
            </w:tcBorders>
            <w:hideMark/>
          </w:tcPr>
          <w:p w14:paraId="3AF7207B"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Year</w:t>
            </w:r>
          </w:p>
        </w:tc>
        <w:tc>
          <w:tcPr>
            <w:tcW w:w="0" w:type="auto"/>
            <w:tcBorders>
              <w:top w:val="single" w:sz="4" w:space="0" w:color="auto"/>
            </w:tcBorders>
            <w:hideMark/>
          </w:tcPr>
          <w:p w14:paraId="35A5D771"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Population</w:t>
            </w:r>
          </w:p>
          <w:p w14:paraId="3646CBD7"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 xml:space="preserve"> (Nnewi)</w:t>
            </w:r>
          </w:p>
        </w:tc>
        <w:tc>
          <w:tcPr>
            <w:tcW w:w="0" w:type="auto"/>
            <w:tcBorders>
              <w:top w:val="single" w:sz="4" w:space="0" w:color="auto"/>
            </w:tcBorders>
            <w:hideMark/>
          </w:tcPr>
          <w:p w14:paraId="5506BD03"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 xml:space="preserve">Growth Rate </w:t>
            </w:r>
          </w:p>
          <w:p w14:paraId="7E8E07FC"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(Nnewi)</w:t>
            </w:r>
          </w:p>
        </w:tc>
        <w:tc>
          <w:tcPr>
            <w:tcW w:w="0" w:type="auto"/>
            <w:tcBorders>
              <w:top w:val="single" w:sz="4" w:space="0" w:color="auto"/>
            </w:tcBorders>
          </w:tcPr>
          <w:p w14:paraId="29D53DF8"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Population</w:t>
            </w:r>
          </w:p>
          <w:p w14:paraId="74B70A76"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(Onitsha)</w:t>
            </w:r>
          </w:p>
        </w:tc>
        <w:tc>
          <w:tcPr>
            <w:tcW w:w="0" w:type="auto"/>
            <w:tcBorders>
              <w:top w:val="single" w:sz="4" w:space="0" w:color="auto"/>
            </w:tcBorders>
          </w:tcPr>
          <w:p w14:paraId="2D1959FD"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Growth Rate</w:t>
            </w:r>
          </w:p>
          <w:p w14:paraId="409E01F9" w14:textId="77777777" w:rsidR="001D1EED" w:rsidRPr="00D51A65" w:rsidRDefault="001D1EED" w:rsidP="001D1EED">
            <w:pPr>
              <w:rPr>
                <w:rFonts w:ascii="Times New Roman" w:hAnsi="Times New Roman" w:cs="Times New Roman"/>
                <w:b/>
                <w:bCs/>
                <w:sz w:val="24"/>
                <w:szCs w:val="24"/>
              </w:rPr>
            </w:pPr>
            <w:r w:rsidRPr="00D51A65">
              <w:rPr>
                <w:rFonts w:ascii="Times New Roman" w:hAnsi="Times New Roman" w:cs="Times New Roman"/>
                <w:b/>
                <w:bCs/>
                <w:sz w:val="24"/>
                <w:szCs w:val="24"/>
              </w:rPr>
              <w:t>(Onitsha)</w:t>
            </w:r>
          </w:p>
        </w:tc>
      </w:tr>
      <w:tr w:rsidR="001D1EED" w:rsidRPr="00D51A65" w14:paraId="6DEE1C88" w14:textId="77777777" w:rsidTr="001D1EED">
        <w:trPr>
          <w:trHeight w:val="20"/>
        </w:trPr>
        <w:tc>
          <w:tcPr>
            <w:tcW w:w="0" w:type="auto"/>
            <w:hideMark/>
          </w:tcPr>
          <w:p w14:paraId="0DDDFCD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2024</w:t>
            </w:r>
          </w:p>
        </w:tc>
        <w:tc>
          <w:tcPr>
            <w:tcW w:w="0" w:type="auto"/>
            <w:hideMark/>
          </w:tcPr>
          <w:p w14:paraId="183A79B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1,301,000</w:t>
            </w:r>
          </w:p>
        </w:tc>
        <w:tc>
          <w:tcPr>
            <w:tcW w:w="0" w:type="auto"/>
            <w:hideMark/>
          </w:tcPr>
          <w:p w14:paraId="165C0347"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5.00%</w:t>
            </w:r>
          </w:p>
        </w:tc>
        <w:tc>
          <w:tcPr>
            <w:tcW w:w="0" w:type="auto"/>
          </w:tcPr>
          <w:p w14:paraId="62F66B3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1,695,000</w:t>
            </w:r>
          </w:p>
        </w:tc>
        <w:tc>
          <w:tcPr>
            <w:tcW w:w="0" w:type="auto"/>
          </w:tcPr>
          <w:p w14:paraId="227B440B"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4.44%</w:t>
            </w:r>
          </w:p>
        </w:tc>
      </w:tr>
      <w:tr w:rsidR="001D1EED" w:rsidRPr="00D51A65" w14:paraId="68CD5F7A" w14:textId="77777777" w:rsidTr="001D1EED">
        <w:trPr>
          <w:trHeight w:val="20"/>
        </w:trPr>
        <w:tc>
          <w:tcPr>
            <w:tcW w:w="0" w:type="auto"/>
            <w:hideMark/>
          </w:tcPr>
          <w:p w14:paraId="62C972A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2023</w:t>
            </w:r>
          </w:p>
        </w:tc>
        <w:tc>
          <w:tcPr>
            <w:tcW w:w="0" w:type="auto"/>
            <w:hideMark/>
          </w:tcPr>
          <w:p w14:paraId="653F99F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1,239,000</w:t>
            </w:r>
          </w:p>
        </w:tc>
        <w:tc>
          <w:tcPr>
            <w:tcW w:w="0" w:type="auto"/>
            <w:hideMark/>
          </w:tcPr>
          <w:p w14:paraId="5402DF97"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5.27%</w:t>
            </w:r>
          </w:p>
        </w:tc>
        <w:tc>
          <w:tcPr>
            <w:tcW w:w="0" w:type="auto"/>
          </w:tcPr>
          <w:p w14:paraId="0D48808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1,623,000</w:t>
            </w:r>
          </w:p>
        </w:tc>
        <w:tc>
          <w:tcPr>
            <w:tcW w:w="0" w:type="auto"/>
          </w:tcPr>
          <w:p w14:paraId="3178226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4.51%</w:t>
            </w:r>
          </w:p>
        </w:tc>
      </w:tr>
      <w:tr w:rsidR="001D1EED" w:rsidRPr="00D51A65" w14:paraId="515C1DB0" w14:textId="77777777" w:rsidTr="001D1EED">
        <w:trPr>
          <w:trHeight w:val="20"/>
        </w:trPr>
        <w:tc>
          <w:tcPr>
            <w:tcW w:w="0" w:type="auto"/>
            <w:hideMark/>
          </w:tcPr>
          <w:p w14:paraId="29D4A7C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2022</w:t>
            </w:r>
          </w:p>
        </w:tc>
        <w:tc>
          <w:tcPr>
            <w:tcW w:w="0" w:type="auto"/>
            <w:hideMark/>
          </w:tcPr>
          <w:p w14:paraId="5E35830A"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1,177,000</w:t>
            </w:r>
          </w:p>
        </w:tc>
        <w:tc>
          <w:tcPr>
            <w:tcW w:w="0" w:type="auto"/>
            <w:hideMark/>
          </w:tcPr>
          <w:p w14:paraId="45F0F93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5.66%</w:t>
            </w:r>
          </w:p>
        </w:tc>
        <w:tc>
          <w:tcPr>
            <w:tcW w:w="0" w:type="auto"/>
          </w:tcPr>
          <w:p w14:paraId="4896747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1,553,000</w:t>
            </w:r>
          </w:p>
        </w:tc>
        <w:tc>
          <w:tcPr>
            <w:tcW w:w="0" w:type="auto"/>
          </w:tcPr>
          <w:p w14:paraId="4F00161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4.72%</w:t>
            </w:r>
          </w:p>
        </w:tc>
      </w:tr>
      <w:tr w:rsidR="001D1EED" w:rsidRPr="00D51A65" w14:paraId="67F30B61" w14:textId="77777777" w:rsidTr="001D1EED">
        <w:trPr>
          <w:trHeight w:val="20"/>
        </w:trPr>
        <w:tc>
          <w:tcPr>
            <w:tcW w:w="0" w:type="auto"/>
            <w:hideMark/>
          </w:tcPr>
          <w:p w14:paraId="55EBBEA8"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2021</w:t>
            </w:r>
          </w:p>
        </w:tc>
        <w:tc>
          <w:tcPr>
            <w:tcW w:w="0" w:type="auto"/>
            <w:hideMark/>
          </w:tcPr>
          <w:p w14:paraId="4FFE0514"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1,114,000</w:t>
            </w:r>
          </w:p>
        </w:tc>
        <w:tc>
          <w:tcPr>
            <w:tcW w:w="0" w:type="auto"/>
            <w:hideMark/>
          </w:tcPr>
          <w:p w14:paraId="5F15A62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5.99%</w:t>
            </w:r>
          </w:p>
        </w:tc>
        <w:tc>
          <w:tcPr>
            <w:tcW w:w="0" w:type="auto"/>
          </w:tcPr>
          <w:p w14:paraId="5C934655"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1,483,000</w:t>
            </w:r>
          </w:p>
        </w:tc>
        <w:tc>
          <w:tcPr>
            <w:tcW w:w="0" w:type="auto"/>
          </w:tcPr>
          <w:p w14:paraId="18FE1ED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4.81%</w:t>
            </w:r>
          </w:p>
        </w:tc>
      </w:tr>
      <w:tr w:rsidR="001D1EED" w:rsidRPr="00D51A65" w14:paraId="75E666DD" w14:textId="77777777" w:rsidTr="001D1EED">
        <w:trPr>
          <w:trHeight w:val="20"/>
        </w:trPr>
        <w:tc>
          <w:tcPr>
            <w:tcW w:w="0" w:type="auto"/>
            <w:hideMark/>
          </w:tcPr>
          <w:p w14:paraId="7208752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2020</w:t>
            </w:r>
          </w:p>
        </w:tc>
        <w:tc>
          <w:tcPr>
            <w:tcW w:w="0" w:type="auto"/>
            <w:hideMark/>
          </w:tcPr>
          <w:p w14:paraId="498469F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1,051,000</w:t>
            </w:r>
          </w:p>
        </w:tc>
        <w:tc>
          <w:tcPr>
            <w:tcW w:w="0" w:type="auto"/>
            <w:hideMark/>
          </w:tcPr>
          <w:p w14:paraId="77E1CCC5"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6.27%</w:t>
            </w:r>
          </w:p>
        </w:tc>
        <w:tc>
          <w:tcPr>
            <w:tcW w:w="0" w:type="auto"/>
          </w:tcPr>
          <w:p w14:paraId="2C79899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1,415,000</w:t>
            </w:r>
          </w:p>
        </w:tc>
        <w:tc>
          <w:tcPr>
            <w:tcW w:w="0" w:type="auto"/>
          </w:tcPr>
          <w:p w14:paraId="4D9F5E03"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4.89%</w:t>
            </w:r>
          </w:p>
        </w:tc>
      </w:tr>
      <w:tr w:rsidR="001D1EED" w:rsidRPr="00D51A65" w14:paraId="68F27FDC" w14:textId="77777777" w:rsidTr="001D1EED">
        <w:trPr>
          <w:trHeight w:val="20"/>
        </w:trPr>
        <w:tc>
          <w:tcPr>
            <w:tcW w:w="0" w:type="auto"/>
            <w:hideMark/>
          </w:tcPr>
          <w:p w14:paraId="23051AF5"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2019</w:t>
            </w:r>
          </w:p>
        </w:tc>
        <w:tc>
          <w:tcPr>
            <w:tcW w:w="0" w:type="auto"/>
            <w:hideMark/>
          </w:tcPr>
          <w:p w14:paraId="15E7E76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989,000</w:t>
            </w:r>
          </w:p>
        </w:tc>
        <w:tc>
          <w:tcPr>
            <w:tcW w:w="0" w:type="auto"/>
            <w:hideMark/>
          </w:tcPr>
          <w:p w14:paraId="7CA5D978"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6.34%</w:t>
            </w:r>
          </w:p>
        </w:tc>
        <w:tc>
          <w:tcPr>
            <w:tcW w:w="0" w:type="auto"/>
          </w:tcPr>
          <w:p w14:paraId="0194DC7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1,349,000</w:t>
            </w:r>
          </w:p>
        </w:tc>
        <w:tc>
          <w:tcPr>
            <w:tcW w:w="0" w:type="auto"/>
          </w:tcPr>
          <w:p w14:paraId="46DB5FA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4.98%</w:t>
            </w:r>
          </w:p>
        </w:tc>
      </w:tr>
      <w:tr w:rsidR="001D1EED" w:rsidRPr="00D51A65" w14:paraId="3083E6CB" w14:textId="77777777" w:rsidTr="001D1EED">
        <w:trPr>
          <w:trHeight w:val="20"/>
        </w:trPr>
        <w:tc>
          <w:tcPr>
            <w:tcW w:w="0" w:type="auto"/>
            <w:hideMark/>
          </w:tcPr>
          <w:p w14:paraId="3A20049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2018</w:t>
            </w:r>
          </w:p>
        </w:tc>
        <w:tc>
          <w:tcPr>
            <w:tcW w:w="0" w:type="auto"/>
            <w:hideMark/>
          </w:tcPr>
          <w:p w14:paraId="795C333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930,000</w:t>
            </w:r>
          </w:p>
        </w:tc>
        <w:tc>
          <w:tcPr>
            <w:tcW w:w="0" w:type="auto"/>
            <w:hideMark/>
          </w:tcPr>
          <w:p w14:paraId="6125F7E8"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6.53%</w:t>
            </w:r>
          </w:p>
        </w:tc>
        <w:tc>
          <w:tcPr>
            <w:tcW w:w="0" w:type="auto"/>
          </w:tcPr>
          <w:p w14:paraId="08A4763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1,285,000</w:t>
            </w:r>
          </w:p>
        </w:tc>
        <w:tc>
          <w:tcPr>
            <w:tcW w:w="0" w:type="auto"/>
          </w:tcPr>
          <w:p w14:paraId="285719C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5.07%</w:t>
            </w:r>
          </w:p>
        </w:tc>
      </w:tr>
      <w:tr w:rsidR="001D1EED" w:rsidRPr="00D51A65" w14:paraId="0EB91643" w14:textId="77777777" w:rsidTr="001D1EED">
        <w:trPr>
          <w:trHeight w:val="20"/>
        </w:trPr>
        <w:tc>
          <w:tcPr>
            <w:tcW w:w="0" w:type="auto"/>
            <w:hideMark/>
          </w:tcPr>
          <w:p w14:paraId="4F39BFE1"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2017</w:t>
            </w:r>
          </w:p>
        </w:tc>
        <w:tc>
          <w:tcPr>
            <w:tcW w:w="0" w:type="auto"/>
            <w:hideMark/>
          </w:tcPr>
          <w:p w14:paraId="7582F52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873,000</w:t>
            </w:r>
          </w:p>
        </w:tc>
        <w:tc>
          <w:tcPr>
            <w:tcW w:w="0" w:type="auto"/>
            <w:hideMark/>
          </w:tcPr>
          <w:p w14:paraId="3C04A267"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6.46%</w:t>
            </w:r>
          </w:p>
        </w:tc>
        <w:tc>
          <w:tcPr>
            <w:tcW w:w="0" w:type="auto"/>
          </w:tcPr>
          <w:p w14:paraId="18D7285B"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1,223,000</w:t>
            </w:r>
          </w:p>
        </w:tc>
        <w:tc>
          <w:tcPr>
            <w:tcW w:w="0" w:type="auto"/>
          </w:tcPr>
          <w:p w14:paraId="1133E3D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4.98%</w:t>
            </w:r>
          </w:p>
        </w:tc>
      </w:tr>
      <w:tr w:rsidR="001D1EED" w:rsidRPr="00D51A65" w14:paraId="3D496548" w14:textId="77777777" w:rsidTr="001D1EED">
        <w:trPr>
          <w:trHeight w:val="20"/>
        </w:trPr>
        <w:tc>
          <w:tcPr>
            <w:tcW w:w="0" w:type="auto"/>
            <w:hideMark/>
          </w:tcPr>
          <w:p w14:paraId="6D97C9A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2016</w:t>
            </w:r>
          </w:p>
        </w:tc>
        <w:tc>
          <w:tcPr>
            <w:tcW w:w="0" w:type="auto"/>
            <w:hideMark/>
          </w:tcPr>
          <w:p w14:paraId="7320DAAB"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820,000</w:t>
            </w:r>
          </w:p>
        </w:tc>
        <w:tc>
          <w:tcPr>
            <w:tcW w:w="0" w:type="auto"/>
            <w:hideMark/>
          </w:tcPr>
          <w:p w14:paraId="4E71D6D2"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6.49%</w:t>
            </w:r>
          </w:p>
        </w:tc>
        <w:tc>
          <w:tcPr>
            <w:tcW w:w="0" w:type="auto"/>
          </w:tcPr>
          <w:p w14:paraId="004B0425"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1,165,000</w:t>
            </w:r>
          </w:p>
        </w:tc>
        <w:tc>
          <w:tcPr>
            <w:tcW w:w="0" w:type="auto"/>
          </w:tcPr>
          <w:p w14:paraId="58EAA85A"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5.05%</w:t>
            </w:r>
          </w:p>
        </w:tc>
      </w:tr>
      <w:tr w:rsidR="001D1EED" w:rsidRPr="00D51A65" w14:paraId="1FF74F91" w14:textId="77777777" w:rsidTr="001D1EED">
        <w:trPr>
          <w:trHeight w:val="20"/>
        </w:trPr>
        <w:tc>
          <w:tcPr>
            <w:tcW w:w="0" w:type="auto"/>
            <w:hideMark/>
          </w:tcPr>
          <w:p w14:paraId="43BF4230"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2015</w:t>
            </w:r>
          </w:p>
        </w:tc>
        <w:tc>
          <w:tcPr>
            <w:tcW w:w="0" w:type="auto"/>
            <w:hideMark/>
          </w:tcPr>
          <w:p w14:paraId="1B5B0CC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770,000</w:t>
            </w:r>
          </w:p>
        </w:tc>
        <w:tc>
          <w:tcPr>
            <w:tcW w:w="0" w:type="auto"/>
            <w:hideMark/>
          </w:tcPr>
          <w:p w14:paraId="0F05B98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6.50%</w:t>
            </w:r>
          </w:p>
        </w:tc>
        <w:tc>
          <w:tcPr>
            <w:tcW w:w="0" w:type="auto"/>
          </w:tcPr>
          <w:p w14:paraId="69AB79A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1,109,000</w:t>
            </w:r>
          </w:p>
        </w:tc>
        <w:tc>
          <w:tcPr>
            <w:tcW w:w="0" w:type="auto"/>
          </w:tcPr>
          <w:p w14:paraId="72682243"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4.92%</w:t>
            </w:r>
          </w:p>
        </w:tc>
      </w:tr>
      <w:tr w:rsidR="001D1EED" w:rsidRPr="00D51A65" w14:paraId="7D36419F" w14:textId="77777777" w:rsidTr="001D1EED">
        <w:trPr>
          <w:trHeight w:val="20"/>
        </w:trPr>
        <w:tc>
          <w:tcPr>
            <w:tcW w:w="0" w:type="auto"/>
            <w:hideMark/>
          </w:tcPr>
          <w:p w14:paraId="6DB41E74"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2014</w:t>
            </w:r>
          </w:p>
        </w:tc>
        <w:tc>
          <w:tcPr>
            <w:tcW w:w="0" w:type="auto"/>
            <w:hideMark/>
          </w:tcPr>
          <w:p w14:paraId="32012B7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723,000</w:t>
            </w:r>
          </w:p>
        </w:tc>
        <w:tc>
          <w:tcPr>
            <w:tcW w:w="0" w:type="auto"/>
            <w:hideMark/>
          </w:tcPr>
          <w:p w14:paraId="71EE7B94"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6.48%</w:t>
            </w:r>
          </w:p>
        </w:tc>
        <w:tc>
          <w:tcPr>
            <w:tcW w:w="0" w:type="auto"/>
          </w:tcPr>
          <w:p w14:paraId="6507D1C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1,057,000</w:t>
            </w:r>
          </w:p>
        </w:tc>
        <w:tc>
          <w:tcPr>
            <w:tcW w:w="0" w:type="auto"/>
          </w:tcPr>
          <w:p w14:paraId="78089B2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5.07%</w:t>
            </w:r>
          </w:p>
        </w:tc>
      </w:tr>
      <w:tr w:rsidR="001D1EED" w:rsidRPr="00D51A65" w14:paraId="7420F38B" w14:textId="77777777" w:rsidTr="001D1EED">
        <w:trPr>
          <w:trHeight w:val="20"/>
        </w:trPr>
        <w:tc>
          <w:tcPr>
            <w:tcW w:w="0" w:type="auto"/>
            <w:hideMark/>
          </w:tcPr>
          <w:p w14:paraId="2580722A"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2013</w:t>
            </w:r>
          </w:p>
        </w:tc>
        <w:tc>
          <w:tcPr>
            <w:tcW w:w="0" w:type="auto"/>
            <w:hideMark/>
          </w:tcPr>
          <w:p w14:paraId="4BA88368"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679,000</w:t>
            </w:r>
          </w:p>
        </w:tc>
        <w:tc>
          <w:tcPr>
            <w:tcW w:w="0" w:type="auto"/>
            <w:hideMark/>
          </w:tcPr>
          <w:p w14:paraId="1AC617E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6.43%</w:t>
            </w:r>
          </w:p>
        </w:tc>
        <w:tc>
          <w:tcPr>
            <w:tcW w:w="0" w:type="auto"/>
          </w:tcPr>
          <w:p w14:paraId="3C90D58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1,006,000</w:t>
            </w:r>
          </w:p>
        </w:tc>
        <w:tc>
          <w:tcPr>
            <w:tcW w:w="0" w:type="auto"/>
          </w:tcPr>
          <w:p w14:paraId="1B5DAF7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5.01%</w:t>
            </w:r>
          </w:p>
        </w:tc>
      </w:tr>
      <w:tr w:rsidR="001D1EED" w:rsidRPr="00D51A65" w14:paraId="646A28DE" w14:textId="77777777" w:rsidTr="001D1EED">
        <w:trPr>
          <w:trHeight w:val="20"/>
        </w:trPr>
        <w:tc>
          <w:tcPr>
            <w:tcW w:w="0" w:type="auto"/>
            <w:hideMark/>
          </w:tcPr>
          <w:p w14:paraId="2F2C05B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2012</w:t>
            </w:r>
          </w:p>
        </w:tc>
        <w:tc>
          <w:tcPr>
            <w:tcW w:w="0" w:type="auto"/>
            <w:hideMark/>
          </w:tcPr>
          <w:p w14:paraId="46E539B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638,000</w:t>
            </w:r>
          </w:p>
        </w:tc>
        <w:tc>
          <w:tcPr>
            <w:tcW w:w="0" w:type="auto"/>
            <w:hideMark/>
          </w:tcPr>
          <w:p w14:paraId="62E50131"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6.51%</w:t>
            </w:r>
          </w:p>
        </w:tc>
        <w:tc>
          <w:tcPr>
            <w:tcW w:w="0" w:type="auto"/>
          </w:tcPr>
          <w:p w14:paraId="066BA67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958,000</w:t>
            </w:r>
          </w:p>
        </w:tc>
        <w:tc>
          <w:tcPr>
            <w:tcW w:w="0" w:type="auto"/>
          </w:tcPr>
          <w:p w14:paraId="6ADE121F"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5.04%</w:t>
            </w:r>
          </w:p>
        </w:tc>
      </w:tr>
      <w:tr w:rsidR="001D1EED" w:rsidRPr="00D51A65" w14:paraId="36D9902F" w14:textId="77777777" w:rsidTr="001D1EED">
        <w:trPr>
          <w:trHeight w:val="20"/>
        </w:trPr>
        <w:tc>
          <w:tcPr>
            <w:tcW w:w="0" w:type="auto"/>
            <w:hideMark/>
          </w:tcPr>
          <w:p w14:paraId="57AEC55B"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2011</w:t>
            </w:r>
          </w:p>
        </w:tc>
        <w:tc>
          <w:tcPr>
            <w:tcW w:w="0" w:type="auto"/>
            <w:hideMark/>
          </w:tcPr>
          <w:p w14:paraId="66D625CC"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599,000</w:t>
            </w:r>
          </w:p>
        </w:tc>
        <w:tc>
          <w:tcPr>
            <w:tcW w:w="0" w:type="auto"/>
            <w:hideMark/>
          </w:tcPr>
          <w:p w14:paraId="4074F8F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6.58%</w:t>
            </w:r>
          </w:p>
        </w:tc>
        <w:tc>
          <w:tcPr>
            <w:tcW w:w="0" w:type="auto"/>
          </w:tcPr>
          <w:p w14:paraId="62803794"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912,000</w:t>
            </w:r>
          </w:p>
        </w:tc>
        <w:tc>
          <w:tcPr>
            <w:tcW w:w="0" w:type="auto"/>
          </w:tcPr>
          <w:p w14:paraId="6BE121C6"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4.95%</w:t>
            </w:r>
          </w:p>
        </w:tc>
      </w:tr>
      <w:tr w:rsidR="001D1EED" w:rsidRPr="00D51A65" w14:paraId="4FB1CD20" w14:textId="77777777" w:rsidTr="001D1EED">
        <w:trPr>
          <w:trHeight w:val="20"/>
        </w:trPr>
        <w:tc>
          <w:tcPr>
            <w:tcW w:w="0" w:type="auto"/>
            <w:hideMark/>
          </w:tcPr>
          <w:p w14:paraId="537D1A3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2010</w:t>
            </w:r>
          </w:p>
        </w:tc>
        <w:tc>
          <w:tcPr>
            <w:tcW w:w="0" w:type="auto"/>
            <w:hideMark/>
          </w:tcPr>
          <w:p w14:paraId="016474B9"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562,000</w:t>
            </w:r>
          </w:p>
        </w:tc>
        <w:tc>
          <w:tcPr>
            <w:tcW w:w="0" w:type="auto"/>
            <w:hideMark/>
          </w:tcPr>
          <w:p w14:paraId="05DE9987"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6.44%</w:t>
            </w:r>
          </w:p>
        </w:tc>
        <w:tc>
          <w:tcPr>
            <w:tcW w:w="0" w:type="auto"/>
          </w:tcPr>
          <w:p w14:paraId="47B48BFD"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869,000</w:t>
            </w:r>
          </w:p>
        </w:tc>
        <w:tc>
          <w:tcPr>
            <w:tcW w:w="0" w:type="auto"/>
          </w:tcPr>
          <w:p w14:paraId="746B33DE"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4.95%</w:t>
            </w:r>
          </w:p>
        </w:tc>
      </w:tr>
      <w:tr w:rsidR="001D1EED" w:rsidRPr="00D51A65" w14:paraId="5840952E" w14:textId="77777777" w:rsidTr="001D1EED">
        <w:trPr>
          <w:trHeight w:val="20"/>
        </w:trPr>
        <w:tc>
          <w:tcPr>
            <w:tcW w:w="0" w:type="auto"/>
            <w:gridSpan w:val="5"/>
          </w:tcPr>
          <w:p w14:paraId="731719AA" w14:textId="77777777" w:rsidR="001D1EED" w:rsidRPr="00D51A65" w:rsidRDefault="001D1EED" w:rsidP="001D1EED">
            <w:pPr>
              <w:rPr>
                <w:rFonts w:ascii="Times New Roman" w:hAnsi="Times New Roman" w:cs="Times New Roman"/>
                <w:sz w:val="24"/>
                <w:szCs w:val="24"/>
              </w:rPr>
            </w:pPr>
            <w:r w:rsidRPr="00D51A65">
              <w:rPr>
                <w:rFonts w:ascii="Times New Roman" w:hAnsi="Times New Roman" w:cs="Times New Roman"/>
                <w:sz w:val="24"/>
                <w:szCs w:val="24"/>
              </w:rPr>
              <w:t xml:space="preserve">Source: https://www.macrotrends.net/globalmetrics/cities/22013/ Nigeria Metro Area Population 1950-2024&lt;/a&gt;. www.macrotrends.net. </w:t>
            </w:r>
          </w:p>
        </w:tc>
      </w:tr>
    </w:tbl>
    <w:p w14:paraId="378B1AE5" w14:textId="77777777" w:rsidR="00CD61BC" w:rsidRDefault="00CD61BC" w:rsidP="00CD61BC">
      <w:pPr>
        <w:spacing w:after="0" w:line="480" w:lineRule="auto"/>
        <w:jc w:val="both"/>
        <w:rPr>
          <w:rFonts w:ascii="Times New Roman" w:hAnsi="Times New Roman" w:cs="Times New Roman"/>
          <w:sz w:val="24"/>
          <w:szCs w:val="24"/>
        </w:rPr>
      </w:pPr>
    </w:p>
    <w:p w14:paraId="0196A1B6" w14:textId="4E1B207E" w:rsidR="00001A62" w:rsidRPr="00001A62" w:rsidRDefault="00001A62" w:rsidP="00001A62">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Table 2: </w:t>
      </w:r>
      <w:r w:rsidRPr="00001A62">
        <w:rPr>
          <w:rFonts w:ascii="Times New Roman" w:eastAsiaTheme="minorEastAsia" w:hAnsi="Times New Roman" w:cs="Times New Roman"/>
          <w:b/>
          <w:bCs/>
          <w:sz w:val="24"/>
          <w:szCs w:val="24"/>
        </w:rPr>
        <w:t xml:space="preserve">The yearly mean values </w:t>
      </w:r>
      <w:r>
        <w:rPr>
          <w:rFonts w:ascii="Times New Roman" w:eastAsiaTheme="minorEastAsia" w:hAnsi="Times New Roman" w:cs="Times New Roman"/>
          <w:b/>
          <w:bCs/>
          <w:sz w:val="24"/>
          <w:szCs w:val="24"/>
        </w:rPr>
        <w:t>of the Weather Parameters</w:t>
      </w:r>
      <w:r w:rsidRPr="00001A62">
        <w:rPr>
          <w:rFonts w:ascii="Times New Roman" w:eastAsiaTheme="minorEastAsia" w:hAnsi="Times New Roman" w:cs="Times New Roman"/>
          <w:b/>
          <w:bCs/>
          <w:sz w:val="24"/>
          <w:szCs w:val="24"/>
        </w:rPr>
        <w:t xml:space="preserve"> (for Nnewi and Onitsha). </w:t>
      </w:r>
    </w:p>
    <w:tbl>
      <w:tblPr>
        <w:tblpPr w:leftFromText="180" w:rightFromText="180" w:vertAnchor="text" w:horzAnchor="page" w:tblpX="2056" w:tblpY="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36"/>
        <w:gridCol w:w="636"/>
        <w:gridCol w:w="636"/>
        <w:gridCol w:w="616"/>
        <w:gridCol w:w="750"/>
        <w:gridCol w:w="636"/>
        <w:gridCol w:w="803"/>
        <w:gridCol w:w="657"/>
      </w:tblGrid>
      <w:tr w:rsidR="001D1EED" w:rsidRPr="00001A62" w14:paraId="4A2D0B04" w14:textId="77777777" w:rsidTr="003B7B5D">
        <w:trPr>
          <w:trHeight w:val="405"/>
        </w:trPr>
        <w:tc>
          <w:tcPr>
            <w:tcW w:w="0" w:type="auto"/>
            <w:shd w:val="clear" w:color="auto" w:fill="auto"/>
            <w:noWrap/>
            <w:vAlign w:val="bottom"/>
          </w:tcPr>
          <w:p w14:paraId="40A7DA75" w14:textId="77777777" w:rsidR="001D1EED" w:rsidRPr="00001A62" w:rsidRDefault="001D1EED" w:rsidP="003B7B5D">
            <w:pPr>
              <w:spacing w:after="0" w:line="240" w:lineRule="auto"/>
              <w:rPr>
                <w:rFonts w:ascii="Times New Roman" w:eastAsia="Times New Roman" w:hAnsi="Times New Roman" w:cs="Times New Roman"/>
                <w:b/>
                <w:bCs/>
                <w:kern w:val="0"/>
                <w:sz w:val="24"/>
                <w:szCs w:val="24"/>
                <w14:ligatures w14:val="none"/>
              </w:rPr>
            </w:pPr>
          </w:p>
        </w:tc>
        <w:tc>
          <w:tcPr>
            <w:tcW w:w="0" w:type="auto"/>
            <w:gridSpan w:val="8"/>
            <w:shd w:val="clear" w:color="auto" w:fill="auto"/>
            <w:noWrap/>
            <w:vAlign w:val="bottom"/>
          </w:tcPr>
          <w:p w14:paraId="02747EB1" w14:textId="77777777" w:rsidR="001D1EED" w:rsidRPr="00001A62" w:rsidRDefault="001D1EED" w:rsidP="003B7B5D">
            <w:pPr>
              <w:spacing w:after="0" w:line="240" w:lineRule="auto"/>
              <w:jc w:val="center"/>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8"/>
                <w:szCs w:val="28"/>
                <w14:ligatures w14:val="none"/>
              </w:rPr>
              <w:t>Nnewi</w:t>
            </w:r>
          </w:p>
        </w:tc>
      </w:tr>
      <w:tr w:rsidR="001D1EED" w:rsidRPr="00001A62" w14:paraId="56E076E5" w14:textId="77777777" w:rsidTr="003B7B5D">
        <w:trPr>
          <w:trHeight w:val="405"/>
        </w:trPr>
        <w:tc>
          <w:tcPr>
            <w:tcW w:w="0" w:type="auto"/>
            <w:shd w:val="clear" w:color="auto" w:fill="auto"/>
            <w:noWrap/>
            <w:vAlign w:val="bottom"/>
            <w:hideMark/>
          </w:tcPr>
          <w:p w14:paraId="3D0C7392"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kern w:val="0"/>
                <w:sz w:val="24"/>
                <w:szCs w:val="24"/>
                <w14:ligatures w14:val="none"/>
              </w:rPr>
              <w:t>Date</w:t>
            </w:r>
          </w:p>
        </w:tc>
        <w:tc>
          <w:tcPr>
            <w:tcW w:w="0" w:type="auto"/>
            <w:shd w:val="clear" w:color="auto" w:fill="auto"/>
            <w:noWrap/>
            <w:vAlign w:val="bottom"/>
            <w:hideMark/>
          </w:tcPr>
          <w:p w14:paraId="21BA6DB9"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T</w:t>
            </w:r>
          </w:p>
        </w:tc>
        <w:tc>
          <w:tcPr>
            <w:tcW w:w="0" w:type="auto"/>
            <w:shd w:val="clear" w:color="auto" w:fill="auto"/>
            <w:noWrap/>
            <w:vAlign w:val="bottom"/>
            <w:hideMark/>
          </w:tcPr>
          <w:p w14:paraId="08102934"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DP</w:t>
            </w:r>
          </w:p>
        </w:tc>
        <w:tc>
          <w:tcPr>
            <w:tcW w:w="0" w:type="auto"/>
            <w:shd w:val="clear" w:color="auto" w:fill="auto"/>
            <w:noWrap/>
            <w:vAlign w:val="bottom"/>
            <w:hideMark/>
          </w:tcPr>
          <w:p w14:paraId="6F095EF1"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H</w:t>
            </w:r>
          </w:p>
        </w:tc>
        <w:tc>
          <w:tcPr>
            <w:tcW w:w="0" w:type="auto"/>
            <w:shd w:val="clear" w:color="auto" w:fill="auto"/>
            <w:noWrap/>
            <w:vAlign w:val="bottom"/>
            <w:hideMark/>
          </w:tcPr>
          <w:p w14:paraId="558C4673"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PP</w:t>
            </w:r>
          </w:p>
        </w:tc>
        <w:tc>
          <w:tcPr>
            <w:tcW w:w="0" w:type="auto"/>
            <w:shd w:val="clear" w:color="auto" w:fill="auto"/>
            <w:noWrap/>
            <w:vAlign w:val="bottom"/>
            <w:hideMark/>
          </w:tcPr>
          <w:p w14:paraId="01779035"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WS</w:t>
            </w:r>
          </w:p>
        </w:tc>
        <w:tc>
          <w:tcPr>
            <w:tcW w:w="0" w:type="auto"/>
            <w:shd w:val="clear" w:color="auto" w:fill="auto"/>
            <w:noWrap/>
            <w:vAlign w:val="bottom"/>
            <w:hideMark/>
          </w:tcPr>
          <w:p w14:paraId="62E40057"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CC</w:t>
            </w:r>
          </w:p>
        </w:tc>
        <w:tc>
          <w:tcPr>
            <w:tcW w:w="0" w:type="auto"/>
            <w:shd w:val="clear" w:color="auto" w:fill="auto"/>
            <w:noWrap/>
            <w:vAlign w:val="bottom"/>
            <w:hideMark/>
          </w:tcPr>
          <w:p w14:paraId="5FEE078F" w14:textId="77777777" w:rsidR="001D1EED" w:rsidRPr="00001A62" w:rsidRDefault="001D1EED" w:rsidP="003B7B5D">
            <w:pPr>
              <w:spacing w:after="0" w:line="240" w:lineRule="auto"/>
              <w:rPr>
                <w:rFonts w:ascii="Times New Roman" w:eastAsia="Times New Roman" w:hAnsi="Times New Roman" w:cs="Times New Roman"/>
                <w:b/>
                <w:bCs/>
                <w:color w:val="333333"/>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SR</w:t>
            </w:r>
          </w:p>
        </w:tc>
        <w:tc>
          <w:tcPr>
            <w:tcW w:w="0" w:type="auto"/>
            <w:shd w:val="clear" w:color="auto" w:fill="auto"/>
            <w:noWrap/>
            <w:vAlign w:val="bottom"/>
            <w:hideMark/>
          </w:tcPr>
          <w:p w14:paraId="49A4EB37" w14:textId="77777777" w:rsidR="001D1EED" w:rsidRPr="00001A62" w:rsidRDefault="001D1EED" w:rsidP="003B7B5D">
            <w:pPr>
              <w:spacing w:after="0" w:line="240" w:lineRule="auto"/>
              <w:rPr>
                <w:rFonts w:ascii="Times New Roman" w:eastAsia="Times New Roman" w:hAnsi="Times New Roman" w:cs="Times New Roman"/>
                <w:b/>
                <w:bCs/>
                <w:color w:val="333333"/>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UVI</w:t>
            </w:r>
          </w:p>
        </w:tc>
      </w:tr>
      <w:tr w:rsidR="001D1EED" w:rsidRPr="00001A62" w14:paraId="7294CFF9" w14:textId="77777777" w:rsidTr="003B7B5D">
        <w:trPr>
          <w:trHeight w:val="300"/>
        </w:trPr>
        <w:tc>
          <w:tcPr>
            <w:tcW w:w="0" w:type="auto"/>
            <w:shd w:val="clear" w:color="auto" w:fill="auto"/>
            <w:noWrap/>
            <w:vAlign w:val="bottom"/>
            <w:hideMark/>
          </w:tcPr>
          <w:p w14:paraId="7C3E07D4"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p>
        </w:tc>
        <w:tc>
          <w:tcPr>
            <w:tcW w:w="0" w:type="auto"/>
            <w:shd w:val="clear" w:color="auto" w:fill="auto"/>
            <w:noWrap/>
            <w:vAlign w:val="bottom"/>
            <w:hideMark/>
          </w:tcPr>
          <w:p w14:paraId="72BF4BA5"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vertAlign w:val="superscript"/>
                <w14:ligatures w14:val="none"/>
              </w:rPr>
              <w:t>o</w:t>
            </w:r>
            <w:r w:rsidRPr="00001A62">
              <w:rPr>
                <w:rFonts w:ascii="Times New Roman" w:eastAsia="Times New Roman" w:hAnsi="Times New Roman" w:cs="Times New Roman"/>
                <w:b/>
                <w:bCs/>
                <w:color w:val="000000"/>
                <w:kern w:val="0"/>
                <w:sz w:val="24"/>
                <w:szCs w:val="24"/>
                <w14:ligatures w14:val="none"/>
              </w:rPr>
              <w:t>C</w:t>
            </w:r>
          </w:p>
        </w:tc>
        <w:tc>
          <w:tcPr>
            <w:tcW w:w="0" w:type="auto"/>
            <w:shd w:val="clear" w:color="auto" w:fill="auto"/>
            <w:noWrap/>
            <w:vAlign w:val="bottom"/>
            <w:hideMark/>
          </w:tcPr>
          <w:p w14:paraId="2FC5EE0E"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vertAlign w:val="superscript"/>
                <w14:ligatures w14:val="none"/>
              </w:rPr>
              <w:t>o</w:t>
            </w:r>
            <w:r w:rsidRPr="00001A62">
              <w:rPr>
                <w:rFonts w:ascii="Times New Roman" w:eastAsia="Times New Roman" w:hAnsi="Times New Roman" w:cs="Times New Roman"/>
                <w:b/>
                <w:bCs/>
                <w:color w:val="000000"/>
                <w:kern w:val="0"/>
                <w:sz w:val="24"/>
                <w:szCs w:val="24"/>
                <w14:ligatures w14:val="none"/>
              </w:rPr>
              <w:t>C</w:t>
            </w:r>
          </w:p>
        </w:tc>
        <w:tc>
          <w:tcPr>
            <w:tcW w:w="0" w:type="auto"/>
            <w:shd w:val="clear" w:color="auto" w:fill="auto"/>
            <w:noWrap/>
            <w:vAlign w:val="bottom"/>
            <w:hideMark/>
          </w:tcPr>
          <w:p w14:paraId="574A6554"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w:t>
            </w:r>
          </w:p>
        </w:tc>
        <w:tc>
          <w:tcPr>
            <w:tcW w:w="0" w:type="auto"/>
            <w:shd w:val="clear" w:color="auto" w:fill="auto"/>
            <w:noWrap/>
            <w:vAlign w:val="bottom"/>
            <w:hideMark/>
          </w:tcPr>
          <w:p w14:paraId="5C1E23FA"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mm</w:t>
            </w:r>
          </w:p>
        </w:tc>
        <w:tc>
          <w:tcPr>
            <w:tcW w:w="0" w:type="auto"/>
            <w:shd w:val="clear" w:color="auto" w:fill="auto"/>
            <w:noWrap/>
            <w:vAlign w:val="bottom"/>
            <w:hideMark/>
          </w:tcPr>
          <w:p w14:paraId="0B570D35"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km/h</w:t>
            </w:r>
          </w:p>
        </w:tc>
        <w:tc>
          <w:tcPr>
            <w:tcW w:w="0" w:type="auto"/>
            <w:shd w:val="clear" w:color="auto" w:fill="auto"/>
            <w:noWrap/>
            <w:vAlign w:val="bottom"/>
            <w:hideMark/>
          </w:tcPr>
          <w:p w14:paraId="25A26680"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w:t>
            </w:r>
          </w:p>
        </w:tc>
        <w:tc>
          <w:tcPr>
            <w:tcW w:w="0" w:type="auto"/>
            <w:shd w:val="clear" w:color="auto" w:fill="auto"/>
            <w:noWrap/>
            <w:vAlign w:val="bottom"/>
            <w:hideMark/>
          </w:tcPr>
          <w:p w14:paraId="6242F179"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333333"/>
                <w:kern w:val="0"/>
                <w:sz w:val="24"/>
                <w:szCs w:val="24"/>
                <w14:ligatures w14:val="none"/>
              </w:rPr>
              <w:t>W/m</w:t>
            </w:r>
            <w:r w:rsidRPr="00001A62">
              <w:rPr>
                <w:rFonts w:ascii="Times New Roman" w:eastAsia="Times New Roman" w:hAnsi="Times New Roman" w:cs="Times New Roman"/>
                <w:b/>
                <w:bCs/>
                <w:color w:val="333333"/>
                <w:kern w:val="0"/>
                <w:sz w:val="24"/>
                <w:szCs w:val="24"/>
                <w:vertAlign w:val="superscript"/>
                <w14:ligatures w14:val="none"/>
              </w:rPr>
              <w:t>2</w:t>
            </w:r>
          </w:p>
        </w:tc>
        <w:tc>
          <w:tcPr>
            <w:tcW w:w="0" w:type="auto"/>
            <w:shd w:val="clear" w:color="auto" w:fill="auto"/>
            <w:noWrap/>
            <w:vAlign w:val="bottom"/>
            <w:hideMark/>
          </w:tcPr>
          <w:p w14:paraId="3D3698E8" w14:textId="77777777" w:rsidR="001D1EED" w:rsidRPr="00001A62" w:rsidRDefault="001D1EED" w:rsidP="003B7B5D">
            <w:pPr>
              <w:spacing w:after="0" w:line="240" w:lineRule="auto"/>
              <w:rPr>
                <w:rFonts w:ascii="Times New Roman" w:eastAsia="Times New Roman" w:hAnsi="Times New Roman" w:cs="Times New Roman"/>
                <w:b/>
                <w:bCs/>
                <w:color w:val="000000"/>
                <w:kern w:val="0"/>
                <w:sz w:val="24"/>
                <w:szCs w:val="24"/>
                <w14:ligatures w14:val="none"/>
              </w:rPr>
            </w:pPr>
          </w:p>
        </w:tc>
      </w:tr>
      <w:tr w:rsidR="001D1EED" w:rsidRPr="00001A62" w14:paraId="63305853" w14:textId="77777777" w:rsidTr="003B7B5D">
        <w:trPr>
          <w:trHeight w:val="300"/>
        </w:trPr>
        <w:tc>
          <w:tcPr>
            <w:tcW w:w="0" w:type="auto"/>
            <w:shd w:val="clear" w:color="auto" w:fill="auto"/>
            <w:noWrap/>
            <w:vAlign w:val="bottom"/>
            <w:hideMark/>
          </w:tcPr>
          <w:p w14:paraId="51FB7F8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2010</w:t>
            </w:r>
          </w:p>
        </w:tc>
        <w:tc>
          <w:tcPr>
            <w:tcW w:w="0" w:type="auto"/>
            <w:shd w:val="clear" w:color="auto" w:fill="auto"/>
            <w:noWrap/>
            <w:vAlign w:val="bottom"/>
            <w:hideMark/>
          </w:tcPr>
          <w:p w14:paraId="3858A32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25.9</w:t>
            </w:r>
          </w:p>
        </w:tc>
        <w:tc>
          <w:tcPr>
            <w:tcW w:w="0" w:type="auto"/>
            <w:shd w:val="clear" w:color="auto" w:fill="auto"/>
            <w:noWrap/>
            <w:vAlign w:val="bottom"/>
            <w:hideMark/>
          </w:tcPr>
          <w:p w14:paraId="3B78F19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23.8</w:t>
            </w:r>
          </w:p>
        </w:tc>
        <w:tc>
          <w:tcPr>
            <w:tcW w:w="0" w:type="auto"/>
            <w:shd w:val="clear" w:color="auto" w:fill="auto"/>
            <w:noWrap/>
            <w:vAlign w:val="bottom"/>
            <w:hideMark/>
          </w:tcPr>
          <w:p w14:paraId="29D89AC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88.7</w:t>
            </w:r>
          </w:p>
        </w:tc>
        <w:tc>
          <w:tcPr>
            <w:tcW w:w="0" w:type="auto"/>
            <w:shd w:val="clear" w:color="auto" w:fill="auto"/>
            <w:noWrap/>
            <w:vAlign w:val="bottom"/>
            <w:hideMark/>
          </w:tcPr>
          <w:p w14:paraId="75B5855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5.1</w:t>
            </w:r>
          </w:p>
        </w:tc>
        <w:tc>
          <w:tcPr>
            <w:tcW w:w="0" w:type="auto"/>
            <w:shd w:val="clear" w:color="auto" w:fill="auto"/>
            <w:noWrap/>
            <w:vAlign w:val="bottom"/>
            <w:hideMark/>
          </w:tcPr>
          <w:p w14:paraId="4FCA949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11.6</w:t>
            </w:r>
          </w:p>
        </w:tc>
        <w:tc>
          <w:tcPr>
            <w:tcW w:w="0" w:type="auto"/>
            <w:shd w:val="clear" w:color="auto" w:fill="auto"/>
            <w:noWrap/>
            <w:vAlign w:val="bottom"/>
            <w:hideMark/>
          </w:tcPr>
          <w:p w14:paraId="29B3EB5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76.4</w:t>
            </w:r>
          </w:p>
        </w:tc>
        <w:tc>
          <w:tcPr>
            <w:tcW w:w="0" w:type="auto"/>
            <w:shd w:val="clear" w:color="auto" w:fill="auto"/>
            <w:noWrap/>
            <w:vAlign w:val="bottom"/>
            <w:hideMark/>
          </w:tcPr>
          <w:p w14:paraId="7657DA5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163.4</w:t>
            </w:r>
          </w:p>
        </w:tc>
        <w:tc>
          <w:tcPr>
            <w:tcW w:w="0" w:type="auto"/>
            <w:shd w:val="clear" w:color="auto" w:fill="auto"/>
            <w:noWrap/>
            <w:vAlign w:val="bottom"/>
            <w:hideMark/>
          </w:tcPr>
          <w:p w14:paraId="236134B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5.9</w:t>
            </w:r>
          </w:p>
        </w:tc>
      </w:tr>
      <w:tr w:rsidR="001D1EED" w:rsidRPr="00001A62" w14:paraId="7D91768C" w14:textId="77777777" w:rsidTr="003B7B5D">
        <w:trPr>
          <w:trHeight w:val="300"/>
        </w:trPr>
        <w:tc>
          <w:tcPr>
            <w:tcW w:w="0" w:type="auto"/>
            <w:shd w:val="clear" w:color="auto" w:fill="auto"/>
            <w:noWrap/>
            <w:vAlign w:val="bottom"/>
            <w:hideMark/>
          </w:tcPr>
          <w:p w14:paraId="50B94E0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2011</w:t>
            </w:r>
          </w:p>
        </w:tc>
        <w:tc>
          <w:tcPr>
            <w:tcW w:w="0" w:type="auto"/>
            <w:shd w:val="clear" w:color="auto" w:fill="auto"/>
            <w:noWrap/>
            <w:vAlign w:val="bottom"/>
            <w:hideMark/>
          </w:tcPr>
          <w:p w14:paraId="6FF44A1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25.5</w:t>
            </w:r>
          </w:p>
        </w:tc>
        <w:tc>
          <w:tcPr>
            <w:tcW w:w="0" w:type="auto"/>
            <w:shd w:val="clear" w:color="auto" w:fill="auto"/>
            <w:noWrap/>
            <w:vAlign w:val="bottom"/>
            <w:hideMark/>
          </w:tcPr>
          <w:p w14:paraId="09CC7BB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hideMark/>
          </w:tcPr>
          <w:p w14:paraId="04B2665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89.0</w:t>
            </w:r>
          </w:p>
        </w:tc>
        <w:tc>
          <w:tcPr>
            <w:tcW w:w="0" w:type="auto"/>
            <w:shd w:val="clear" w:color="auto" w:fill="auto"/>
            <w:noWrap/>
            <w:vAlign w:val="bottom"/>
            <w:hideMark/>
          </w:tcPr>
          <w:p w14:paraId="4B0D933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4.8</w:t>
            </w:r>
          </w:p>
        </w:tc>
        <w:tc>
          <w:tcPr>
            <w:tcW w:w="0" w:type="auto"/>
            <w:shd w:val="clear" w:color="auto" w:fill="auto"/>
            <w:noWrap/>
            <w:vAlign w:val="bottom"/>
            <w:hideMark/>
          </w:tcPr>
          <w:p w14:paraId="62D57CD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12.1</w:t>
            </w:r>
          </w:p>
        </w:tc>
        <w:tc>
          <w:tcPr>
            <w:tcW w:w="0" w:type="auto"/>
            <w:shd w:val="clear" w:color="auto" w:fill="auto"/>
            <w:noWrap/>
            <w:vAlign w:val="bottom"/>
            <w:hideMark/>
          </w:tcPr>
          <w:p w14:paraId="3324535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76.2</w:t>
            </w:r>
          </w:p>
        </w:tc>
        <w:tc>
          <w:tcPr>
            <w:tcW w:w="0" w:type="auto"/>
            <w:shd w:val="clear" w:color="auto" w:fill="auto"/>
            <w:noWrap/>
            <w:vAlign w:val="bottom"/>
            <w:hideMark/>
          </w:tcPr>
          <w:p w14:paraId="139D689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166.1</w:t>
            </w:r>
          </w:p>
        </w:tc>
        <w:tc>
          <w:tcPr>
            <w:tcW w:w="0" w:type="auto"/>
            <w:shd w:val="clear" w:color="auto" w:fill="auto"/>
            <w:noWrap/>
            <w:vAlign w:val="bottom"/>
            <w:hideMark/>
          </w:tcPr>
          <w:p w14:paraId="18C2A06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6.0</w:t>
            </w:r>
          </w:p>
        </w:tc>
      </w:tr>
      <w:tr w:rsidR="001D1EED" w:rsidRPr="00001A62" w14:paraId="516480C3" w14:textId="77777777" w:rsidTr="003B7B5D">
        <w:trPr>
          <w:trHeight w:val="300"/>
        </w:trPr>
        <w:tc>
          <w:tcPr>
            <w:tcW w:w="0" w:type="auto"/>
            <w:shd w:val="clear" w:color="auto" w:fill="auto"/>
            <w:noWrap/>
            <w:vAlign w:val="bottom"/>
            <w:hideMark/>
          </w:tcPr>
          <w:p w14:paraId="507DC9D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2012</w:t>
            </w:r>
          </w:p>
        </w:tc>
        <w:tc>
          <w:tcPr>
            <w:tcW w:w="0" w:type="auto"/>
            <w:shd w:val="clear" w:color="auto" w:fill="auto"/>
            <w:noWrap/>
            <w:vAlign w:val="bottom"/>
            <w:hideMark/>
          </w:tcPr>
          <w:p w14:paraId="04B586B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25.4</w:t>
            </w:r>
          </w:p>
        </w:tc>
        <w:tc>
          <w:tcPr>
            <w:tcW w:w="0" w:type="auto"/>
            <w:shd w:val="clear" w:color="auto" w:fill="auto"/>
            <w:noWrap/>
            <w:vAlign w:val="bottom"/>
            <w:hideMark/>
          </w:tcPr>
          <w:p w14:paraId="42FED2A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hideMark/>
          </w:tcPr>
          <w:p w14:paraId="44E35FC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88.9</w:t>
            </w:r>
          </w:p>
        </w:tc>
        <w:tc>
          <w:tcPr>
            <w:tcW w:w="0" w:type="auto"/>
            <w:shd w:val="clear" w:color="auto" w:fill="auto"/>
            <w:noWrap/>
            <w:vAlign w:val="bottom"/>
            <w:hideMark/>
          </w:tcPr>
          <w:p w14:paraId="61DD2CD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4.8</w:t>
            </w:r>
          </w:p>
        </w:tc>
        <w:tc>
          <w:tcPr>
            <w:tcW w:w="0" w:type="auto"/>
            <w:shd w:val="clear" w:color="auto" w:fill="auto"/>
            <w:noWrap/>
            <w:vAlign w:val="bottom"/>
            <w:hideMark/>
          </w:tcPr>
          <w:p w14:paraId="7D0E9AC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12.9</w:t>
            </w:r>
          </w:p>
        </w:tc>
        <w:tc>
          <w:tcPr>
            <w:tcW w:w="0" w:type="auto"/>
            <w:shd w:val="clear" w:color="auto" w:fill="auto"/>
            <w:noWrap/>
            <w:vAlign w:val="bottom"/>
            <w:hideMark/>
          </w:tcPr>
          <w:p w14:paraId="3455DB7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75.8</w:t>
            </w:r>
          </w:p>
        </w:tc>
        <w:tc>
          <w:tcPr>
            <w:tcW w:w="0" w:type="auto"/>
            <w:shd w:val="clear" w:color="auto" w:fill="auto"/>
            <w:noWrap/>
            <w:vAlign w:val="bottom"/>
            <w:hideMark/>
          </w:tcPr>
          <w:p w14:paraId="5CD0CC7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163.3</w:t>
            </w:r>
          </w:p>
        </w:tc>
        <w:tc>
          <w:tcPr>
            <w:tcW w:w="0" w:type="auto"/>
            <w:shd w:val="clear" w:color="auto" w:fill="auto"/>
            <w:noWrap/>
            <w:vAlign w:val="bottom"/>
            <w:hideMark/>
          </w:tcPr>
          <w:p w14:paraId="51414E4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5.8</w:t>
            </w:r>
          </w:p>
        </w:tc>
      </w:tr>
      <w:tr w:rsidR="001D1EED" w:rsidRPr="00001A62" w14:paraId="608DBFF7" w14:textId="77777777" w:rsidTr="003B7B5D">
        <w:trPr>
          <w:trHeight w:val="300"/>
        </w:trPr>
        <w:tc>
          <w:tcPr>
            <w:tcW w:w="0" w:type="auto"/>
            <w:shd w:val="clear" w:color="auto" w:fill="auto"/>
            <w:noWrap/>
            <w:vAlign w:val="bottom"/>
            <w:hideMark/>
          </w:tcPr>
          <w:p w14:paraId="17AC8E9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2013</w:t>
            </w:r>
          </w:p>
        </w:tc>
        <w:tc>
          <w:tcPr>
            <w:tcW w:w="0" w:type="auto"/>
            <w:shd w:val="clear" w:color="auto" w:fill="auto"/>
            <w:noWrap/>
            <w:vAlign w:val="bottom"/>
            <w:hideMark/>
          </w:tcPr>
          <w:p w14:paraId="51E5D5F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25.5</w:t>
            </w:r>
          </w:p>
        </w:tc>
        <w:tc>
          <w:tcPr>
            <w:tcW w:w="0" w:type="auto"/>
            <w:shd w:val="clear" w:color="auto" w:fill="auto"/>
            <w:noWrap/>
            <w:vAlign w:val="bottom"/>
            <w:hideMark/>
          </w:tcPr>
          <w:p w14:paraId="794F6D8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23.6</w:t>
            </w:r>
          </w:p>
        </w:tc>
        <w:tc>
          <w:tcPr>
            <w:tcW w:w="0" w:type="auto"/>
            <w:shd w:val="clear" w:color="auto" w:fill="auto"/>
            <w:noWrap/>
            <w:vAlign w:val="bottom"/>
            <w:hideMark/>
          </w:tcPr>
          <w:p w14:paraId="7728CDD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89.0</w:t>
            </w:r>
          </w:p>
        </w:tc>
        <w:tc>
          <w:tcPr>
            <w:tcW w:w="0" w:type="auto"/>
            <w:shd w:val="clear" w:color="auto" w:fill="auto"/>
            <w:noWrap/>
            <w:vAlign w:val="bottom"/>
            <w:hideMark/>
          </w:tcPr>
          <w:p w14:paraId="736DCB8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5.7</w:t>
            </w:r>
          </w:p>
        </w:tc>
        <w:tc>
          <w:tcPr>
            <w:tcW w:w="0" w:type="auto"/>
            <w:shd w:val="clear" w:color="auto" w:fill="auto"/>
            <w:noWrap/>
            <w:vAlign w:val="bottom"/>
            <w:hideMark/>
          </w:tcPr>
          <w:p w14:paraId="5626082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14.8</w:t>
            </w:r>
          </w:p>
        </w:tc>
        <w:tc>
          <w:tcPr>
            <w:tcW w:w="0" w:type="auto"/>
            <w:shd w:val="clear" w:color="auto" w:fill="auto"/>
            <w:noWrap/>
            <w:vAlign w:val="bottom"/>
            <w:hideMark/>
          </w:tcPr>
          <w:p w14:paraId="0C14BC9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77.2</w:t>
            </w:r>
          </w:p>
        </w:tc>
        <w:tc>
          <w:tcPr>
            <w:tcW w:w="0" w:type="auto"/>
            <w:shd w:val="clear" w:color="auto" w:fill="auto"/>
            <w:noWrap/>
            <w:vAlign w:val="bottom"/>
            <w:hideMark/>
          </w:tcPr>
          <w:p w14:paraId="12935AE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156.6</w:t>
            </w:r>
          </w:p>
        </w:tc>
        <w:tc>
          <w:tcPr>
            <w:tcW w:w="0" w:type="auto"/>
            <w:shd w:val="clear" w:color="auto" w:fill="auto"/>
            <w:noWrap/>
            <w:vAlign w:val="bottom"/>
            <w:hideMark/>
          </w:tcPr>
          <w:p w14:paraId="3A12067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5.7</w:t>
            </w:r>
          </w:p>
        </w:tc>
      </w:tr>
      <w:tr w:rsidR="001D1EED" w:rsidRPr="00001A62" w14:paraId="7BD88ABD" w14:textId="77777777" w:rsidTr="003B7B5D">
        <w:trPr>
          <w:trHeight w:val="300"/>
        </w:trPr>
        <w:tc>
          <w:tcPr>
            <w:tcW w:w="0" w:type="auto"/>
            <w:shd w:val="clear" w:color="auto" w:fill="auto"/>
            <w:noWrap/>
            <w:vAlign w:val="bottom"/>
            <w:hideMark/>
          </w:tcPr>
          <w:p w14:paraId="390A594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2014</w:t>
            </w:r>
          </w:p>
        </w:tc>
        <w:tc>
          <w:tcPr>
            <w:tcW w:w="0" w:type="auto"/>
            <w:shd w:val="clear" w:color="auto" w:fill="auto"/>
            <w:noWrap/>
            <w:vAlign w:val="bottom"/>
            <w:hideMark/>
          </w:tcPr>
          <w:p w14:paraId="5D10880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26.1</w:t>
            </w:r>
          </w:p>
        </w:tc>
        <w:tc>
          <w:tcPr>
            <w:tcW w:w="0" w:type="auto"/>
            <w:shd w:val="clear" w:color="auto" w:fill="auto"/>
            <w:noWrap/>
            <w:vAlign w:val="bottom"/>
            <w:hideMark/>
          </w:tcPr>
          <w:p w14:paraId="5E3F896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23.4</w:t>
            </w:r>
          </w:p>
        </w:tc>
        <w:tc>
          <w:tcPr>
            <w:tcW w:w="0" w:type="auto"/>
            <w:shd w:val="clear" w:color="auto" w:fill="auto"/>
            <w:noWrap/>
            <w:vAlign w:val="bottom"/>
            <w:hideMark/>
          </w:tcPr>
          <w:p w14:paraId="4687F15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87.8</w:t>
            </w:r>
          </w:p>
        </w:tc>
        <w:tc>
          <w:tcPr>
            <w:tcW w:w="0" w:type="auto"/>
            <w:shd w:val="clear" w:color="auto" w:fill="auto"/>
            <w:noWrap/>
            <w:vAlign w:val="bottom"/>
            <w:hideMark/>
          </w:tcPr>
          <w:p w14:paraId="684363A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3.4</w:t>
            </w:r>
          </w:p>
        </w:tc>
        <w:tc>
          <w:tcPr>
            <w:tcW w:w="0" w:type="auto"/>
            <w:shd w:val="clear" w:color="auto" w:fill="auto"/>
            <w:noWrap/>
            <w:vAlign w:val="bottom"/>
            <w:hideMark/>
          </w:tcPr>
          <w:p w14:paraId="7C53334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14.4</w:t>
            </w:r>
          </w:p>
        </w:tc>
        <w:tc>
          <w:tcPr>
            <w:tcW w:w="0" w:type="auto"/>
            <w:shd w:val="clear" w:color="auto" w:fill="auto"/>
            <w:noWrap/>
            <w:vAlign w:val="bottom"/>
            <w:hideMark/>
          </w:tcPr>
          <w:p w14:paraId="1EE3A97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74.9</w:t>
            </w:r>
          </w:p>
        </w:tc>
        <w:tc>
          <w:tcPr>
            <w:tcW w:w="0" w:type="auto"/>
            <w:shd w:val="clear" w:color="auto" w:fill="auto"/>
            <w:noWrap/>
            <w:vAlign w:val="bottom"/>
            <w:hideMark/>
          </w:tcPr>
          <w:p w14:paraId="1EE9701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168.0</w:t>
            </w:r>
          </w:p>
        </w:tc>
        <w:tc>
          <w:tcPr>
            <w:tcW w:w="0" w:type="auto"/>
            <w:shd w:val="clear" w:color="auto" w:fill="auto"/>
            <w:noWrap/>
            <w:vAlign w:val="bottom"/>
            <w:hideMark/>
          </w:tcPr>
          <w:p w14:paraId="7C7DA96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6.0</w:t>
            </w:r>
          </w:p>
        </w:tc>
      </w:tr>
      <w:tr w:rsidR="001D1EED" w:rsidRPr="00001A62" w14:paraId="22414F45" w14:textId="77777777" w:rsidTr="003B7B5D">
        <w:trPr>
          <w:trHeight w:val="300"/>
        </w:trPr>
        <w:tc>
          <w:tcPr>
            <w:tcW w:w="0" w:type="auto"/>
            <w:shd w:val="clear" w:color="auto" w:fill="auto"/>
            <w:noWrap/>
            <w:vAlign w:val="bottom"/>
            <w:hideMark/>
          </w:tcPr>
          <w:p w14:paraId="3D4F690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2015</w:t>
            </w:r>
          </w:p>
        </w:tc>
        <w:tc>
          <w:tcPr>
            <w:tcW w:w="0" w:type="auto"/>
            <w:shd w:val="clear" w:color="auto" w:fill="auto"/>
            <w:noWrap/>
            <w:vAlign w:val="bottom"/>
            <w:hideMark/>
          </w:tcPr>
          <w:p w14:paraId="2A7CE87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25.7</w:t>
            </w:r>
          </w:p>
        </w:tc>
        <w:tc>
          <w:tcPr>
            <w:tcW w:w="0" w:type="auto"/>
            <w:shd w:val="clear" w:color="auto" w:fill="auto"/>
            <w:noWrap/>
            <w:vAlign w:val="bottom"/>
            <w:hideMark/>
          </w:tcPr>
          <w:p w14:paraId="14EEFC8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23.7</w:t>
            </w:r>
          </w:p>
        </w:tc>
        <w:tc>
          <w:tcPr>
            <w:tcW w:w="0" w:type="auto"/>
            <w:shd w:val="clear" w:color="auto" w:fill="auto"/>
            <w:noWrap/>
            <w:vAlign w:val="bottom"/>
            <w:hideMark/>
          </w:tcPr>
          <w:p w14:paraId="2F5B15C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86.8</w:t>
            </w:r>
          </w:p>
        </w:tc>
        <w:tc>
          <w:tcPr>
            <w:tcW w:w="0" w:type="auto"/>
            <w:shd w:val="clear" w:color="auto" w:fill="auto"/>
            <w:noWrap/>
            <w:vAlign w:val="bottom"/>
            <w:hideMark/>
          </w:tcPr>
          <w:p w14:paraId="545F060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3.9</w:t>
            </w:r>
          </w:p>
        </w:tc>
        <w:tc>
          <w:tcPr>
            <w:tcW w:w="0" w:type="auto"/>
            <w:shd w:val="clear" w:color="auto" w:fill="auto"/>
            <w:noWrap/>
            <w:vAlign w:val="bottom"/>
            <w:hideMark/>
          </w:tcPr>
          <w:p w14:paraId="5C76FDC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15.0</w:t>
            </w:r>
          </w:p>
        </w:tc>
        <w:tc>
          <w:tcPr>
            <w:tcW w:w="0" w:type="auto"/>
            <w:shd w:val="clear" w:color="auto" w:fill="auto"/>
            <w:noWrap/>
            <w:vAlign w:val="bottom"/>
            <w:hideMark/>
          </w:tcPr>
          <w:p w14:paraId="5BF1AC5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76.8</w:t>
            </w:r>
          </w:p>
        </w:tc>
        <w:tc>
          <w:tcPr>
            <w:tcW w:w="0" w:type="auto"/>
            <w:shd w:val="clear" w:color="auto" w:fill="auto"/>
            <w:noWrap/>
            <w:vAlign w:val="bottom"/>
            <w:hideMark/>
          </w:tcPr>
          <w:p w14:paraId="616CFCD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163.2</w:t>
            </w:r>
          </w:p>
        </w:tc>
        <w:tc>
          <w:tcPr>
            <w:tcW w:w="0" w:type="auto"/>
            <w:shd w:val="clear" w:color="auto" w:fill="auto"/>
            <w:noWrap/>
            <w:vAlign w:val="bottom"/>
            <w:hideMark/>
          </w:tcPr>
          <w:p w14:paraId="2D2C944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5.9</w:t>
            </w:r>
          </w:p>
        </w:tc>
      </w:tr>
      <w:tr w:rsidR="001D1EED" w:rsidRPr="00001A62" w14:paraId="7591A394" w14:textId="77777777" w:rsidTr="003B7B5D">
        <w:trPr>
          <w:trHeight w:val="300"/>
        </w:trPr>
        <w:tc>
          <w:tcPr>
            <w:tcW w:w="0" w:type="auto"/>
            <w:shd w:val="clear" w:color="auto" w:fill="auto"/>
            <w:noWrap/>
            <w:vAlign w:val="bottom"/>
            <w:hideMark/>
          </w:tcPr>
          <w:p w14:paraId="3E8ADDF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2016</w:t>
            </w:r>
          </w:p>
        </w:tc>
        <w:tc>
          <w:tcPr>
            <w:tcW w:w="0" w:type="auto"/>
            <w:shd w:val="clear" w:color="auto" w:fill="auto"/>
            <w:noWrap/>
            <w:vAlign w:val="bottom"/>
            <w:hideMark/>
          </w:tcPr>
          <w:p w14:paraId="7072F72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25.9</w:t>
            </w:r>
          </w:p>
        </w:tc>
        <w:tc>
          <w:tcPr>
            <w:tcW w:w="0" w:type="auto"/>
            <w:shd w:val="clear" w:color="auto" w:fill="auto"/>
            <w:noWrap/>
            <w:vAlign w:val="bottom"/>
            <w:hideMark/>
          </w:tcPr>
          <w:p w14:paraId="058118A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23.6</w:t>
            </w:r>
          </w:p>
        </w:tc>
        <w:tc>
          <w:tcPr>
            <w:tcW w:w="0" w:type="auto"/>
            <w:shd w:val="clear" w:color="auto" w:fill="auto"/>
            <w:noWrap/>
            <w:vAlign w:val="bottom"/>
            <w:hideMark/>
          </w:tcPr>
          <w:p w14:paraId="449C2F4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87.7</w:t>
            </w:r>
          </w:p>
        </w:tc>
        <w:tc>
          <w:tcPr>
            <w:tcW w:w="0" w:type="auto"/>
            <w:shd w:val="clear" w:color="auto" w:fill="auto"/>
            <w:noWrap/>
            <w:vAlign w:val="bottom"/>
            <w:hideMark/>
          </w:tcPr>
          <w:p w14:paraId="36CE00B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5.2</w:t>
            </w:r>
          </w:p>
        </w:tc>
        <w:tc>
          <w:tcPr>
            <w:tcW w:w="0" w:type="auto"/>
            <w:shd w:val="clear" w:color="auto" w:fill="auto"/>
            <w:noWrap/>
            <w:vAlign w:val="bottom"/>
            <w:hideMark/>
          </w:tcPr>
          <w:p w14:paraId="17FD80F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13.4</w:t>
            </w:r>
          </w:p>
        </w:tc>
        <w:tc>
          <w:tcPr>
            <w:tcW w:w="0" w:type="auto"/>
            <w:shd w:val="clear" w:color="auto" w:fill="auto"/>
            <w:noWrap/>
            <w:vAlign w:val="bottom"/>
            <w:hideMark/>
          </w:tcPr>
          <w:p w14:paraId="73491E1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78.8</w:t>
            </w:r>
          </w:p>
        </w:tc>
        <w:tc>
          <w:tcPr>
            <w:tcW w:w="0" w:type="auto"/>
            <w:shd w:val="clear" w:color="auto" w:fill="auto"/>
            <w:noWrap/>
            <w:vAlign w:val="bottom"/>
            <w:hideMark/>
          </w:tcPr>
          <w:p w14:paraId="5714C94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157.4</w:t>
            </w:r>
          </w:p>
        </w:tc>
        <w:tc>
          <w:tcPr>
            <w:tcW w:w="0" w:type="auto"/>
            <w:shd w:val="clear" w:color="auto" w:fill="auto"/>
            <w:noWrap/>
            <w:vAlign w:val="bottom"/>
            <w:hideMark/>
          </w:tcPr>
          <w:p w14:paraId="5379753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5.7</w:t>
            </w:r>
          </w:p>
        </w:tc>
      </w:tr>
      <w:tr w:rsidR="001D1EED" w:rsidRPr="00001A62" w14:paraId="2EA097BE" w14:textId="77777777" w:rsidTr="003B7B5D">
        <w:trPr>
          <w:trHeight w:val="300"/>
        </w:trPr>
        <w:tc>
          <w:tcPr>
            <w:tcW w:w="0" w:type="auto"/>
            <w:shd w:val="clear" w:color="auto" w:fill="auto"/>
            <w:noWrap/>
            <w:vAlign w:val="bottom"/>
            <w:hideMark/>
          </w:tcPr>
          <w:p w14:paraId="6F3D493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lastRenderedPageBreak/>
              <w:t>2017</w:t>
            </w:r>
          </w:p>
        </w:tc>
        <w:tc>
          <w:tcPr>
            <w:tcW w:w="0" w:type="auto"/>
            <w:shd w:val="clear" w:color="auto" w:fill="auto"/>
            <w:noWrap/>
            <w:vAlign w:val="bottom"/>
            <w:hideMark/>
          </w:tcPr>
          <w:p w14:paraId="1D2FBFB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26.2</w:t>
            </w:r>
          </w:p>
        </w:tc>
        <w:tc>
          <w:tcPr>
            <w:tcW w:w="0" w:type="auto"/>
            <w:shd w:val="clear" w:color="auto" w:fill="auto"/>
            <w:noWrap/>
            <w:vAlign w:val="bottom"/>
            <w:hideMark/>
          </w:tcPr>
          <w:p w14:paraId="4BD9BFF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22.9</w:t>
            </w:r>
          </w:p>
        </w:tc>
        <w:tc>
          <w:tcPr>
            <w:tcW w:w="0" w:type="auto"/>
            <w:shd w:val="clear" w:color="auto" w:fill="auto"/>
            <w:noWrap/>
            <w:vAlign w:val="bottom"/>
            <w:hideMark/>
          </w:tcPr>
          <w:p w14:paraId="7BA7532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84.7</w:t>
            </w:r>
          </w:p>
        </w:tc>
        <w:tc>
          <w:tcPr>
            <w:tcW w:w="0" w:type="auto"/>
            <w:shd w:val="clear" w:color="auto" w:fill="auto"/>
            <w:noWrap/>
            <w:vAlign w:val="bottom"/>
            <w:hideMark/>
          </w:tcPr>
          <w:p w14:paraId="5D2EF8B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6.9</w:t>
            </w:r>
          </w:p>
        </w:tc>
        <w:tc>
          <w:tcPr>
            <w:tcW w:w="0" w:type="auto"/>
            <w:shd w:val="clear" w:color="auto" w:fill="auto"/>
            <w:noWrap/>
            <w:vAlign w:val="bottom"/>
            <w:hideMark/>
          </w:tcPr>
          <w:p w14:paraId="6E0902D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12.2</w:t>
            </w:r>
          </w:p>
        </w:tc>
        <w:tc>
          <w:tcPr>
            <w:tcW w:w="0" w:type="auto"/>
            <w:shd w:val="clear" w:color="auto" w:fill="auto"/>
            <w:noWrap/>
            <w:vAlign w:val="bottom"/>
            <w:hideMark/>
          </w:tcPr>
          <w:p w14:paraId="6ABFA57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86.1</w:t>
            </w:r>
          </w:p>
        </w:tc>
        <w:tc>
          <w:tcPr>
            <w:tcW w:w="0" w:type="auto"/>
            <w:shd w:val="clear" w:color="auto" w:fill="auto"/>
            <w:noWrap/>
            <w:vAlign w:val="bottom"/>
            <w:hideMark/>
          </w:tcPr>
          <w:p w14:paraId="553B7D4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171.5</w:t>
            </w:r>
          </w:p>
        </w:tc>
        <w:tc>
          <w:tcPr>
            <w:tcW w:w="0" w:type="auto"/>
            <w:shd w:val="clear" w:color="auto" w:fill="auto"/>
            <w:noWrap/>
            <w:vAlign w:val="bottom"/>
            <w:hideMark/>
          </w:tcPr>
          <w:p w14:paraId="6642E03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6.4</w:t>
            </w:r>
          </w:p>
        </w:tc>
      </w:tr>
      <w:tr w:rsidR="001D1EED" w:rsidRPr="00001A62" w14:paraId="427C62E5" w14:textId="77777777" w:rsidTr="003B7B5D">
        <w:trPr>
          <w:trHeight w:val="300"/>
        </w:trPr>
        <w:tc>
          <w:tcPr>
            <w:tcW w:w="0" w:type="auto"/>
            <w:shd w:val="clear" w:color="auto" w:fill="auto"/>
            <w:noWrap/>
            <w:vAlign w:val="bottom"/>
            <w:hideMark/>
          </w:tcPr>
          <w:p w14:paraId="61EA0DD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2018</w:t>
            </w:r>
          </w:p>
        </w:tc>
        <w:tc>
          <w:tcPr>
            <w:tcW w:w="0" w:type="auto"/>
            <w:shd w:val="clear" w:color="auto" w:fill="auto"/>
            <w:noWrap/>
            <w:vAlign w:val="bottom"/>
            <w:hideMark/>
          </w:tcPr>
          <w:p w14:paraId="6B22E02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26.4</w:t>
            </w:r>
          </w:p>
        </w:tc>
        <w:tc>
          <w:tcPr>
            <w:tcW w:w="0" w:type="auto"/>
            <w:shd w:val="clear" w:color="auto" w:fill="auto"/>
            <w:noWrap/>
            <w:vAlign w:val="bottom"/>
            <w:hideMark/>
          </w:tcPr>
          <w:p w14:paraId="33FF191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22.9</w:t>
            </w:r>
          </w:p>
        </w:tc>
        <w:tc>
          <w:tcPr>
            <w:tcW w:w="0" w:type="auto"/>
            <w:shd w:val="clear" w:color="auto" w:fill="auto"/>
            <w:noWrap/>
            <w:vAlign w:val="bottom"/>
            <w:hideMark/>
          </w:tcPr>
          <w:p w14:paraId="5C72027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84.8</w:t>
            </w:r>
          </w:p>
        </w:tc>
        <w:tc>
          <w:tcPr>
            <w:tcW w:w="0" w:type="auto"/>
            <w:shd w:val="clear" w:color="auto" w:fill="auto"/>
            <w:noWrap/>
            <w:vAlign w:val="bottom"/>
            <w:hideMark/>
          </w:tcPr>
          <w:p w14:paraId="1CD6304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7.0</w:t>
            </w:r>
          </w:p>
        </w:tc>
        <w:tc>
          <w:tcPr>
            <w:tcW w:w="0" w:type="auto"/>
            <w:shd w:val="clear" w:color="auto" w:fill="auto"/>
            <w:noWrap/>
            <w:vAlign w:val="bottom"/>
            <w:hideMark/>
          </w:tcPr>
          <w:p w14:paraId="6007F15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11.6</w:t>
            </w:r>
          </w:p>
        </w:tc>
        <w:tc>
          <w:tcPr>
            <w:tcW w:w="0" w:type="auto"/>
            <w:shd w:val="clear" w:color="auto" w:fill="auto"/>
            <w:noWrap/>
            <w:vAlign w:val="bottom"/>
            <w:hideMark/>
          </w:tcPr>
          <w:p w14:paraId="2BC2314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86.0</w:t>
            </w:r>
          </w:p>
        </w:tc>
        <w:tc>
          <w:tcPr>
            <w:tcW w:w="0" w:type="auto"/>
            <w:shd w:val="clear" w:color="auto" w:fill="auto"/>
            <w:noWrap/>
            <w:vAlign w:val="bottom"/>
            <w:hideMark/>
          </w:tcPr>
          <w:p w14:paraId="53E9641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182.8</w:t>
            </w:r>
          </w:p>
        </w:tc>
        <w:tc>
          <w:tcPr>
            <w:tcW w:w="0" w:type="auto"/>
            <w:shd w:val="clear" w:color="auto" w:fill="auto"/>
            <w:noWrap/>
            <w:vAlign w:val="bottom"/>
            <w:hideMark/>
          </w:tcPr>
          <w:p w14:paraId="3BB24E8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7.0</w:t>
            </w:r>
          </w:p>
        </w:tc>
      </w:tr>
      <w:tr w:rsidR="001D1EED" w:rsidRPr="00001A62" w14:paraId="025C4DA5" w14:textId="77777777" w:rsidTr="003B7B5D">
        <w:trPr>
          <w:trHeight w:val="300"/>
        </w:trPr>
        <w:tc>
          <w:tcPr>
            <w:tcW w:w="0" w:type="auto"/>
            <w:shd w:val="clear" w:color="auto" w:fill="auto"/>
            <w:noWrap/>
            <w:vAlign w:val="bottom"/>
            <w:hideMark/>
          </w:tcPr>
          <w:p w14:paraId="38EAC5B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2019</w:t>
            </w:r>
          </w:p>
        </w:tc>
        <w:tc>
          <w:tcPr>
            <w:tcW w:w="0" w:type="auto"/>
            <w:shd w:val="clear" w:color="auto" w:fill="auto"/>
            <w:noWrap/>
            <w:vAlign w:val="bottom"/>
            <w:hideMark/>
          </w:tcPr>
          <w:p w14:paraId="21AF746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27.0</w:t>
            </w:r>
          </w:p>
        </w:tc>
        <w:tc>
          <w:tcPr>
            <w:tcW w:w="0" w:type="auto"/>
            <w:shd w:val="clear" w:color="auto" w:fill="auto"/>
            <w:noWrap/>
            <w:vAlign w:val="bottom"/>
            <w:hideMark/>
          </w:tcPr>
          <w:p w14:paraId="6311E12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23.3</w:t>
            </w:r>
          </w:p>
        </w:tc>
        <w:tc>
          <w:tcPr>
            <w:tcW w:w="0" w:type="auto"/>
            <w:shd w:val="clear" w:color="auto" w:fill="auto"/>
            <w:noWrap/>
            <w:vAlign w:val="bottom"/>
            <w:hideMark/>
          </w:tcPr>
          <w:p w14:paraId="3FF8269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84.8</w:t>
            </w:r>
          </w:p>
        </w:tc>
        <w:tc>
          <w:tcPr>
            <w:tcW w:w="0" w:type="auto"/>
            <w:shd w:val="clear" w:color="auto" w:fill="auto"/>
            <w:noWrap/>
            <w:vAlign w:val="bottom"/>
            <w:hideMark/>
          </w:tcPr>
          <w:p w14:paraId="2DECF48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5.4</w:t>
            </w:r>
          </w:p>
        </w:tc>
        <w:tc>
          <w:tcPr>
            <w:tcW w:w="0" w:type="auto"/>
            <w:shd w:val="clear" w:color="auto" w:fill="auto"/>
            <w:noWrap/>
            <w:vAlign w:val="bottom"/>
            <w:hideMark/>
          </w:tcPr>
          <w:p w14:paraId="766E979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26.4</w:t>
            </w:r>
          </w:p>
        </w:tc>
        <w:tc>
          <w:tcPr>
            <w:tcW w:w="0" w:type="auto"/>
            <w:shd w:val="clear" w:color="auto" w:fill="auto"/>
            <w:noWrap/>
            <w:vAlign w:val="bottom"/>
            <w:hideMark/>
          </w:tcPr>
          <w:p w14:paraId="0BB9876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87.4</w:t>
            </w:r>
          </w:p>
        </w:tc>
        <w:tc>
          <w:tcPr>
            <w:tcW w:w="0" w:type="auto"/>
            <w:shd w:val="clear" w:color="auto" w:fill="auto"/>
            <w:noWrap/>
            <w:vAlign w:val="bottom"/>
            <w:hideMark/>
          </w:tcPr>
          <w:p w14:paraId="678CE38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173.0</w:t>
            </w:r>
          </w:p>
        </w:tc>
        <w:tc>
          <w:tcPr>
            <w:tcW w:w="0" w:type="auto"/>
            <w:shd w:val="clear" w:color="auto" w:fill="auto"/>
            <w:noWrap/>
            <w:vAlign w:val="bottom"/>
            <w:hideMark/>
          </w:tcPr>
          <w:p w14:paraId="2301426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6.6</w:t>
            </w:r>
          </w:p>
        </w:tc>
      </w:tr>
      <w:tr w:rsidR="001D1EED" w:rsidRPr="00001A62" w14:paraId="044EF453" w14:textId="77777777" w:rsidTr="003B7B5D">
        <w:trPr>
          <w:trHeight w:val="300"/>
        </w:trPr>
        <w:tc>
          <w:tcPr>
            <w:tcW w:w="0" w:type="auto"/>
            <w:shd w:val="clear" w:color="auto" w:fill="auto"/>
            <w:noWrap/>
            <w:vAlign w:val="bottom"/>
            <w:hideMark/>
          </w:tcPr>
          <w:p w14:paraId="2A1B749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2020</w:t>
            </w:r>
          </w:p>
        </w:tc>
        <w:tc>
          <w:tcPr>
            <w:tcW w:w="0" w:type="auto"/>
            <w:shd w:val="clear" w:color="auto" w:fill="auto"/>
            <w:noWrap/>
            <w:vAlign w:val="bottom"/>
            <w:hideMark/>
          </w:tcPr>
          <w:p w14:paraId="7A54301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27.2</w:t>
            </w:r>
          </w:p>
        </w:tc>
        <w:tc>
          <w:tcPr>
            <w:tcW w:w="0" w:type="auto"/>
            <w:shd w:val="clear" w:color="auto" w:fill="auto"/>
            <w:noWrap/>
            <w:vAlign w:val="bottom"/>
            <w:hideMark/>
          </w:tcPr>
          <w:p w14:paraId="0AC63A3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23.2</w:t>
            </w:r>
          </w:p>
        </w:tc>
        <w:tc>
          <w:tcPr>
            <w:tcW w:w="0" w:type="auto"/>
            <w:shd w:val="clear" w:color="auto" w:fill="auto"/>
            <w:noWrap/>
            <w:vAlign w:val="bottom"/>
            <w:hideMark/>
          </w:tcPr>
          <w:p w14:paraId="71B4826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81.4</w:t>
            </w:r>
          </w:p>
        </w:tc>
        <w:tc>
          <w:tcPr>
            <w:tcW w:w="0" w:type="auto"/>
            <w:shd w:val="clear" w:color="auto" w:fill="auto"/>
            <w:noWrap/>
            <w:vAlign w:val="bottom"/>
            <w:hideMark/>
          </w:tcPr>
          <w:p w14:paraId="34FAD61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4.7</w:t>
            </w:r>
          </w:p>
        </w:tc>
        <w:tc>
          <w:tcPr>
            <w:tcW w:w="0" w:type="auto"/>
            <w:shd w:val="clear" w:color="auto" w:fill="auto"/>
            <w:noWrap/>
            <w:vAlign w:val="bottom"/>
            <w:hideMark/>
          </w:tcPr>
          <w:p w14:paraId="15F4578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14.9</w:t>
            </w:r>
          </w:p>
        </w:tc>
        <w:tc>
          <w:tcPr>
            <w:tcW w:w="0" w:type="auto"/>
            <w:shd w:val="clear" w:color="auto" w:fill="auto"/>
            <w:noWrap/>
            <w:vAlign w:val="bottom"/>
            <w:hideMark/>
          </w:tcPr>
          <w:p w14:paraId="59CE6C5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82.4</w:t>
            </w:r>
          </w:p>
        </w:tc>
        <w:tc>
          <w:tcPr>
            <w:tcW w:w="0" w:type="auto"/>
            <w:shd w:val="clear" w:color="auto" w:fill="auto"/>
            <w:noWrap/>
            <w:vAlign w:val="bottom"/>
            <w:hideMark/>
          </w:tcPr>
          <w:p w14:paraId="5F20574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189.0</w:t>
            </w:r>
          </w:p>
        </w:tc>
        <w:tc>
          <w:tcPr>
            <w:tcW w:w="0" w:type="auto"/>
            <w:shd w:val="clear" w:color="auto" w:fill="auto"/>
            <w:noWrap/>
            <w:vAlign w:val="bottom"/>
            <w:hideMark/>
          </w:tcPr>
          <w:p w14:paraId="76C1CFD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7.1</w:t>
            </w:r>
          </w:p>
        </w:tc>
      </w:tr>
      <w:tr w:rsidR="001D1EED" w:rsidRPr="00001A62" w14:paraId="33F2D155" w14:textId="77777777" w:rsidTr="003B7B5D">
        <w:trPr>
          <w:trHeight w:val="300"/>
        </w:trPr>
        <w:tc>
          <w:tcPr>
            <w:tcW w:w="0" w:type="auto"/>
            <w:shd w:val="clear" w:color="auto" w:fill="auto"/>
            <w:noWrap/>
            <w:vAlign w:val="bottom"/>
            <w:hideMark/>
          </w:tcPr>
          <w:p w14:paraId="63FFD4D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2021</w:t>
            </w:r>
          </w:p>
        </w:tc>
        <w:tc>
          <w:tcPr>
            <w:tcW w:w="0" w:type="auto"/>
            <w:shd w:val="clear" w:color="auto" w:fill="auto"/>
            <w:noWrap/>
            <w:vAlign w:val="bottom"/>
            <w:hideMark/>
          </w:tcPr>
          <w:p w14:paraId="6894266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26.8</w:t>
            </w:r>
          </w:p>
        </w:tc>
        <w:tc>
          <w:tcPr>
            <w:tcW w:w="0" w:type="auto"/>
            <w:shd w:val="clear" w:color="auto" w:fill="auto"/>
            <w:noWrap/>
            <w:vAlign w:val="bottom"/>
            <w:hideMark/>
          </w:tcPr>
          <w:p w14:paraId="1691F40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23.3</w:t>
            </w:r>
          </w:p>
        </w:tc>
        <w:tc>
          <w:tcPr>
            <w:tcW w:w="0" w:type="auto"/>
            <w:shd w:val="clear" w:color="auto" w:fill="auto"/>
            <w:noWrap/>
            <w:vAlign w:val="bottom"/>
            <w:hideMark/>
          </w:tcPr>
          <w:p w14:paraId="784C0D6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84.7</w:t>
            </w:r>
          </w:p>
        </w:tc>
        <w:tc>
          <w:tcPr>
            <w:tcW w:w="0" w:type="auto"/>
            <w:shd w:val="clear" w:color="auto" w:fill="auto"/>
            <w:noWrap/>
            <w:vAlign w:val="bottom"/>
            <w:hideMark/>
          </w:tcPr>
          <w:p w14:paraId="18AC211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3.4</w:t>
            </w:r>
          </w:p>
        </w:tc>
        <w:tc>
          <w:tcPr>
            <w:tcW w:w="0" w:type="auto"/>
            <w:shd w:val="clear" w:color="auto" w:fill="auto"/>
            <w:noWrap/>
            <w:vAlign w:val="bottom"/>
            <w:hideMark/>
          </w:tcPr>
          <w:p w14:paraId="1E7E00A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16.4</w:t>
            </w:r>
          </w:p>
        </w:tc>
        <w:tc>
          <w:tcPr>
            <w:tcW w:w="0" w:type="auto"/>
            <w:shd w:val="clear" w:color="auto" w:fill="auto"/>
            <w:noWrap/>
            <w:vAlign w:val="bottom"/>
            <w:hideMark/>
          </w:tcPr>
          <w:p w14:paraId="62EC520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81.3</w:t>
            </w:r>
          </w:p>
        </w:tc>
        <w:tc>
          <w:tcPr>
            <w:tcW w:w="0" w:type="auto"/>
            <w:shd w:val="clear" w:color="auto" w:fill="auto"/>
            <w:noWrap/>
            <w:vAlign w:val="bottom"/>
            <w:hideMark/>
          </w:tcPr>
          <w:p w14:paraId="1F1388F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177.8</w:t>
            </w:r>
          </w:p>
        </w:tc>
        <w:tc>
          <w:tcPr>
            <w:tcW w:w="0" w:type="auto"/>
            <w:shd w:val="clear" w:color="auto" w:fill="auto"/>
            <w:noWrap/>
            <w:vAlign w:val="bottom"/>
            <w:hideMark/>
          </w:tcPr>
          <w:p w14:paraId="4B7A754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6.7</w:t>
            </w:r>
          </w:p>
        </w:tc>
      </w:tr>
      <w:tr w:rsidR="001D1EED" w:rsidRPr="00001A62" w14:paraId="75CE2E8D" w14:textId="77777777" w:rsidTr="003B7B5D">
        <w:trPr>
          <w:trHeight w:val="300"/>
        </w:trPr>
        <w:tc>
          <w:tcPr>
            <w:tcW w:w="0" w:type="auto"/>
            <w:shd w:val="clear" w:color="auto" w:fill="auto"/>
            <w:noWrap/>
            <w:vAlign w:val="bottom"/>
            <w:hideMark/>
          </w:tcPr>
          <w:p w14:paraId="055572D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2022</w:t>
            </w:r>
          </w:p>
        </w:tc>
        <w:tc>
          <w:tcPr>
            <w:tcW w:w="0" w:type="auto"/>
            <w:shd w:val="clear" w:color="auto" w:fill="auto"/>
            <w:noWrap/>
            <w:vAlign w:val="bottom"/>
            <w:hideMark/>
          </w:tcPr>
          <w:p w14:paraId="3A24389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26.5</w:t>
            </w:r>
          </w:p>
        </w:tc>
        <w:tc>
          <w:tcPr>
            <w:tcW w:w="0" w:type="auto"/>
            <w:shd w:val="clear" w:color="auto" w:fill="auto"/>
            <w:noWrap/>
            <w:vAlign w:val="bottom"/>
            <w:hideMark/>
          </w:tcPr>
          <w:p w14:paraId="1A9CBEF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21.6</w:t>
            </w:r>
          </w:p>
        </w:tc>
        <w:tc>
          <w:tcPr>
            <w:tcW w:w="0" w:type="auto"/>
            <w:shd w:val="clear" w:color="auto" w:fill="auto"/>
            <w:noWrap/>
            <w:vAlign w:val="bottom"/>
            <w:hideMark/>
          </w:tcPr>
          <w:p w14:paraId="0A56109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78.4</w:t>
            </w:r>
          </w:p>
        </w:tc>
        <w:tc>
          <w:tcPr>
            <w:tcW w:w="0" w:type="auto"/>
            <w:shd w:val="clear" w:color="auto" w:fill="auto"/>
            <w:noWrap/>
            <w:vAlign w:val="bottom"/>
            <w:hideMark/>
          </w:tcPr>
          <w:p w14:paraId="22C695E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4.1</w:t>
            </w:r>
          </w:p>
        </w:tc>
        <w:tc>
          <w:tcPr>
            <w:tcW w:w="0" w:type="auto"/>
            <w:shd w:val="clear" w:color="auto" w:fill="auto"/>
            <w:noWrap/>
            <w:vAlign w:val="bottom"/>
            <w:hideMark/>
          </w:tcPr>
          <w:p w14:paraId="3771386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15.3</w:t>
            </w:r>
          </w:p>
        </w:tc>
        <w:tc>
          <w:tcPr>
            <w:tcW w:w="0" w:type="auto"/>
            <w:shd w:val="clear" w:color="auto" w:fill="auto"/>
            <w:noWrap/>
            <w:vAlign w:val="bottom"/>
            <w:hideMark/>
          </w:tcPr>
          <w:p w14:paraId="0D8D827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83.9</w:t>
            </w:r>
          </w:p>
        </w:tc>
        <w:tc>
          <w:tcPr>
            <w:tcW w:w="0" w:type="auto"/>
            <w:shd w:val="clear" w:color="auto" w:fill="auto"/>
            <w:noWrap/>
            <w:vAlign w:val="bottom"/>
            <w:hideMark/>
          </w:tcPr>
          <w:p w14:paraId="08D2C7C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205.9</w:t>
            </w:r>
          </w:p>
        </w:tc>
        <w:tc>
          <w:tcPr>
            <w:tcW w:w="0" w:type="auto"/>
            <w:shd w:val="clear" w:color="auto" w:fill="auto"/>
            <w:noWrap/>
            <w:vAlign w:val="bottom"/>
            <w:hideMark/>
          </w:tcPr>
          <w:p w14:paraId="1947E2A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8.3</w:t>
            </w:r>
          </w:p>
        </w:tc>
      </w:tr>
      <w:tr w:rsidR="001D1EED" w:rsidRPr="00001A62" w14:paraId="50E28BBF" w14:textId="77777777" w:rsidTr="003B7B5D">
        <w:trPr>
          <w:trHeight w:val="300"/>
        </w:trPr>
        <w:tc>
          <w:tcPr>
            <w:tcW w:w="0" w:type="auto"/>
            <w:shd w:val="clear" w:color="auto" w:fill="auto"/>
            <w:noWrap/>
            <w:vAlign w:val="bottom"/>
            <w:hideMark/>
          </w:tcPr>
          <w:p w14:paraId="01DCBEE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2023</w:t>
            </w:r>
          </w:p>
        </w:tc>
        <w:tc>
          <w:tcPr>
            <w:tcW w:w="0" w:type="auto"/>
            <w:shd w:val="clear" w:color="auto" w:fill="auto"/>
            <w:noWrap/>
            <w:vAlign w:val="bottom"/>
            <w:hideMark/>
          </w:tcPr>
          <w:p w14:paraId="0C954C9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26.9</w:t>
            </w:r>
          </w:p>
        </w:tc>
        <w:tc>
          <w:tcPr>
            <w:tcW w:w="0" w:type="auto"/>
            <w:shd w:val="clear" w:color="auto" w:fill="auto"/>
            <w:noWrap/>
            <w:vAlign w:val="bottom"/>
            <w:hideMark/>
          </w:tcPr>
          <w:p w14:paraId="56A6E83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23.1</w:t>
            </w:r>
          </w:p>
        </w:tc>
        <w:tc>
          <w:tcPr>
            <w:tcW w:w="0" w:type="auto"/>
            <w:shd w:val="clear" w:color="auto" w:fill="auto"/>
            <w:noWrap/>
            <w:vAlign w:val="bottom"/>
            <w:hideMark/>
          </w:tcPr>
          <w:p w14:paraId="5C273D6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82.6</w:t>
            </w:r>
          </w:p>
        </w:tc>
        <w:tc>
          <w:tcPr>
            <w:tcW w:w="0" w:type="auto"/>
            <w:shd w:val="clear" w:color="auto" w:fill="auto"/>
            <w:noWrap/>
            <w:vAlign w:val="bottom"/>
            <w:hideMark/>
          </w:tcPr>
          <w:p w14:paraId="686C0C4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5.3</w:t>
            </w:r>
          </w:p>
        </w:tc>
        <w:tc>
          <w:tcPr>
            <w:tcW w:w="0" w:type="auto"/>
            <w:shd w:val="clear" w:color="auto" w:fill="auto"/>
            <w:noWrap/>
            <w:vAlign w:val="bottom"/>
            <w:hideMark/>
          </w:tcPr>
          <w:p w14:paraId="142115C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17.6</w:t>
            </w:r>
          </w:p>
        </w:tc>
        <w:tc>
          <w:tcPr>
            <w:tcW w:w="0" w:type="auto"/>
            <w:shd w:val="clear" w:color="auto" w:fill="auto"/>
            <w:noWrap/>
            <w:vAlign w:val="bottom"/>
            <w:hideMark/>
          </w:tcPr>
          <w:p w14:paraId="544C6BE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85.6</w:t>
            </w:r>
          </w:p>
        </w:tc>
        <w:tc>
          <w:tcPr>
            <w:tcW w:w="0" w:type="auto"/>
            <w:shd w:val="clear" w:color="auto" w:fill="auto"/>
            <w:noWrap/>
            <w:vAlign w:val="bottom"/>
            <w:hideMark/>
          </w:tcPr>
          <w:p w14:paraId="12D427C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208.3</w:t>
            </w:r>
          </w:p>
        </w:tc>
        <w:tc>
          <w:tcPr>
            <w:tcW w:w="0" w:type="auto"/>
            <w:shd w:val="clear" w:color="auto" w:fill="auto"/>
            <w:noWrap/>
            <w:vAlign w:val="bottom"/>
            <w:hideMark/>
          </w:tcPr>
          <w:p w14:paraId="7006D33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7.9</w:t>
            </w:r>
          </w:p>
        </w:tc>
      </w:tr>
      <w:tr w:rsidR="001D1EED" w:rsidRPr="00001A62" w14:paraId="3F9DCF9C" w14:textId="77777777" w:rsidTr="003B7B5D">
        <w:trPr>
          <w:trHeight w:val="300"/>
        </w:trPr>
        <w:tc>
          <w:tcPr>
            <w:tcW w:w="0" w:type="auto"/>
            <w:shd w:val="clear" w:color="auto" w:fill="auto"/>
            <w:noWrap/>
            <w:vAlign w:val="bottom"/>
            <w:hideMark/>
          </w:tcPr>
          <w:p w14:paraId="1E180E6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2024</w:t>
            </w:r>
          </w:p>
        </w:tc>
        <w:tc>
          <w:tcPr>
            <w:tcW w:w="0" w:type="auto"/>
            <w:shd w:val="clear" w:color="auto" w:fill="auto"/>
            <w:noWrap/>
            <w:vAlign w:val="bottom"/>
            <w:hideMark/>
          </w:tcPr>
          <w:p w14:paraId="1BED747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27.7</w:t>
            </w:r>
          </w:p>
        </w:tc>
        <w:tc>
          <w:tcPr>
            <w:tcW w:w="0" w:type="auto"/>
            <w:shd w:val="clear" w:color="auto" w:fill="auto"/>
            <w:noWrap/>
            <w:vAlign w:val="bottom"/>
            <w:hideMark/>
          </w:tcPr>
          <w:p w14:paraId="7F99B40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23.3</w:t>
            </w:r>
          </w:p>
        </w:tc>
        <w:tc>
          <w:tcPr>
            <w:tcW w:w="0" w:type="auto"/>
            <w:shd w:val="clear" w:color="auto" w:fill="auto"/>
            <w:noWrap/>
            <w:vAlign w:val="bottom"/>
            <w:hideMark/>
          </w:tcPr>
          <w:p w14:paraId="469D20C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76.5</w:t>
            </w:r>
          </w:p>
        </w:tc>
        <w:tc>
          <w:tcPr>
            <w:tcW w:w="0" w:type="auto"/>
            <w:shd w:val="clear" w:color="auto" w:fill="auto"/>
            <w:noWrap/>
            <w:vAlign w:val="bottom"/>
            <w:hideMark/>
          </w:tcPr>
          <w:p w14:paraId="14FE514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4.5</w:t>
            </w:r>
          </w:p>
        </w:tc>
        <w:tc>
          <w:tcPr>
            <w:tcW w:w="0" w:type="auto"/>
            <w:shd w:val="clear" w:color="auto" w:fill="auto"/>
            <w:noWrap/>
            <w:vAlign w:val="bottom"/>
            <w:hideMark/>
          </w:tcPr>
          <w:p w14:paraId="7B80B70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19.6</w:t>
            </w:r>
          </w:p>
        </w:tc>
        <w:tc>
          <w:tcPr>
            <w:tcW w:w="0" w:type="auto"/>
            <w:shd w:val="clear" w:color="auto" w:fill="auto"/>
            <w:noWrap/>
            <w:vAlign w:val="bottom"/>
            <w:hideMark/>
          </w:tcPr>
          <w:p w14:paraId="13F993A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85.2</w:t>
            </w:r>
          </w:p>
        </w:tc>
        <w:tc>
          <w:tcPr>
            <w:tcW w:w="0" w:type="auto"/>
            <w:shd w:val="clear" w:color="auto" w:fill="auto"/>
            <w:noWrap/>
            <w:vAlign w:val="bottom"/>
            <w:hideMark/>
          </w:tcPr>
          <w:p w14:paraId="68A1617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217.2</w:t>
            </w:r>
          </w:p>
        </w:tc>
        <w:tc>
          <w:tcPr>
            <w:tcW w:w="0" w:type="auto"/>
            <w:shd w:val="clear" w:color="auto" w:fill="auto"/>
            <w:noWrap/>
            <w:vAlign w:val="bottom"/>
            <w:hideMark/>
          </w:tcPr>
          <w:p w14:paraId="122564E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w:t>
            </w:r>
          </w:p>
        </w:tc>
      </w:tr>
      <w:tr w:rsidR="001D1EED" w:rsidRPr="00001A62" w14:paraId="4A214595" w14:textId="77777777" w:rsidTr="003B7B5D">
        <w:trPr>
          <w:trHeight w:val="300"/>
        </w:trPr>
        <w:tc>
          <w:tcPr>
            <w:tcW w:w="0" w:type="auto"/>
            <w:shd w:val="clear" w:color="auto" w:fill="auto"/>
            <w:noWrap/>
            <w:vAlign w:val="bottom"/>
          </w:tcPr>
          <w:p w14:paraId="243262A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p>
        </w:tc>
        <w:tc>
          <w:tcPr>
            <w:tcW w:w="0" w:type="auto"/>
            <w:gridSpan w:val="8"/>
            <w:shd w:val="clear" w:color="auto" w:fill="auto"/>
            <w:noWrap/>
            <w:vAlign w:val="bottom"/>
          </w:tcPr>
          <w:p w14:paraId="3BFF3F04" w14:textId="77777777" w:rsidR="001D1EED" w:rsidRPr="00001A62" w:rsidRDefault="001D1EED" w:rsidP="003B7B5D">
            <w:pPr>
              <w:spacing w:after="0" w:line="240" w:lineRule="auto"/>
              <w:jc w:val="center"/>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8"/>
                <w:szCs w:val="28"/>
                <w14:ligatures w14:val="none"/>
              </w:rPr>
              <w:t>Onitsha</w:t>
            </w:r>
          </w:p>
        </w:tc>
      </w:tr>
      <w:tr w:rsidR="001D1EED" w:rsidRPr="00001A62" w14:paraId="3186C26F" w14:textId="77777777" w:rsidTr="003B7B5D">
        <w:trPr>
          <w:trHeight w:val="300"/>
        </w:trPr>
        <w:tc>
          <w:tcPr>
            <w:tcW w:w="0" w:type="auto"/>
            <w:shd w:val="clear" w:color="auto" w:fill="auto"/>
            <w:noWrap/>
            <w:vAlign w:val="bottom"/>
          </w:tcPr>
          <w:p w14:paraId="797749C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2010</w:t>
            </w:r>
          </w:p>
        </w:tc>
        <w:tc>
          <w:tcPr>
            <w:tcW w:w="0" w:type="auto"/>
            <w:shd w:val="clear" w:color="auto" w:fill="auto"/>
            <w:noWrap/>
            <w:vAlign w:val="bottom"/>
          </w:tcPr>
          <w:p w14:paraId="70556F2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25.9</w:t>
            </w:r>
          </w:p>
        </w:tc>
        <w:tc>
          <w:tcPr>
            <w:tcW w:w="0" w:type="auto"/>
            <w:shd w:val="clear" w:color="auto" w:fill="auto"/>
            <w:noWrap/>
            <w:vAlign w:val="bottom"/>
          </w:tcPr>
          <w:p w14:paraId="1895A60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23.7</w:t>
            </w:r>
          </w:p>
        </w:tc>
        <w:tc>
          <w:tcPr>
            <w:tcW w:w="0" w:type="auto"/>
            <w:shd w:val="clear" w:color="auto" w:fill="auto"/>
            <w:noWrap/>
            <w:vAlign w:val="bottom"/>
          </w:tcPr>
          <w:p w14:paraId="400E137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88.7</w:t>
            </w:r>
          </w:p>
        </w:tc>
        <w:tc>
          <w:tcPr>
            <w:tcW w:w="0" w:type="auto"/>
            <w:shd w:val="clear" w:color="auto" w:fill="auto"/>
            <w:noWrap/>
            <w:vAlign w:val="bottom"/>
          </w:tcPr>
          <w:p w14:paraId="770D57F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5.1</w:t>
            </w:r>
          </w:p>
        </w:tc>
        <w:tc>
          <w:tcPr>
            <w:tcW w:w="0" w:type="auto"/>
            <w:shd w:val="clear" w:color="auto" w:fill="auto"/>
            <w:noWrap/>
            <w:vAlign w:val="bottom"/>
          </w:tcPr>
          <w:p w14:paraId="55F40D6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11.6</w:t>
            </w:r>
          </w:p>
        </w:tc>
        <w:tc>
          <w:tcPr>
            <w:tcW w:w="0" w:type="auto"/>
            <w:shd w:val="clear" w:color="auto" w:fill="auto"/>
            <w:noWrap/>
            <w:vAlign w:val="bottom"/>
          </w:tcPr>
          <w:p w14:paraId="0EB3C3B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76.4</w:t>
            </w:r>
          </w:p>
        </w:tc>
        <w:tc>
          <w:tcPr>
            <w:tcW w:w="0" w:type="auto"/>
            <w:shd w:val="clear" w:color="auto" w:fill="auto"/>
            <w:noWrap/>
            <w:vAlign w:val="bottom"/>
          </w:tcPr>
          <w:p w14:paraId="216861B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163.4</w:t>
            </w:r>
          </w:p>
        </w:tc>
        <w:tc>
          <w:tcPr>
            <w:tcW w:w="0" w:type="auto"/>
            <w:shd w:val="clear" w:color="auto" w:fill="auto"/>
            <w:noWrap/>
            <w:vAlign w:val="bottom"/>
          </w:tcPr>
          <w:p w14:paraId="3C7A0E6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5.9</w:t>
            </w:r>
          </w:p>
        </w:tc>
      </w:tr>
      <w:tr w:rsidR="001D1EED" w:rsidRPr="00001A62" w14:paraId="660B1134" w14:textId="77777777" w:rsidTr="003B7B5D">
        <w:trPr>
          <w:trHeight w:val="300"/>
        </w:trPr>
        <w:tc>
          <w:tcPr>
            <w:tcW w:w="0" w:type="auto"/>
            <w:shd w:val="clear" w:color="auto" w:fill="auto"/>
            <w:noWrap/>
            <w:vAlign w:val="bottom"/>
          </w:tcPr>
          <w:p w14:paraId="19DDE75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2011</w:t>
            </w:r>
          </w:p>
        </w:tc>
        <w:tc>
          <w:tcPr>
            <w:tcW w:w="0" w:type="auto"/>
            <w:shd w:val="clear" w:color="auto" w:fill="auto"/>
            <w:noWrap/>
            <w:vAlign w:val="bottom"/>
          </w:tcPr>
          <w:p w14:paraId="7100548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25.4</w:t>
            </w:r>
          </w:p>
        </w:tc>
        <w:tc>
          <w:tcPr>
            <w:tcW w:w="0" w:type="auto"/>
            <w:shd w:val="clear" w:color="auto" w:fill="auto"/>
            <w:noWrap/>
            <w:vAlign w:val="bottom"/>
          </w:tcPr>
          <w:p w14:paraId="34B7EF8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23.4</w:t>
            </w:r>
          </w:p>
        </w:tc>
        <w:tc>
          <w:tcPr>
            <w:tcW w:w="0" w:type="auto"/>
            <w:shd w:val="clear" w:color="auto" w:fill="auto"/>
            <w:noWrap/>
            <w:vAlign w:val="bottom"/>
          </w:tcPr>
          <w:p w14:paraId="0F6BD25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89.0</w:t>
            </w:r>
          </w:p>
        </w:tc>
        <w:tc>
          <w:tcPr>
            <w:tcW w:w="0" w:type="auto"/>
            <w:shd w:val="clear" w:color="auto" w:fill="auto"/>
            <w:noWrap/>
            <w:vAlign w:val="bottom"/>
          </w:tcPr>
          <w:p w14:paraId="367179C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4.8</w:t>
            </w:r>
          </w:p>
        </w:tc>
        <w:tc>
          <w:tcPr>
            <w:tcW w:w="0" w:type="auto"/>
            <w:shd w:val="clear" w:color="auto" w:fill="auto"/>
            <w:noWrap/>
            <w:vAlign w:val="bottom"/>
          </w:tcPr>
          <w:p w14:paraId="3A5A5C4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12.1</w:t>
            </w:r>
          </w:p>
        </w:tc>
        <w:tc>
          <w:tcPr>
            <w:tcW w:w="0" w:type="auto"/>
            <w:shd w:val="clear" w:color="auto" w:fill="auto"/>
            <w:noWrap/>
            <w:vAlign w:val="bottom"/>
          </w:tcPr>
          <w:p w14:paraId="3793E3F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76.2</w:t>
            </w:r>
          </w:p>
        </w:tc>
        <w:tc>
          <w:tcPr>
            <w:tcW w:w="0" w:type="auto"/>
            <w:shd w:val="clear" w:color="auto" w:fill="auto"/>
            <w:noWrap/>
            <w:vAlign w:val="bottom"/>
          </w:tcPr>
          <w:p w14:paraId="3F9D6D7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166.1</w:t>
            </w:r>
          </w:p>
        </w:tc>
        <w:tc>
          <w:tcPr>
            <w:tcW w:w="0" w:type="auto"/>
            <w:shd w:val="clear" w:color="auto" w:fill="auto"/>
            <w:noWrap/>
            <w:vAlign w:val="bottom"/>
          </w:tcPr>
          <w:p w14:paraId="157C8BC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6.0</w:t>
            </w:r>
          </w:p>
        </w:tc>
      </w:tr>
      <w:tr w:rsidR="001D1EED" w:rsidRPr="00001A62" w14:paraId="0510F259" w14:textId="77777777" w:rsidTr="003B7B5D">
        <w:trPr>
          <w:trHeight w:val="300"/>
        </w:trPr>
        <w:tc>
          <w:tcPr>
            <w:tcW w:w="0" w:type="auto"/>
            <w:shd w:val="clear" w:color="auto" w:fill="auto"/>
            <w:noWrap/>
            <w:vAlign w:val="bottom"/>
          </w:tcPr>
          <w:p w14:paraId="519FF5C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2012</w:t>
            </w:r>
          </w:p>
        </w:tc>
        <w:tc>
          <w:tcPr>
            <w:tcW w:w="0" w:type="auto"/>
            <w:shd w:val="clear" w:color="auto" w:fill="auto"/>
            <w:noWrap/>
            <w:vAlign w:val="bottom"/>
          </w:tcPr>
          <w:p w14:paraId="00A4666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25.3</w:t>
            </w:r>
          </w:p>
        </w:tc>
        <w:tc>
          <w:tcPr>
            <w:tcW w:w="0" w:type="auto"/>
            <w:shd w:val="clear" w:color="auto" w:fill="auto"/>
            <w:noWrap/>
            <w:vAlign w:val="bottom"/>
          </w:tcPr>
          <w:p w14:paraId="3DF93D1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tcPr>
          <w:p w14:paraId="1DAA1DC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88.9</w:t>
            </w:r>
          </w:p>
        </w:tc>
        <w:tc>
          <w:tcPr>
            <w:tcW w:w="0" w:type="auto"/>
            <w:shd w:val="clear" w:color="auto" w:fill="auto"/>
            <w:noWrap/>
            <w:vAlign w:val="bottom"/>
          </w:tcPr>
          <w:p w14:paraId="2245795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4.9</w:t>
            </w:r>
          </w:p>
        </w:tc>
        <w:tc>
          <w:tcPr>
            <w:tcW w:w="0" w:type="auto"/>
            <w:shd w:val="clear" w:color="auto" w:fill="auto"/>
            <w:noWrap/>
            <w:vAlign w:val="bottom"/>
          </w:tcPr>
          <w:p w14:paraId="5E4BF55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12.9</w:t>
            </w:r>
          </w:p>
        </w:tc>
        <w:tc>
          <w:tcPr>
            <w:tcW w:w="0" w:type="auto"/>
            <w:shd w:val="clear" w:color="auto" w:fill="auto"/>
            <w:noWrap/>
            <w:vAlign w:val="bottom"/>
          </w:tcPr>
          <w:p w14:paraId="230FC71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75.9</w:t>
            </w:r>
          </w:p>
        </w:tc>
        <w:tc>
          <w:tcPr>
            <w:tcW w:w="0" w:type="auto"/>
            <w:shd w:val="clear" w:color="auto" w:fill="auto"/>
            <w:noWrap/>
            <w:vAlign w:val="bottom"/>
          </w:tcPr>
          <w:p w14:paraId="2F54EDC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163.3</w:t>
            </w:r>
          </w:p>
        </w:tc>
        <w:tc>
          <w:tcPr>
            <w:tcW w:w="0" w:type="auto"/>
            <w:shd w:val="clear" w:color="auto" w:fill="auto"/>
            <w:noWrap/>
            <w:vAlign w:val="bottom"/>
          </w:tcPr>
          <w:p w14:paraId="6832EF3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5.8</w:t>
            </w:r>
          </w:p>
        </w:tc>
      </w:tr>
      <w:tr w:rsidR="001D1EED" w:rsidRPr="00001A62" w14:paraId="3952D528" w14:textId="77777777" w:rsidTr="003B7B5D">
        <w:trPr>
          <w:trHeight w:val="300"/>
        </w:trPr>
        <w:tc>
          <w:tcPr>
            <w:tcW w:w="0" w:type="auto"/>
            <w:shd w:val="clear" w:color="auto" w:fill="auto"/>
            <w:noWrap/>
            <w:vAlign w:val="bottom"/>
          </w:tcPr>
          <w:p w14:paraId="762DE51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2013</w:t>
            </w:r>
          </w:p>
        </w:tc>
        <w:tc>
          <w:tcPr>
            <w:tcW w:w="0" w:type="auto"/>
            <w:shd w:val="clear" w:color="auto" w:fill="auto"/>
            <w:noWrap/>
            <w:vAlign w:val="bottom"/>
          </w:tcPr>
          <w:p w14:paraId="59BBB73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25.4</w:t>
            </w:r>
          </w:p>
        </w:tc>
        <w:tc>
          <w:tcPr>
            <w:tcW w:w="0" w:type="auto"/>
            <w:shd w:val="clear" w:color="auto" w:fill="auto"/>
            <w:noWrap/>
            <w:vAlign w:val="bottom"/>
          </w:tcPr>
          <w:p w14:paraId="1170BAF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tcPr>
          <w:p w14:paraId="2CC20EA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89.0</w:t>
            </w:r>
          </w:p>
        </w:tc>
        <w:tc>
          <w:tcPr>
            <w:tcW w:w="0" w:type="auto"/>
            <w:shd w:val="clear" w:color="auto" w:fill="auto"/>
            <w:noWrap/>
            <w:vAlign w:val="bottom"/>
          </w:tcPr>
          <w:p w14:paraId="2BB8932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5.8</w:t>
            </w:r>
          </w:p>
        </w:tc>
        <w:tc>
          <w:tcPr>
            <w:tcW w:w="0" w:type="auto"/>
            <w:shd w:val="clear" w:color="auto" w:fill="auto"/>
            <w:noWrap/>
            <w:vAlign w:val="bottom"/>
          </w:tcPr>
          <w:p w14:paraId="62F2166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14.8</w:t>
            </w:r>
          </w:p>
        </w:tc>
        <w:tc>
          <w:tcPr>
            <w:tcW w:w="0" w:type="auto"/>
            <w:shd w:val="clear" w:color="auto" w:fill="auto"/>
            <w:noWrap/>
            <w:vAlign w:val="bottom"/>
          </w:tcPr>
          <w:p w14:paraId="7C5197E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77.2</w:t>
            </w:r>
          </w:p>
        </w:tc>
        <w:tc>
          <w:tcPr>
            <w:tcW w:w="0" w:type="auto"/>
            <w:shd w:val="clear" w:color="auto" w:fill="auto"/>
            <w:noWrap/>
            <w:vAlign w:val="bottom"/>
          </w:tcPr>
          <w:p w14:paraId="613E2F4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156.6</w:t>
            </w:r>
          </w:p>
        </w:tc>
        <w:tc>
          <w:tcPr>
            <w:tcW w:w="0" w:type="auto"/>
            <w:shd w:val="clear" w:color="auto" w:fill="auto"/>
            <w:noWrap/>
            <w:vAlign w:val="bottom"/>
          </w:tcPr>
          <w:p w14:paraId="29A851B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5.7</w:t>
            </w:r>
          </w:p>
        </w:tc>
      </w:tr>
      <w:tr w:rsidR="001D1EED" w:rsidRPr="00001A62" w14:paraId="6428CE42" w14:textId="77777777" w:rsidTr="003B7B5D">
        <w:trPr>
          <w:trHeight w:val="300"/>
        </w:trPr>
        <w:tc>
          <w:tcPr>
            <w:tcW w:w="0" w:type="auto"/>
            <w:shd w:val="clear" w:color="auto" w:fill="auto"/>
            <w:noWrap/>
            <w:vAlign w:val="bottom"/>
          </w:tcPr>
          <w:p w14:paraId="39C841E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2014</w:t>
            </w:r>
          </w:p>
        </w:tc>
        <w:tc>
          <w:tcPr>
            <w:tcW w:w="0" w:type="auto"/>
            <w:shd w:val="clear" w:color="auto" w:fill="auto"/>
            <w:noWrap/>
            <w:vAlign w:val="bottom"/>
          </w:tcPr>
          <w:p w14:paraId="5295747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26.0</w:t>
            </w:r>
          </w:p>
        </w:tc>
        <w:tc>
          <w:tcPr>
            <w:tcW w:w="0" w:type="auto"/>
            <w:shd w:val="clear" w:color="auto" w:fill="auto"/>
            <w:noWrap/>
            <w:vAlign w:val="bottom"/>
          </w:tcPr>
          <w:p w14:paraId="4AA0E30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23.4</w:t>
            </w:r>
          </w:p>
        </w:tc>
        <w:tc>
          <w:tcPr>
            <w:tcW w:w="0" w:type="auto"/>
            <w:shd w:val="clear" w:color="auto" w:fill="auto"/>
            <w:noWrap/>
            <w:vAlign w:val="bottom"/>
          </w:tcPr>
          <w:p w14:paraId="1931499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88.3</w:t>
            </w:r>
          </w:p>
        </w:tc>
        <w:tc>
          <w:tcPr>
            <w:tcW w:w="0" w:type="auto"/>
            <w:shd w:val="clear" w:color="auto" w:fill="auto"/>
            <w:noWrap/>
            <w:vAlign w:val="bottom"/>
          </w:tcPr>
          <w:p w14:paraId="12E0465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3.5</w:t>
            </w:r>
          </w:p>
        </w:tc>
        <w:tc>
          <w:tcPr>
            <w:tcW w:w="0" w:type="auto"/>
            <w:shd w:val="clear" w:color="auto" w:fill="auto"/>
            <w:noWrap/>
            <w:vAlign w:val="bottom"/>
          </w:tcPr>
          <w:p w14:paraId="40F6A14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11.5</w:t>
            </w:r>
          </w:p>
        </w:tc>
        <w:tc>
          <w:tcPr>
            <w:tcW w:w="0" w:type="auto"/>
            <w:shd w:val="clear" w:color="auto" w:fill="auto"/>
            <w:noWrap/>
            <w:vAlign w:val="bottom"/>
          </w:tcPr>
          <w:p w14:paraId="5096642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73.9</w:t>
            </w:r>
          </w:p>
        </w:tc>
        <w:tc>
          <w:tcPr>
            <w:tcW w:w="0" w:type="auto"/>
            <w:shd w:val="clear" w:color="auto" w:fill="auto"/>
            <w:noWrap/>
            <w:vAlign w:val="bottom"/>
          </w:tcPr>
          <w:p w14:paraId="348C346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168.0</w:t>
            </w:r>
          </w:p>
        </w:tc>
        <w:tc>
          <w:tcPr>
            <w:tcW w:w="0" w:type="auto"/>
            <w:shd w:val="clear" w:color="auto" w:fill="auto"/>
            <w:noWrap/>
            <w:vAlign w:val="bottom"/>
          </w:tcPr>
          <w:p w14:paraId="01C4562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6.0</w:t>
            </w:r>
          </w:p>
        </w:tc>
      </w:tr>
      <w:tr w:rsidR="001D1EED" w:rsidRPr="00001A62" w14:paraId="429EBAD7" w14:textId="77777777" w:rsidTr="003B7B5D">
        <w:trPr>
          <w:trHeight w:val="300"/>
        </w:trPr>
        <w:tc>
          <w:tcPr>
            <w:tcW w:w="0" w:type="auto"/>
            <w:shd w:val="clear" w:color="auto" w:fill="auto"/>
            <w:noWrap/>
            <w:vAlign w:val="bottom"/>
          </w:tcPr>
          <w:p w14:paraId="0C7DA28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2015</w:t>
            </w:r>
          </w:p>
        </w:tc>
        <w:tc>
          <w:tcPr>
            <w:tcW w:w="0" w:type="auto"/>
            <w:shd w:val="clear" w:color="auto" w:fill="auto"/>
            <w:noWrap/>
            <w:vAlign w:val="bottom"/>
          </w:tcPr>
          <w:p w14:paraId="4AD0084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26.7</w:t>
            </w:r>
          </w:p>
        </w:tc>
        <w:tc>
          <w:tcPr>
            <w:tcW w:w="0" w:type="auto"/>
            <w:shd w:val="clear" w:color="auto" w:fill="auto"/>
            <w:noWrap/>
            <w:vAlign w:val="bottom"/>
          </w:tcPr>
          <w:p w14:paraId="29D973D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23.6</w:t>
            </w:r>
          </w:p>
        </w:tc>
        <w:tc>
          <w:tcPr>
            <w:tcW w:w="0" w:type="auto"/>
            <w:shd w:val="clear" w:color="auto" w:fill="auto"/>
            <w:noWrap/>
            <w:vAlign w:val="bottom"/>
          </w:tcPr>
          <w:p w14:paraId="163DCAD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85.9</w:t>
            </w:r>
          </w:p>
        </w:tc>
        <w:tc>
          <w:tcPr>
            <w:tcW w:w="0" w:type="auto"/>
            <w:shd w:val="clear" w:color="auto" w:fill="auto"/>
            <w:noWrap/>
            <w:vAlign w:val="bottom"/>
          </w:tcPr>
          <w:p w14:paraId="5B9C25E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3.3</w:t>
            </w:r>
          </w:p>
        </w:tc>
        <w:tc>
          <w:tcPr>
            <w:tcW w:w="0" w:type="auto"/>
            <w:shd w:val="clear" w:color="auto" w:fill="auto"/>
            <w:noWrap/>
            <w:vAlign w:val="bottom"/>
          </w:tcPr>
          <w:p w14:paraId="1066C97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12.7</w:t>
            </w:r>
          </w:p>
        </w:tc>
        <w:tc>
          <w:tcPr>
            <w:tcW w:w="0" w:type="auto"/>
            <w:shd w:val="clear" w:color="auto" w:fill="auto"/>
            <w:noWrap/>
            <w:vAlign w:val="bottom"/>
          </w:tcPr>
          <w:p w14:paraId="524AA23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76.4</w:t>
            </w:r>
          </w:p>
        </w:tc>
        <w:tc>
          <w:tcPr>
            <w:tcW w:w="0" w:type="auto"/>
            <w:shd w:val="clear" w:color="auto" w:fill="auto"/>
            <w:noWrap/>
            <w:vAlign w:val="bottom"/>
          </w:tcPr>
          <w:p w14:paraId="143DA0E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162.9</w:t>
            </w:r>
          </w:p>
        </w:tc>
        <w:tc>
          <w:tcPr>
            <w:tcW w:w="0" w:type="auto"/>
            <w:shd w:val="clear" w:color="auto" w:fill="auto"/>
            <w:noWrap/>
            <w:vAlign w:val="bottom"/>
          </w:tcPr>
          <w:p w14:paraId="1B5262A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6.1</w:t>
            </w:r>
          </w:p>
        </w:tc>
      </w:tr>
      <w:tr w:rsidR="001D1EED" w:rsidRPr="00001A62" w14:paraId="1B6218B7" w14:textId="77777777" w:rsidTr="003B7B5D">
        <w:trPr>
          <w:trHeight w:val="300"/>
        </w:trPr>
        <w:tc>
          <w:tcPr>
            <w:tcW w:w="0" w:type="auto"/>
            <w:shd w:val="clear" w:color="auto" w:fill="auto"/>
            <w:noWrap/>
            <w:vAlign w:val="bottom"/>
          </w:tcPr>
          <w:p w14:paraId="5E72A9B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2016</w:t>
            </w:r>
          </w:p>
        </w:tc>
        <w:tc>
          <w:tcPr>
            <w:tcW w:w="0" w:type="auto"/>
            <w:shd w:val="clear" w:color="auto" w:fill="auto"/>
            <w:noWrap/>
            <w:vAlign w:val="bottom"/>
          </w:tcPr>
          <w:p w14:paraId="6FE5A2A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27.8</w:t>
            </w:r>
          </w:p>
        </w:tc>
        <w:tc>
          <w:tcPr>
            <w:tcW w:w="0" w:type="auto"/>
            <w:shd w:val="clear" w:color="auto" w:fill="auto"/>
            <w:noWrap/>
            <w:vAlign w:val="bottom"/>
          </w:tcPr>
          <w:p w14:paraId="579CC97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tcPr>
          <w:p w14:paraId="34E99F1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82.5</w:t>
            </w:r>
          </w:p>
        </w:tc>
        <w:tc>
          <w:tcPr>
            <w:tcW w:w="0" w:type="auto"/>
            <w:shd w:val="clear" w:color="auto" w:fill="auto"/>
            <w:noWrap/>
            <w:vAlign w:val="bottom"/>
          </w:tcPr>
          <w:p w14:paraId="01890C6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3.9</w:t>
            </w:r>
          </w:p>
        </w:tc>
        <w:tc>
          <w:tcPr>
            <w:tcW w:w="0" w:type="auto"/>
            <w:shd w:val="clear" w:color="auto" w:fill="auto"/>
            <w:noWrap/>
            <w:vAlign w:val="bottom"/>
          </w:tcPr>
          <w:p w14:paraId="01AE67A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12.8</w:t>
            </w:r>
          </w:p>
        </w:tc>
        <w:tc>
          <w:tcPr>
            <w:tcW w:w="0" w:type="auto"/>
            <w:shd w:val="clear" w:color="auto" w:fill="auto"/>
            <w:noWrap/>
            <w:vAlign w:val="bottom"/>
          </w:tcPr>
          <w:p w14:paraId="1ACA172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84.5</w:t>
            </w:r>
          </w:p>
        </w:tc>
        <w:tc>
          <w:tcPr>
            <w:tcW w:w="0" w:type="auto"/>
            <w:shd w:val="clear" w:color="auto" w:fill="auto"/>
            <w:noWrap/>
            <w:vAlign w:val="bottom"/>
          </w:tcPr>
          <w:p w14:paraId="55E80B9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175.5</w:t>
            </w:r>
          </w:p>
        </w:tc>
        <w:tc>
          <w:tcPr>
            <w:tcW w:w="0" w:type="auto"/>
            <w:shd w:val="clear" w:color="auto" w:fill="auto"/>
            <w:noWrap/>
            <w:vAlign w:val="bottom"/>
          </w:tcPr>
          <w:p w14:paraId="4210D90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6.7</w:t>
            </w:r>
          </w:p>
        </w:tc>
      </w:tr>
      <w:tr w:rsidR="001D1EED" w:rsidRPr="00001A62" w14:paraId="3654FC1B" w14:textId="77777777" w:rsidTr="003B7B5D">
        <w:trPr>
          <w:trHeight w:val="300"/>
        </w:trPr>
        <w:tc>
          <w:tcPr>
            <w:tcW w:w="0" w:type="auto"/>
            <w:shd w:val="clear" w:color="auto" w:fill="auto"/>
            <w:noWrap/>
            <w:vAlign w:val="bottom"/>
          </w:tcPr>
          <w:p w14:paraId="1D5AE90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2017</w:t>
            </w:r>
          </w:p>
        </w:tc>
        <w:tc>
          <w:tcPr>
            <w:tcW w:w="0" w:type="auto"/>
            <w:shd w:val="clear" w:color="auto" w:fill="auto"/>
            <w:noWrap/>
            <w:vAlign w:val="bottom"/>
          </w:tcPr>
          <w:p w14:paraId="43AB063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27.6</w:t>
            </w:r>
          </w:p>
        </w:tc>
        <w:tc>
          <w:tcPr>
            <w:tcW w:w="0" w:type="auto"/>
            <w:shd w:val="clear" w:color="auto" w:fill="auto"/>
            <w:noWrap/>
            <w:vAlign w:val="bottom"/>
          </w:tcPr>
          <w:p w14:paraId="13194C5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23.2</w:t>
            </w:r>
          </w:p>
        </w:tc>
        <w:tc>
          <w:tcPr>
            <w:tcW w:w="0" w:type="auto"/>
            <w:shd w:val="clear" w:color="auto" w:fill="auto"/>
            <w:noWrap/>
            <w:vAlign w:val="bottom"/>
          </w:tcPr>
          <w:p w14:paraId="4C91499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80.9</w:t>
            </w:r>
          </w:p>
        </w:tc>
        <w:tc>
          <w:tcPr>
            <w:tcW w:w="0" w:type="auto"/>
            <w:shd w:val="clear" w:color="auto" w:fill="auto"/>
            <w:noWrap/>
            <w:vAlign w:val="bottom"/>
          </w:tcPr>
          <w:p w14:paraId="7CC200D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3.9</w:t>
            </w:r>
          </w:p>
        </w:tc>
        <w:tc>
          <w:tcPr>
            <w:tcW w:w="0" w:type="auto"/>
            <w:shd w:val="clear" w:color="auto" w:fill="auto"/>
            <w:noWrap/>
            <w:vAlign w:val="bottom"/>
          </w:tcPr>
          <w:p w14:paraId="39A7657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13.4</w:t>
            </w:r>
          </w:p>
        </w:tc>
        <w:tc>
          <w:tcPr>
            <w:tcW w:w="0" w:type="auto"/>
            <w:shd w:val="clear" w:color="auto" w:fill="auto"/>
            <w:noWrap/>
            <w:vAlign w:val="bottom"/>
          </w:tcPr>
          <w:p w14:paraId="65ED528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83.0</w:t>
            </w:r>
          </w:p>
        </w:tc>
        <w:tc>
          <w:tcPr>
            <w:tcW w:w="0" w:type="auto"/>
            <w:shd w:val="clear" w:color="auto" w:fill="auto"/>
            <w:noWrap/>
            <w:vAlign w:val="bottom"/>
          </w:tcPr>
          <w:p w14:paraId="5C8441B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182.5</w:t>
            </w:r>
          </w:p>
        </w:tc>
        <w:tc>
          <w:tcPr>
            <w:tcW w:w="0" w:type="auto"/>
            <w:shd w:val="clear" w:color="auto" w:fill="auto"/>
            <w:noWrap/>
            <w:vAlign w:val="bottom"/>
          </w:tcPr>
          <w:p w14:paraId="58D9CB3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6.8</w:t>
            </w:r>
          </w:p>
        </w:tc>
      </w:tr>
      <w:tr w:rsidR="001D1EED" w:rsidRPr="00001A62" w14:paraId="671535E3" w14:textId="77777777" w:rsidTr="003B7B5D">
        <w:trPr>
          <w:trHeight w:val="300"/>
        </w:trPr>
        <w:tc>
          <w:tcPr>
            <w:tcW w:w="0" w:type="auto"/>
            <w:shd w:val="clear" w:color="auto" w:fill="auto"/>
            <w:noWrap/>
            <w:vAlign w:val="bottom"/>
          </w:tcPr>
          <w:p w14:paraId="7558617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2018</w:t>
            </w:r>
          </w:p>
        </w:tc>
        <w:tc>
          <w:tcPr>
            <w:tcW w:w="0" w:type="auto"/>
            <w:shd w:val="clear" w:color="auto" w:fill="auto"/>
            <w:noWrap/>
            <w:vAlign w:val="bottom"/>
          </w:tcPr>
          <w:p w14:paraId="5A9FDAE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27.7</w:t>
            </w:r>
          </w:p>
        </w:tc>
        <w:tc>
          <w:tcPr>
            <w:tcW w:w="0" w:type="auto"/>
            <w:shd w:val="clear" w:color="auto" w:fill="auto"/>
            <w:noWrap/>
            <w:vAlign w:val="bottom"/>
          </w:tcPr>
          <w:p w14:paraId="419DFDF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23.4</w:t>
            </w:r>
          </w:p>
        </w:tc>
        <w:tc>
          <w:tcPr>
            <w:tcW w:w="0" w:type="auto"/>
            <w:shd w:val="clear" w:color="auto" w:fill="auto"/>
            <w:noWrap/>
            <w:vAlign w:val="bottom"/>
          </w:tcPr>
          <w:p w14:paraId="652537C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81.2</w:t>
            </w:r>
          </w:p>
        </w:tc>
        <w:tc>
          <w:tcPr>
            <w:tcW w:w="0" w:type="auto"/>
            <w:shd w:val="clear" w:color="auto" w:fill="auto"/>
            <w:noWrap/>
            <w:vAlign w:val="bottom"/>
          </w:tcPr>
          <w:p w14:paraId="5FD9FD4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3.3</w:t>
            </w:r>
          </w:p>
        </w:tc>
        <w:tc>
          <w:tcPr>
            <w:tcW w:w="0" w:type="auto"/>
            <w:shd w:val="clear" w:color="auto" w:fill="auto"/>
            <w:noWrap/>
            <w:vAlign w:val="bottom"/>
          </w:tcPr>
          <w:p w14:paraId="48D7404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12.5</w:t>
            </w:r>
          </w:p>
        </w:tc>
        <w:tc>
          <w:tcPr>
            <w:tcW w:w="0" w:type="auto"/>
            <w:shd w:val="clear" w:color="auto" w:fill="auto"/>
            <w:noWrap/>
            <w:vAlign w:val="bottom"/>
          </w:tcPr>
          <w:p w14:paraId="04CA8ED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83.8</w:t>
            </w:r>
          </w:p>
        </w:tc>
        <w:tc>
          <w:tcPr>
            <w:tcW w:w="0" w:type="auto"/>
            <w:shd w:val="clear" w:color="auto" w:fill="auto"/>
            <w:noWrap/>
            <w:vAlign w:val="bottom"/>
          </w:tcPr>
          <w:p w14:paraId="69D6587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186.0</w:t>
            </w:r>
          </w:p>
        </w:tc>
        <w:tc>
          <w:tcPr>
            <w:tcW w:w="0" w:type="auto"/>
            <w:shd w:val="clear" w:color="auto" w:fill="auto"/>
            <w:noWrap/>
            <w:vAlign w:val="bottom"/>
          </w:tcPr>
          <w:p w14:paraId="5F0BE9C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6.8</w:t>
            </w:r>
          </w:p>
        </w:tc>
      </w:tr>
      <w:tr w:rsidR="001D1EED" w:rsidRPr="00001A62" w14:paraId="66884F88" w14:textId="77777777" w:rsidTr="003B7B5D">
        <w:trPr>
          <w:trHeight w:val="300"/>
        </w:trPr>
        <w:tc>
          <w:tcPr>
            <w:tcW w:w="0" w:type="auto"/>
            <w:shd w:val="clear" w:color="auto" w:fill="auto"/>
            <w:noWrap/>
            <w:vAlign w:val="bottom"/>
          </w:tcPr>
          <w:p w14:paraId="33C12C3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2019</w:t>
            </w:r>
          </w:p>
        </w:tc>
        <w:tc>
          <w:tcPr>
            <w:tcW w:w="0" w:type="auto"/>
            <w:shd w:val="clear" w:color="auto" w:fill="auto"/>
            <w:noWrap/>
            <w:vAlign w:val="bottom"/>
          </w:tcPr>
          <w:p w14:paraId="14C92EC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28.0</w:t>
            </w:r>
          </w:p>
        </w:tc>
        <w:tc>
          <w:tcPr>
            <w:tcW w:w="0" w:type="auto"/>
            <w:shd w:val="clear" w:color="auto" w:fill="auto"/>
            <w:noWrap/>
            <w:vAlign w:val="bottom"/>
          </w:tcPr>
          <w:p w14:paraId="0513DC5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23.6</w:t>
            </w:r>
          </w:p>
        </w:tc>
        <w:tc>
          <w:tcPr>
            <w:tcW w:w="0" w:type="auto"/>
            <w:shd w:val="clear" w:color="auto" w:fill="auto"/>
            <w:noWrap/>
            <w:vAlign w:val="bottom"/>
          </w:tcPr>
          <w:p w14:paraId="65F7AAF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81.9</w:t>
            </w:r>
          </w:p>
        </w:tc>
        <w:tc>
          <w:tcPr>
            <w:tcW w:w="0" w:type="auto"/>
            <w:shd w:val="clear" w:color="auto" w:fill="auto"/>
            <w:noWrap/>
            <w:vAlign w:val="bottom"/>
          </w:tcPr>
          <w:p w14:paraId="6967F2D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3.9</w:t>
            </w:r>
          </w:p>
        </w:tc>
        <w:tc>
          <w:tcPr>
            <w:tcW w:w="0" w:type="auto"/>
            <w:shd w:val="clear" w:color="auto" w:fill="auto"/>
            <w:noWrap/>
            <w:vAlign w:val="bottom"/>
          </w:tcPr>
          <w:p w14:paraId="53DC2C1F"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26.8</w:t>
            </w:r>
          </w:p>
        </w:tc>
        <w:tc>
          <w:tcPr>
            <w:tcW w:w="0" w:type="auto"/>
            <w:shd w:val="clear" w:color="auto" w:fill="auto"/>
            <w:noWrap/>
            <w:vAlign w:val="bottom"/>
          </w:tcPr>
          <w:p w14:paraId="4095916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84.8</w:t>
            </w:r>
          </w:p>
        </w:tc>
        <w:tc>
          <w:tcPr>
            <w:tcW w:w="0" w:type="auto"/>
            <w:shd w:val="clear" w:color="auto" w:fill="auto"/>
            <w:noWrap/>
            <w:vAlign w:val="bottom"/>
          </w:tcPr>
          <w:p w14:paraId="44F8FF9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178.1</w:t>
            </w:r>
          </w:p>
        </w:tc>
        <w:tc>
          <w:tcPr>
            <w:tcW w:w="0" w:type="auto"/>
            <w:shd w:val="clear" w:color="auto" w:fill="auto"/>
            <w:noWrap/>
            <w:vAlign w:val="bottom"/>
          </w:tcPr>
          <w:p w14:paraId="1F71A9B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6.7</w:t>
            </w:r>
          </w:p>
        </w:tc>
      </w:tr>
      <w:tr w:rsidR="001D1EED" w:rsidRPr="00001A62" w14:paraId="65AC8D4D" w14:textId="77777777" w:rsidTr="003B7B5D">
        <w:trPr>
          <w:trHeight w:val="300"/>
        </w:trPr>
        <w:tc>
          <w:tcPr>
            <w:tcW w:w="0" w:type="auto"/>
            <w:shd w:val="clear" w:color="auto" w:fill="auto"/>
            <w:noWrap/>
            <w:vAlign w:val="bottom"/>
          </w:tcPr>
          <w:p w14:paraId="165FF8E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2020</w:t>
            </w:r>
          </w:p>
        </w:tc>
        <w:tc>
          <w:tcPr>
            <w:tcW w:w="0" w:type="auto"/>
            <w:shd w:val="clear" w:color="auto" w:fill="auto"/>
            <w:noWrap/>
            <w:vAlign w:val="bottom"/>
          </w:tcPr>
          <w:p w14:paraId="7ADBE63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28.2</w:t>
            </w:r>
          </w:p>
        </w:tc>
        <w:tc>
          <w:tcPr>
            <w:tcW w:w="0" w:type="auto"/>
            <w:shd w:val="clear" w:color="auto" w:fill="auto"/>
            <w:noWrap/>
            <w:vAlign w:val="bottom"/>
          </w:tcPr>
          <w:p w14:paraId="611ADBD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23.4</w:t>
            </w:r>
          </w:p>
        </w:tc>
        <w:tc>
          <w:tcPr>
            <w:tcW w:w="0" w:type="auto"/>
            <w:shd w:val="clear" w:color="auto" w:fill="auto"/>
            <w:noWrap/>
            <w:vAlign w:val="bottom"/>
          </w:tcPr>
          <w:p w14:paraId="5E6F97B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78.4</w:t>
            </w:r>
          </w:p>
        </w:tc>
        <w:tc>
          <w:tcPr>
            <w:tcW w:w="0" w:type="auto"/>
            <w:shd w:val="clear" w:color="auto" w:fill="auto"/>
            <w:noWrap/>
            <w:vAlign w:val="bottom"/>
          </w:tcPr>
          <w:p w14:paraId="7A1B7F6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w:t>
            </w:r>
          </w:p>
        </w:tc>
        <w:tc>
          <w:tcPr>
            <w:tcW w:w="0" w:type="auto"/>
            <w:shd w:val="clear" w:color="auto" w:fill="auto"/>
            <w:noWrap/>
            <w:vAlign w:val="bottom"/>
          </w:tcPr>
          <w:p w14:paraId="0BF34FF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15.5</w:t>
            </w:r>
          </w:p>
        </w:tc>
        <w:tc>
          <w:tcPr>
            <w:tcW w:w="0" w:type="auto"/>
            <w:shd w:val="clear" w:color="auto" w:fill="auto"/>
            <w:noWrap/>
            <w:vAlign w:val="bottom"/>
          </w:tcPr>
          <w:p w14:paraId="104E629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79.7</w:t>
            </w:r>
          </w:p>
        </w:tc>
        <w:tc>
          <w:tcPr>
            <w:tcW w:w="0" w:type="auto"/>
            <w:shd w:val="clear" w:color="auto" w:fill="auto"/>
            <w:noWrap/>
            <w:vAlign w:val="bottom"/>
          </w:tcPr>
          <w:p w14:paraId="2A29CBE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192.1</w:t>
            </w:r>
          </w:p>
        </w:tc>
        <w:tc>
          <w:tcPr>
            <w:tcW w:w="0" w:type="auto"/>
            <w:shd w:val="clear" w:color="auto" w:fill="auto"/>
            <w:noWrap/>
            <w:vAlign w:val="bottom"/>
          </w:tcPr>
          <w:p w14:paraId="207FE62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7.2</w:t>
            </w:r>
          </w:p>
        </w:tc>
      </w:tr>
      <w:tr w:rsidR="001D1EED" w:rsidRPr="00001A62" w14:paraId="036236B3" w14:textId="77777777" w:rsidTr="003B7B5D">
        <w:trPr>
          <w:trHeight w:val="300"/>
        </w:trPr>
        <w:tc>
          <w:tcPr>
            <w:tcW w:w="0" w:type="auto"/>
            <w:shd w:val="clear" w:color="auto" w:fill="auto"/>
            <w:noWrap/>
            <w:vAlign w:val="bottom"/>
          </w:tcPr>
          <w:p w14:paraId="27B5B2D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2021</w:t>
            </w:r>
          </w:p>
        </w:tc>
        <w:tc>
          <w:tcPr>
            <w:tcW w:w="0" w:type="auto"/>
            <w:shd w:val="clear" w:color="auto" w:fill="auto"/>
            <w:noWrap/>
            <w:vAlign w:val="bottom"/>
          </w:tcPr>
          <w:p w14:paraId="009AC33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27.9</w:t>
            </w:r>
          </w:p>
        </w:tc>
        <w:tc>
          <w:tcPr>
            <w:tcW w:w="0" w:type="auto"/>
            <w:shd w:val="clear" w:color="auto" w:fill="auto"/>
            <w:noWrap/>
            <w:vAlign w:val="bottom"/>
          </w:tcPr>
          <w:p w14:paraId="4C3FD80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23.5</w:t>
            </w:r>
          </w:p>
        </w:tc>
        <w:tc>
          <w:tcPr>
            <w:tcW w:w="0" w:type="auto"/>
            <w:shd w:val="clear" w:color="auto" w:fill="auto"/>
            <w:noWrap/>
            <w:vAlign w:val="bottom"/>
          </w:tcPr>
          <w:p w14:paraId="484FE74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80.7</w:t>
            </w:r>
          </w:p>
        </w:tc>
        <w:tc>
          <w:tcPr>
            <w:tcW w:w="0" w:type="auto"/>
            <w:shd w:val="clear" w:color="auto" w:fill="auto"/>
            <w:noWrap/>
            <w:vAlign w:val="bottom"/>
          </w:tcPr>
          <w:p w14:paraId="3C68667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1.5</w:t>
            </w:r>
          </w:p>
        </w:tc>
        <w:tc>
          <w:tcPr>
            <w:tcW w:w="0" w:type="auto"/>
            <w:shd w:val="clear" w:color="auto" w:fill="auto"/>
            <w:noWrap/>
            <w:vAlign w:val="bottom"/>
          </w:tcPr>
          <w:p w14:paraId="0C2F844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16.2</w:t>
            </w:r>
          </w:p>
        </w:tc>
        <w:tc>
          <w:tcPr>
            <w:tcW w:w="0" w:type="auto"/>
            <w:shd w:val="clear" w:color="auto" w:fill="auto"/>
            <w:noWrap/>
            <w:vAlign w:val="bottom"/>
          </w:tcPr>
          <w:p w14:paraId="15F24F3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77.3</w:t>
            </w:r>
          </w:p>
        </w:tc>
        <w:tc>
          <w:tcPr>
            <w:tcW w:w="0" w:type="auto"/>
            <w:shd w:val="clear" w:color="auto" w:fill="auto"/>
            <w:noWrap/>
            <w:vAlign w:val="bottom"/>
          </w:tcPr>
          <w:p w14:paraId="0BD6C0E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184.2</w:t>
            </w:r>
          </w:p>
        </w:tc>
        <w:tc>
          <w:tcPr>
            <w:tcW w:w="0" w:type="auto"/>
            <w:shd w:val="clear" w:color="auto" w:fill="auto"/>
            <w:noWrap/>
            <w:vAlign w:val="bottom"/>
          </w:tcPr>
          <w:p w14:paraId="48B2834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6.8</w:t>
            </w:r>
          </w:p>
        </w:tc>
      </w:tr>
      <w:tr w:rsidR="001D1EED" w:rsidRPr="00001A62" w14:paraId="4AF392F6" w14:textId="77777777" w:rsidTr="003B7B5D">
        <w:trPr>
          <w:trHeight w:val="300"/>
        </w:trPr>
        <w:tc>
          <w:tcPr>
            <w:tcW w:w="0" w:type="auto"/>
            <w:shd w:val="clear" w:color="auto" w:fill="auto"/>
            <w:noWrap/>
            <w:vAlign w:val="bottom"/>
          </w:tcPr>
          <w:p w14:paraId="69D91B9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2022</w:t>
            </w:r>
          </w:p>
        </w:tc>
        <w:tc>
          <w:tcPr>
            <w:tcW w:w="0" w:type="auto"/>
            <w:shd w:val="clear" w:color="auto" w:fill="auto"/>
            <w:noWrap/>
            <w:vAlign w:val="bottom"/>
          </w:tcPr>
          <w:p w14:paraId="490429E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27.2</w:t>
            </w:r>
          </w:p>
        </w:tc>
        <w:tc>
          <w:tcPr>
            <w:tcW w:w="0" w:type="auto"/>
            <w:shd w:val="clear" w:color="auto" w:fill="auto"/>
            <w:noWrap/>
            <w:vAlign w:val="bottom"/>
          </w:tcPr>
          <w:p w14:paraId="3FC93A2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22.0</w:t>
            </w:r>
          </w:p>
        </w:tc>
        <w:tc>
          <w:tcPr>
            <w:tcW w:w="0" w:type="auto"/>
            <w:shd w:val="clear" w:color="auto" w:fill="auto"/>
            <w:noWrap/>
            <w:vAlign w:val="bottom"/>
          </w:tcPr>
          <w:p w14:paraId="25C971FE"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75.1</w:t>
            </w:r>
          </w:p>
        </w:tc>
        <w:tc>
          <w:tcPr>
            <w:tcW w:w="0" w:type="auto"/>
            <w:shd w:val="clear" w:color="auto" w:fill="auto"/>
            <w:noWrap/>
            <w:vAlign w:val="bottom"/>
          </w:tcPr>
          <w:p w14:paraId="3C26E61B"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3.8</w:t>
            </w:r>
          </w:p>
        </w:tc>
        <w:tc>
          <w:tcPr>
            <w:tcW w:w="0" w:type="auto"/>
            <w:shd w:val="clear" w:color="auto" w:fill="auto"/>
            <w:noWrap/>
            <w:vAlign w:val="bottom"/>
          </w:tcPr>
          <w:p w14:paraId="3B56629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13.1</w:t>
            </w:r>
          </w:p>
        </w:tc>
        <w:tc>
          <w:tcPr>
            <w:tcW w:w="0" w:type="auto"/>
            <w:shd w:val="clear" w:color="auto" w:fill="auto"/>
            <w:noWrap/>
            <w:vAlign w:val="bottom"/>
          </w:tcPr>
          <w:p w14:paraId="7C10167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82.7</w:t>
            </w:r>
          </w:p>
        </w:tc>
        <w:tc>
          <w:tcPr>
            <w:tcW w:w="0" w:type="auto"/>
            <w:shd w:val="clear" w:color="auto" w:fill="auto"/>
            <w:noWrap/>
            <w:vAlign w:val="bottom"/>
          </w:tcPr>
          <w:p w14:paraId="103A992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215.4</w:t>
            </w:r>
          </w:p>
        </w:tc>
        <w:tc>
          <w:tcPr>
            <w:tcW w:w="0" w:type="auto"/>
            <w:shd w:val="clear" w:color="auto" w:fill="auto"/>
            <w:noWrap/>
            <w:vAlign w:val="bottom"/>
          </w:tcPr>
          <w:p w14:paraId="3311BFB0"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8.6</w:t>
            </w:r>
          </w:p>
        </w:tc>
      </w:tr>
      <w:tr w:rsidR="001D1EED" w:rsidRPr="00001A62" w14:paraId="6821B873" w14:textId="77777777" w:rsidTr="003B7B5D">
        <w:trPr>
          <w:trHeight w:val="300"/>
        </w:trPr>
        <w:tc>
          <w:tcPr>
            <w:tcW w:w="0" w:type="auto"/>
            <w:shd w:val="clear" w:color="auto" w:fill="auto"/>
            <w:noWrap/>
            <w:vAlign w:val="bottom"/>
          </w:tcPr>
          <w:p w14:paraId="7D59C0E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2023</w:t>
            </w:r>
          </w:p>
        </w:tc>
        <w:tc>
          <w:tcPr>
            <w:tcW w:w="0" w:type="auto"/>
            <w:shd w:val="clear" w:color="auto" w:fill="auto"/>
            <w:noWrap/>
            <w:vAlign w:val="bottom"/>
          </w:tcPr>
          <w:p w14:paraId="774A607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27.4</w:t>
            </w:r>
          </w:p>
        </w:tc>
        <w:tc>
          <w:tcPr>
            <w:tcW w:w="0" w:type="auto"/>
            <w:shd w:val="clear" w:color="auto" w:fill="auto"/>
            <w:noWrap/>
            <w:vAlign w:val="bottom"/>
          </w:tcPr>
          <w:p w14:paraId="7B62B912"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23.1</w:t>
            </w:r>
          </w:p>
        </w:tc>
        <w:tc>
          <w:tcPr>
            <w:tcW w:w="0" w:type="auto"/>
            <w:shd w:val="clear" w:color="auto" w:fill="auto"/>
            <w:noWrap/>
            <w:vAlign w:val="bottom"/>
          </w:tcPr>
          <w:p w14:paraId="1562E8A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79.5</w:t>
            </w:r>
          </w:p>
        </w:tc>
        <w:tc>
          <w:tcPr>
            <w:tcW w:w="0" w:type="auto"/>
            <w:shd w:val="clear" w:color="auto" w:fill="auto"/>
            <w:noWrap/>
            <w:vAlign w:val="bottom"/>
          </w:tcPr>
          <w:p w14:paraId="0E83B43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4.5</w:t>
            </w:r>
          </w:p>
        </w:tc>
        <w:tc>
          <w:tcPr>
            <w:tcW w:w="0" w:type="auto"/>
            <w:shd w:val="clear" w:color="auto" w:fill="auto"/>
            <w:noWrap/>
            <w:vAlign w:val="bottom"/>
          </w:tcPr>
          <w:p w14:paraId="6DA59D9C"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17.1</w:t>
            </w:r>
          </w:p>
        </w:tc>
        <w:tc>
          <w:tcPr>
            <w:tcW w:w="0" w:type="auto"/>
            <w:shd w:val="clear" w:color="auto" w:fill="auto"/>
            <w:noWrap/>
            <w:vAlign w:val="bottom"/>
          </w:tcPr>
          <w:p w14:paraId="059C5EA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85.4</w:t>
            </w:r>
          </w:p>
        </w:tc>
        <w:tc>
          <w:tcPr>
            <w:tcW w:w="0" w:type="auto"/>
            <w:shd w:val="clear" w:color="auto" w:fill="auto"/>
            <w:noWrap/>
            <w:vAlign w:val="bottom"/>
          </w:tcPr>
          <w:p w14:paraId="5AE75B85"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213.7</w:t>
            </w:r>
          </w:p>
        </w:tc>
        <w:tc>
          <w:tcPr>
            <w:tcW w:w="0" w:type="auto"/>
            <w:shd w:val="clear" w:color="auto" w:fill="auto"/>
            <w:noWrap/>
            <w:vAlign w:val="bottom"/>
          </w:tcPr>
          <w:p w14:paraId="78AEE204"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8.2</w:t>
            </w:r>
          </w:p>
        </w:tc>
      </w:tr>
      <w:tr w:rsidR="001D1EED" w:rsidRPr="00001A62" w14:paraId="5A8FD975" w14:textId="77777777" w:rsidTr="003B7B5D">
        <w:trPr>
          <w:trHeight w:val="300"/>
        </w:trPr>
        <w:tc>
          <w:tcPr>
            <w:tcW w:w="0" w:type="auto"/>
            <w:shd w:val="clear" w:color="auto" w:fill="auto"/>
            <w:noWrap/>
            <w:vAlign w:val="bottom"/>
          </w:tcPr>
          <w:p w14:paraId="70ADFD80" w14:textId="553308E2"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2024</w:t>
            </w:r>
          </w:p>
        </w:tc>
        <w:tc>
          <w:tcPr>
            <w:tcW w:w="0" w:type="auto"/>
            <w:shd w:val="clear" w:color="auto" w:fill="auto"/>
            <w:noWrap/>
            <w:vAlign w:val="bottom"/>
          </w:tcPr>
          <w:p w14:paraId="5DE2FCA7"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29.1</w:t>
            </w:r>
          </w:p>
        </w:tc>
        <w:tc>
          <w:tcPr>
            <w:tcW w:w="0" w:type="auto"/>
            <w:shd w:val="clear" w:color="auto" w:fill="auto"/>
            <w:noWrap/>
            <w:vAlign w:val="bottom"/>
          </w:tcPr>
          <w:p w14:paraId="680374E6"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22.9</w:t>
            </w:r>
          </w:p>
        </w:tc>
        <w:tc>
          <w:tcPr>
            <w:tcW w:w="0" w:type="auto"/>
            <w:shd w:val="clear" w:color="auto" w:fill="auto"/>
            <w:noWrap/>
            <w:vAlign w:val="bottom"/>
          </w:tcPr>
          <w:p w14:paraId="67A87A69"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70.1</w:t>
            </w:r>
          </w:p>
        </w:tc>
        <w:tc>
          <w:tcPr>
            <w:tcW w:w="0" w:type="auto"/>
            <w:shd w:val="clear" w:color="auto" w:fill="auto"/>
            <w:noWrap/>
            <w:vAlign w:val="bottom"/>
          </w:tcPr>
          <w:p w14:paraId="456D0CB3"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1.7</w:t>
            </w:r>
          </w:p>
        </w:tc>
        <w:tc>
          <w:tcPr>
            <w:tcW w:w="0" w:type="auto"/>
            <w:shd w:val="clear" w:color="auto" w:fill="auto"/>
            <w:noWrap/>
            <w:vAlign w:val="bottom"/>
          </w:tcPr>
          <w:p w14:paraId="038D00DA"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18.8</w:t>
            </w:r>
          </w:p>
        </w:tc>
        <w:tc>
          <w:tcPr>
            <w:tcW w:w="0" w:type="auto"/>
            <w:shd w:val="clear" w:color="auto" w:fill="auto"/>
            <w:noWrap/>
            <w:vAlign w:val="bottom"/>
          </w:tcPr>
          <w:p w14:paraId="53666C28"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83.3</w:t>
            </w:r>
          </w:p>
        </w:tc>
        <w:tc>
          <w:tcPr>
            <w:tcW w:w="0" w:type="auto"/>
            <w:shd w:val="clear" w:color="auto" w:fill="auto"/>
            <w:noWrap/>
            <w:vAlign w:val="bottom"/>
          </w:tcPr>
          <w:p w14:paraId="1B5026E1"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229.4</w:t>
            </w:r>
          </w:p>
        </w:tc>
        <w:tc>
          <w:tcPr>
            <w:tcW w:w="0" w:type="auto"/>
            <w:shd w:val="clear" w:color="auto" w:fill="auto"/>
            <w:noWrap/>
            <w:vAlign w:val="bottom"/>
          </w:tcPr>
          <w:p w14:paraId="6CF0523D" w14:textId="77777777" w:rsidR="001D1EED" w:rsidRPr="00001A62" w:rsidRDefault="001D1EED" w:rsidP="003B7B5D">
            <w:pPr>
              <w:spacing w:after="0" w:line="240" w:lineRule="auto"/>
              <w:jc w:val="right"/>
              <w:rPr>
                <w:rFonts w:ascii="Times New Roman" w:eastAsia="Times New Roman" w:hAnsi="Times New Roman" w:cs="Times New Roman"/>
                <w:b/>
                <w:bCs/>
                <w:color w:val="000000"/>
                <w:kern w:val="0"/>
                <w:sz w:val="24"/>
                <w:szCs w:val="24"/>
                <w14:ligatures w14:val="none"/>
              </w:rPr>
            </w:pPr>
            <w:r w:rsidRPr="00001A62">
              <w:rPr>
                <w:rFonts w:ascii="Times New Roman" w:eastAsia="Times New Roman" w:hAnsi="Times New Roman" w:cs="Times New Roman"/>
                <w:b/>
                <w:bCs/>
                <w:color w:val="000000"/>
                <w:kern w:val="0"/>
                <w:sz w:val="24"/>
                <w:szCs w:val="24"/>
                <w14:ligatures w14:val="none"/>
              </w:rPr>
              <w:t>9.0</w:t>
            </w:r>
          </w:p>
        </w:tc>
      </w:tr>
    </w:tbl>
    <w:p w14:paraId="27247FCD" w14:textId="77777777" w:rsidR="00D51A65" w:rsidRPr="00866DF8" w:rsidRDefault="00D51A65" w:rsidP="00D51A65">
      <w:pPr>
        <w:rPr>
          <w:sz w:val="20"/>
          <w:szCs w:val="20"/>
        </w:rPr>
      </w:pPr>
    </w:p>
    <w:p w14:paraId="46394109" w14:textId="77777777" w:rsidR="00D51A65" w:rsidRDefault="00D51A65" w:rsidP="00D51A65">
      <w:pPr>
        <w:rPr>
          <w:sz w:val="20"/>
          <w:szCs w:val="20"/>
        </w:rPr>
      </w:pPr>
    </w:p>
    <w:p w14:paraId="2A61F96F" w14:textId="77777777" w:rsidR="008508D2" w:rsidRDefault="008508D2" w:rsidP="00D51A65">
      <w:pPr>
        <w:rPr>
          <w:sz w:val="20"/>
          <w:szCs w:val="20"/>
        </w:rPr>
      </w:pPr>
    </w:p>
    <w:p w14:paraId="330A8272" w14:textId="77777777" w:rsidR="008508D2" w:rsidRDefault="008508D2" w:rsidP="00D51A65">
      <w:pPr>
        <w:rPr>
          <w:sz w:val="20"/>
          <w:szCs w:val="20"/>
        </w:rPr>
      </w:pPr>
    </w:p>
    <w:p w14:paraId="3945D8D0" w14:textId="77777777" w:rsidR="008508D2" w:rsidRDefault="008508D2" w:rsidP="00D51A65">
      <w:pPr>
        <w:rPr>
          <w:sz w:val="20"/>
          <w:szCs w:val="20"/>
        </w:rPr>
      </w:pPr>
    </w:p>
    <w:p w14:paraId="31B3DAC6" w14:textId="77777777" w:rsidR="008508D2" w:rsidRDefault="008508D2" w:rsidP="00D51A65">
      <w:pPr>
        <w:rPr>
          <w:sz w:val="20"/>
          <w:szCs w:val="20"/>
        </w:rPr>
      </w:pPr>
    </w:p>
    <w:p w14:paraId="3C9FBC75" w14:textId="77777777" w:rsidR="008508D2" w:rsidRDefault="008508D2" w:rsidP="00D51A65">
      <w:pPr>
        <w:rPr>
          <w:sz w:val="20"/>
          <w:szCs w:val="20"/>
        </w:rPr>
      </w:pPr>
    </w:p>
    <w:p w14:paraId="3FE0FA6E" w14:textId="77777777" w:rsidR="008508D2" w:rsidRDefault="008508D2" w:rsidP="00D51A65">
      <w:pPr>
        <w:rPr>
          <w:sz w:val="20"/>
          <w:szCs w:val="20"/>
        </w:rPr>
      </w:pPr>
    </w:p>
    <w:p w14:paraId="14FE1CC7" w14:textId="77777777" w:rsidR="008508D2" w:rsidRDefault="008508D2" w:rsidP="00D51A65">
      <w:pPr>
        <w:rPr>
          <w:sz w:val="20"/>
          <w:szCs w:val="20"/>
        </w:rPr>
      </w:pPr>
    </w:p>
    <w:p w14:paraId="456AAEA4" w14:textId="77777777" w:rsidR="008508D2" w:rsidRDefault="008508D2" w:rsidP="00D51A65">
      <w:pPr>
        <w:rPr>
          <w:sz w:val="20"/>
          <w:szCs w:val="20"/>
        </w:rPr>
      </w:pPr>
    </w:p>
    <w:p w14:paraId="1B66CE2F" w14:textId="77777777" w:rsidR="008508D2" w:rsidRDefault="008508D2" w:rsidP="00D51A65">
      <w:pPr>
        <w:rPr>
          <w:sz w:val="20"/>
          <w:szCs w:val="20"/>
        </w:rPr>
      </w:pPr>
    </w:p>
    <w:p w14:paraId="7C6F29F5" w14:textId="77777777" w:rsidR="008508D2" w:rsidRDefault="008508D2" w:rsidP="00D51A65">
      <w:pPr>
        <w:rPr>
          <w:sz w:val="20"/>
          <w:szCs w:val="20"/>
        </w:rPr>
      </w:pPr>
    </w:p>
    <w:p w14:paraId="3A449EB5" w14:textId="77777777" w:rsidR="008508D2" w:rsidRDefault="008508D2" w:rsidP="00D51A65">
      <w:pPr>
        <w:rPr>
          <w:sz w:val="20"/>
          <w:szCs w:val="20"/>
        </w:rPr>
      </w:pPr>
    </w:p>
    <w:p w14:paraId="300B9413" w14:textId="77777777" w:rsidR="008508D2" w:rsidRDefault="008508D2" w:rsidP="00D51A65">
      <w:pPr>
        <w:rPr>
          <w:sz w:val="20"/>
          <w:szCs w:val="20"/>
        </w:rPr>
      </w:pPr>
    </w:p>
    <w:p w14:paraId="76172385" w14:textId="77777777" w:rsidR="008508D2" w:rsidRDefault="008508D2" w:rsidP="00D51A65">
      <w:pPr>
        <w:rPr>
          <w:sz w:val="20"/>
          <w:szCs w:val="20"/>
        </w:rPr>
      </w:pPr>
    </w:p>
    <w:p w14:paraId="14FAA42E" w14:textId="77777777" w:rsidR="001D1EED" w:rsidRDefault="001D1EED" w:rsidP="00D51A65">
      <w:pPr>
        <w:rPr>
          <w:sz w:val="20"/>
          <w:szCs w:val="20"/>
        </w:rPr>
      </w:pPr>
    </w:p>
    <w:p w14:paraId="77BC4AA5" w14:textId="77777777" w:rsidR="00260149" w:rsidRPr="00260149" w:rsidRDefault="00260149" w:rsidP="00260149">
      <w:pPr>
        <w:ind w:left="360"/>
        <w:rPr>
          <w:sz w:val="20"/>
          <w:szCs w:val="20"/>
        </w:rPr>
      </w:pPr>
    </w:p>
    <w:p w14:paraId="767D6660" w14:textId="77777777" w:rsidR="00260149" w:rsidRPr="00260149" w:rsidRDefault="00260149" w:rsidP="00260149">
      <w:pPr>
        <w:rPr>
          <w:sz w:val="20"/>
          <w:szCs w:val="20"/>
        </w:rPr>
      </w:pPr>
    </w:p>
    <w:p w14:paraId="7A395DD7" w14:textId="627D283C" w:rsidR="001D1EED" w:rsidRPr="001D1EED" w:rsidRDefault="001D1EED" w:rsidP="001D1EED">
      <w:pPr>
        <w:pStyle w:val="ListParagraph"/>
        <w:numPr>
          <w:ilvl w:val="0"/>
          <w:numId w:val="5"/>
        </w:numPr>
        <w:rPr>
          <w:sz w:val="20"/>
          <w:szCs w:val="20"/>
        </w:rPr>
      </w:pPr>
      <w:r w:rsidRPr="001D1EED">
        <w:rPr>
          <w:rFonts w:ascii="Times New Roman" w:hAnsi="Times New Roman" w:cs="Times New Roman"/>
          <w:b/>
          <w:bCs/>
          <w:sz w:val="24"/>
          <w:szCs w:val="24"/>
        </w:rPr>
        <w:t>RESULTS AND DISCUSSION</w:t>
      </w:r>
    </w:p>
    <w:p w14:paraId="05D1F613" w14:textId="77777777" w:rsidR="001D1EED" w:rsidRPr="004E2FEF" w:rsidRDefault="001D1EED" w:rsidP="001D1EED">
      <w:pPr>
        <w:ind w:left="360"/>
        <w:rPr>
          <w:rFonts w:ascii="Times New Roman" w:hAnsi="Times New Roman" w:cs="Times New Roman"/>
          <w:b/>
          <w:bCs/>
          <w:sz w:val="24"/>
          <w:szCs w:val="24"/>
        </w:rPr>
      </w:pPr>
      <w:r>
        <w:rPr>
          <w:rFonts w:ascii="Times New Roman" w:hAnsi="Times New Roman" w:cs="Times New Roman"/>
          <w:b/>
          <w:bCs/>
          <w:sz w:val="24"/>
          <w:szCs w:val="24"/>
        </w:rPr>
        <w:t>4</w:t>
      </w:r>
      <w:r w:rsidRPr="004E2FEF">
        <w:rPr>
          <w:rFonts w:ascii="Times New Roman" w:hAnsi="Times New Roman" w:cs="Times New Roman"/>
          <w:b/>
          <w:bCs/>
          <w:sz w:val="24"/>
          <w:szCs w:val="24"/>
        </w:rPr>
        <w:t>.1 Time Series Plots</w:t>
      </w:r>
    </w:p>
    <w:p w14:paraId="2A891BBF" w14:textId="0098C233" w:rsidR="00001A62" w:rsidRDefault="001D1EED" w:rsidP="00D51A65">
      <w:pPr>
        <w:rPr>
          <w:sz w:val="20"/>
          <w:szCs w:val="20"/>
        </w:rPr>
      </w:pPr>
      <w:r>
        <w:rPr>
          <w:noProof/>
        </w:rPr>
        <w:drawing>
          <wp:inline distT="0" distB="0" distL="0" distR="0" wp14:anchorId="7F5EDFF0" wp14:editId="6C8661A5">
            <wp:extent cx="5943600" cy="2442210"/>
            <wp:effectExtent l="0" t="0" r="0" b="0"/>
            <wp:docPr id="41010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02324" name=""/>
                    <pic:cNvPicPr/>
                  </pic:nvPicPr>
                  <pic:blipFill>
                    <a:blip r:embed="rId8"/>
                    <a:stretch>
                      <a:fillRect/>
                    </a:stretch>
                  </pic:blipFill>
                  <pic:spPr>
                    <a:xfrm>
                      <a:off x="0" y="0"/>
                      <a:ext cx="5943600" cy="2442210"/>
                    </a:xfrm>
                    <a:prstGeom prst="rect">
                      <a:avLst/>
                    </a:prstGeom>
                  </pic:spPr>
                </pic:pic>
              </a:graphicData>
            </a:graphic>
          </wp:inline>
        </w:drawing>
      </w:r>
    </w:p>
    <w:p w14:paraId="319D3FF6" w14:textId="77777777" w:rsidR="001D1EED" w:rsidRPr="00866DF8" w:rsidRDefault="001D1EED" w:rsidP="001D1EED">
      <w:pPr>
        <w:spacing w:after="0" w:line="240" w:lineRule="auto"/>
        <w:jc w:val="both"/>
        <w:rPr>
          <w:sz w:val="20"/>
          <w:szCs w:val="20"/>
        </w:rPr>
      </w:pPr>
      <w:r w:rsidRPr="00A25D56">
        <w:rPr>
          <w:rFonts w:ascii="Times New Roman" w:hAnsi="Times New Roman" w:cs="Times New Roman"/>
          <w:b/>
          <w:bCs/>
          <w:sz w:val="24"/>
          <w:szCs w:val="24"/>
        </w:rPr>
        <w:lastRenderedPageBreak/>
        <w:t>Figure</w:t>
      </w:r>
      <w:r>
        <w:rPr>
          <w:rFonts w:ascii="Times New Roman" w:hAnsi="Times New Roman" w:cs="Times New Roman"/>
          <w:b/>
          <w:bCs/>
          <w:sz w:val="24"/>
          <w:szCs w:val="24"/>
        </w:rPr>
        <w:t xml:space="preserve"> </w:t>
      </w:r>
      <w:r w:rsidRPr="00A25D56">
        <w:rPr>
          <w:rFonts w:ascii="Times New Roman" w:hAnsi="Times New Roman" w:cs="Times New Roman"/>
          <w:b/>
          <w:bCs/>
          <w:sz w:val="24"/>
          <w:szCs w:val="24"/>
        </w:rPr>
        <w:t xml:space="preserve">1: </w:t>
      </w:r>
      <w:r>
        <w:rPr>
          <w:rFonts w:ascii="Times New Roman" w:hAnsi="Times New Roman" w:cs="Times New Roman"/>
          <w:b/>
          <w:bCs/>
          <w:sz w:val="24"/>
          <w:szCs w:val="24"/>
        </w:rPr>
        <w:t>Plot of t</w:t>
      </w:r>
      <w:r w:rsidRPr="00A25D56">
        <w:rPr>
          <w:rFonts w:ascii="Times New Roman" w:hAnsi="Times New Roman" w:cs="Times New Roman"/>
          <w:b/>
          <w:bCs/>
          <w:sz w:val="24"/>
          <w:szCs w:val="24"/>
        </w:rPr>
        <w:t xml:space="preserve">he Yearly Average </w:t>
      </w:r>
      <w:r>
        <w:rPr>
          <w:rFonts w:ascii="Times New Roman" w:hAnsi="Times New Roman" w:cs="Times New Roman"/>
          <w:b/>
          <w:bCs/>
          <w:sz w:val="24"/>
          <w:szCs w:val="24"/>
        </w:rPr>
        <w:t xml:space="preserve">Values (a) and Percentage Change (b) in the </w:t>
      </w:r>
      <w:r w:rsidRPr="00A25D56">
        <w:rPr>
          <w:rFonts w:ascii="Times New Roman" w:hAnsi="Times New Roman" w:cs="Times New Roman"/>
          <w:b/>
          <w:bCs/>
          <w:sz w:val="24"/>
          <w:szCs w:val="24"/>
        </w:rPr>
        <w:t xml:space="preserve">Yearly Average </w:t>
      </w:r>
      <w:r>
        <w:rPr>
          <w:rFonts w:ascii="Times New Roman" w:hAnsi="Times New Roman" w:cs="Times New Roman"/>
          <w:b/>
          <w:bCs/>
          <w:sz w:val="24"/>
          <w:szCs w:val="24"/>
        </w:rPr>
        <w:t xml:space="preserve">Values of the </w:t>
      </w:r>
      <w:r w:rsidRPr="00A25D56">
        <w:rPr>
          <w:rFonts w:ascii="Times New Roman" w:hAnsi="Times New Roman" w:cs="Times New Roman"/>
          <w:b/>
          <w:bCs/>
          <w:sz w:val="24"/>
          <w:szCs w:val="24"/>
        </w:rPr>
        <w:t xml:space="preserve">Population of Onitsha and </w:t>
      </w:r>
      <w:r>
        <w:rPr>
          <w:rFonts w:ascii="Times New Roman" w:hAnsi="Times New Roman" w:cs="Times New Roman"/>
          <w:b/>
          <w:bCs/>
          <w:sz w:val="24"/>
          <w:szCs w:val="24"/>
        </w:rPr>
        <w:t xml:space="preserve">Nnewi </w:t>
      </w:r>
    </w:p>
    <w:p w14:paraId="62A68247" w14:textId="77777777" w:rsidR="00001A62" w:rsidRDefault="00001A62" w:rsidP="00D51A65">
      <w:pPr>
        <w:rPr>
          <w:sz w:val="20"/>
          <w:szCs w:val="20"/>
        </w:rPr>
      </w:pPr>
    </w:p>
    <w:p w14:paraId="5F0C2E5D" w14:textId="3134A5B0" w:rsidR="0064722B" w:rsidRDefault="0064722B" w:rsidP="00453079">
      <w:pPr>
        <w:spacing w:after="0" w:line="240" w:lineRule="auto"/>
        <w:jc w:val="both"/>
        <w:rPr>
          <w:rFonts w:ascii="Times New Roman" w:hAnsi="Times New Roman" w:cs="Times New Roman"/>
          <w:sz w:val="24"/>
          <w:szCs w:val="24"/>
        </w:rPr>
      </w:pPr>
      <w:r w:rsidRPr="0064722B">
        <w:rPr>
          <w:rFonts w:ascii="Times New Roman" w:hAnsi="Times New Roman" w:cs="Times New Roman"/>
          <w:sz w:val="24"/>
          <w:szCs w:val="24"/>
        </w:rPr>
        <w:t>Fig 1a illustrates that Onitsha consistently has a higher yearly average population than Nnewi, with both cities experiencing population growth from 2010 to 2024. Fig 1b shows that while Nnewi's annual population growth rate is higher than Onitsha's, the percentage growth rates were similar (~6.5% for Nnewi and ~5.0% for Onitsha) between 2010 and 2019. However, both cities experienced a downward trend in their annual percentage growth rates after 2019.</w:t>
      </w:r>
    </w:p>
    <w:p w14:paraId="62F8F838" w14:textId="77777777" w:rsidR="0064722B" w:rsidRDefault="0064722B" w:rsidP="00453079">
      <w:pPr>
        <w:spacing w:after="0" w:line="240" w:lineRule="auto"/>
        <w:jc w:val="both"/>
        <w:rPr>
          <w:rFonts w:ascii="Times New Roman" w:hAnsi="Times New Roman" w:cs="Times New Roman"/>
          <w:sz w:val="24"/>
          <w:szCs w:val="24"/>
        </w:rPr>
      </w:pPr>
    </w:p>
    <w:p w14:paraId="67D70DF7" w14:textId="1A8C1028" w:rsidR="0064722B" w:rsidRDefault="0064722B" w:rsidP="0064722B">
      <w:pPr>
        <w:spacing w:after="0" w:line="240" w:lineRule="auto"/>
        <w:jc w:val="both"/>
        <w:rPr>
          <w:rFonts w:ascii="Times New Roman" w:eastAsiaTheme="minorEastAsia" w:hAnsi="Times New Roman" w:cs="Times New Roman"/>
          <w:sz w:val="24"/>
          <w:szCs w:val="24"/>
        </w:rPr>
      </w:pPr>
      <w:r w:rsidRPr="0064722B">
        <w:rPr>
          <w:rFonts w:ascii="Times New Roman" w:eastAsiaTheme="minorEastAsia" w:hAnsi="Times New Roman" w:cs="Times New Roman"/>
          <w:sz w:val="24"/>
          <w:szCs w:val="24"/>
        </w:rPr>
        <w:t xml:space="preserve">Fig 2a depicts the annual mean </w:t>
      </w:r>
      <w:r w:rsidR="00FD4EF9">
        <w:rPr>
          <w:rFonts w:ascii="Times New Roman" w:eastAsiaTheme="minorEastAsia" w:hAnsi="Times New Roman" w:cs="Times New Roman"/>
          <w:sz w:val="24"/>
          <w:szCs w:val="24"/>
        </w:rPr>
        <w:t>T</w:t>
      </w:r>
      <w:r w:rsidRPr="0064722B">
        <w:rPr>
          <w:rFonts w:ascii="Times New Roman" w:eastAsiaTheme="minorEastAsia" w:hAnsi="Times New Roman" w:cs="Times New Roman"/>
          <w:sz w:val="24"/>
          <w:szCs w:val="24"/>
        </w:rPr>
        <w:t xml:space="preserve"> trends for Onitsha and Nnewi, both showing an overall increase over time, with a notable dip in 2022 followed by a return to the upward trend in 2023. These findings align with studies by </w:t>
      </w:r>
      <w:r>
        <w:rPr>
          <w:rFonts w:ascii="Times New Roman" w:eastAsiaTheme="minorEastAsia" w:hAnsi="Times New Roman" w:cs="Times New Roman"/>
          <w:sz w:val="24"/>
          <w:szCs w:val="24"/>
        </w:rPr>
        <w:t>[</w:t>
      </w:r>
      <w:r w:rsidR="00DE5985">
        <w:rPr>
          <w:rFonts w:ascii="Times New Roman" w:eastAsiaTheme="minorEastAsia" w:hAnsi="Times New Roman" w:cs="Times New Roman"/>
          <w:sz w:val="24"/>
          <w:szCs w:val="24"/>
        </w:rPr>
        <w:t xml:space="preserve">47, </w:t>
      </w:r>
      <w:r>
        <w:rPr>
          <w:rFonts w:ascii="Times New Roman" w:eastAsiaTheme="minorEastAsia" w:hAnsi="Times New Roman" w:cs="Times New Roman"/>
          <w:sz w:val="24"/>
          <w:szCs w:val="24"/>
        </w:rPr>
        <w:t>53, 46, 82]</w:t>
      </w:r>
      <w:r w:rsidRPr="0064722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64722B">
        <w:rPr>
          <w:rFonts w:ascii="Times New Roman" w:eastAsiaTheme="minorEastAsia" w:hAnsi="Times New Roman" w:cs="Times New Roman"/>
          <w:sz w:val="24"/>
          <w:szCs w:val="24"/>
        </w:rPr>
        <w:t xml:space="preserve">Fig 2b presents the annual mean </w:t>
      </w:r>
      <w:r w:rsidR="00FD4EF9">
        <w:rPr>
          <w:rFonts w:ascii="Times New Roman" w:eastAsiaTheme="minorEastAsia" w:hAnsi="Times New Roman" w:cs="Times New Roman"/>
          <w:sz w:val="24"/>
          <w:szCs w:val="24"/>
        </w:rPr>
        <w:t>DP</w:t>
      </w:r>
      <w:r w:rsidRPr="0064722B">
        <w:rPr>
          <w:rFonts w:ascii="Times New Roman" w:eastAsiaTheme="minorEastAsia" w:hAnsi="Times New Roman" w:cs="Times New Roman"/>
          <w:sz w:val="24"/>
          <w:szCs w:val="24"/>
        </w:rPr>
        <w:t xml:space="preserve"> trends for the two cities from 2010 to 2024. The data reveals a downward trend from 2010 to 2021, a sharp drop of ~2 ℃ in 2022, and a 1 ℃ increase in 2023. The decreasing dew point indicates reduced absolute humidity and moisture in the air, potentially driven by several factors</w:t>
      </w:r>
      <w:r>
        <w:rPr>
          <w:rFonts w:ascii="Times New Roman" w:eastAsiaTheme="minorEastAsia" w:hAnsi="Times New Roman" w:cs="Times New Roman"/>
          <w:sz w:val="24"/>
          <w:szCs w:val="24"/>
        </w:rPr>
        <w:t>. These include – the r</w:t>
      </w:r>
      <w:r w:rsidRPr="0064722B">
        <w:rPr>
          <w:rFonts w:ascii="Times New Roman" w:eastAsiaTheme="minorEastAsia" w:hAnsi="Times New Roman" w:cs="Times New Roman"/>
          <w:sz w:val="24"/>
          <w:szCs w:val="24"/>
        </w:rPr>
        <w:t>egional shifts towards drier conditions and increased dry air masses</w:t>
      </w:r>
      <w:r>
        <w:rPr>
          <w:rFonts w:ascii="Times New Roman" w:eastAsiaTheme="minorEastAsia" w:hAnsi="Times New Roman" w:cs="Times New Roman"/>
          <w:sz w:val="24"/>
          <w:szCs w:val="24"/>
        </w:rPr>
        <w:t>; de</w:t>
      </w:r>
      <w:r w:rsidRPr="0064722B">
        <w:rPr>
          <w:rFonts w:ascii="Times New Roman" w:eastAsiaTheme="minorEastAsia" w:hAnsi="Times New Roman" w:cs="Times New Roman"/>
          <w:sz w:val="24"/>
          <w:szCs w:val="24"/>
        </w:rPr>
        <w:t>forestation</w:t>
      </w:r>
      <w:r>
        <w:rPr>
          <w:rFonts w:ascii="Times New Roman" w:eastAsiaTheme="minorEastAsia" w:hAnsi="Times New Roman" w:cs="Times New Roman"/>
          <w:sz w:val="24"/>
          <w:szCs w:val="24"/>
        </w:rPr>
        <w:t>,</w:t>
      </w:r>
      <w:r w:rsidRPr="0064722B">
        <w:rPr>
          <w:rFonts w:ascii="Times New Roman" w:eastAsiaTheme="minorEastAsia" w:hAnsi="Times New Roman" w:cs="Times New Roman"/>
          <w:sz w:val="24"/>
          <w:szCs w:val="24"/>
        </w:rPr>
        <w:t xml:space="preserve"> and urbanization </w:t>
      </w:r>
      <w:r>
        <w:rPr>
          <w:rFonts w:ascii="Times New Roman" w:eastAsiaTheme="minorEastAsia" w:hAnsi="Times New Roman" w:cs="Times New Roman"/>
          <w:sz w:val="24"/>
          <w:szCs w:val="24"/>
        </w:rPr>
        <w:t xml:space="preserve">which </w:t>
      </w:r>
      <w:r w:rsidRPr="0064722B">
        <w:rPr>
          <w:rFonts w:ascii="Times New Roman" w:eastAsiaTheme="minorEastAsia" w:hAnsi="Times New Roman" w:cs="Times New Roman"/>
          <w:sz w:val="24"/>
          <w:szCs w:val="24"/>
        </w:rPr>
        <w:t>reduc</w:t>
      </w:r>
      <w:r>
        <w:rPr>
          <w:rFonts w:ascii="Times New Roman" w:eastAsiaTheme="minorEastAsia" w:hAnsi="Times New Roman" w:cs="Times New Roman"/>
          <w:sz w:val="24"/>
          <w:szCs w:val="24"/>
        </w:rPr>
        <w:t>es</w:t>
      </w:r>
      <w:r w:rsidRPr="0064722B">
        <w:rPr>
          <w:rFonts w:ascii="Times New Roman" w:eastAsiaTheme="minorEastAsia" w:hAnsi="Times New Roman" w:cs="Times New Roman"/>
          <w:sz w:val="24"/>
          <w:szCs w:val="24"/>
        </w:rPr>
        <w:t xml:space="preserve"> vegetation </w:t>
      </w:r>
      <w:r>
        <w:rPr>
          <w:rFonts w:ascii="Times New Roman" w:eastAsiaTheme="minorEastAsia" w:hAnsi="Times New Roman" w:cs="Times New Roman"/>
          <w:sz w:val="24"/>
          <w:szCs w:val="24"/>
        </w:rPr>
        <w:t xml:space="preserve">and </w:t>
      </w:r>
      <w:r w:rsidRPr="0064722B">
        <w:rPr>
          <w:rFonts w:ascii="Times New Roman" w:eastAsiaTheme="minorEastAsia" w:hAnsi="Times New Roman" w:cs="Times New Roman"/>
          <w:sz w:val="24"/>
          <w:szCs w:val="24"/>
        </w:rPr>
        <w:t>lowers local humidity through reduced transpiration</w:t>
      </w:r>
      <w:r>
        <w:rPr>
          <w:rFonts w:ascii="Times New Roman" w:eastAsiaTheme="minorEastAsia" w:hAnsi="Times New Roman" w:cs="Times New Roman"/>
          <w:sz w:val="24"/>
          <w:szCs w:val="24"/>
        </w:rPr>
        <w:t>; c</w:t>
      </w:r>
      <w:r w:rsidRPr="0064722B">
        <w:rPr>
          <w:rFonts w:ascii="Times New Roman" w:eastAsiaTheme="minorEastAsia" w:hAnsi="Times New Roman" w:cs="Times New Roman"/>
          <w:sz w:val="24"/>
          <w:szCs w:val="24"/>
        </w:rPr>
        <w:t>hanges in circulation patterns leading to more frequent dry air masses</w:t>
      </w:r>
      <w:r>
        <w:rPr>
          <w:rFonts w:ascii="Times New Roman" w:eastAsiaTheme="minorEastAsia" w:hAnsi="Times New Roman" w:cs="Times New Roman"/>
          <w:sz w:val="24"/>
          <w:szCs w:val="24"/>
        </w:rPr>
        <w:t>; i</w:t>
      </w:r>
      <w:r w:rsidRPr="0064722B">
        <w:rPr>
          <w:rFonts w:ascii="Times New Roman" w:eastAsiaTheme="minorEastAsia" w:hAnsi="Times New Roman" w:cs="Times New Roman"/>
          <w:sz w:val="24"/>
          <w:szCs w:val="24"/>
        </w:rPr>
        <w:t>ndustrialization, pollution, and aerosol emissions affecting local humidity and cloud formation.</w:t>
      </w:r>
      <w:r w:rsidR="00FD4EF9">
        <w:rPr>
          <w:rFonts w:ascii="Times New Roman" w:eastAsiaTheme="minorEastAsia" w:hAnsi="Times New Roman" w:cs="Times New Roman"/>
          <w:sz w:val="24"/>
          <w:szCs w:val="24"/>
        </w:rPr>
        <w:t xml:space="preserve"> </w:t>
      </w:r>
      <w:r w:rsidRPr="0064722B">
        <w:rPr>
          <w:rFonts w:ascii="Times New Roman" w:eastAsiaTheme="minorEastAsia" w:hAnsi="Times New Roman" w:cs="Times New Roman"/>
          <w:sz w:val="24"/>
          <w:szCs w:val="24"/>
        </w:rPr>
        <w:t xml:space="preserve">These interpretations highlight the complex interplay of natural and anthropogenic factors impacting local climate and humidity levels </w:t>
      </w:r>
      <w:r>
        <w:rPr>
          <w:rFonts w:ascii="Times New Roman" w:eastAsiaTheme="minorEastAsia" w:hAnsi="Times New Roman" w:cs="Times New Roman"/>
          <w:sz w:val="24"/>
          <w:szCs w:val="24"/>
        </w:rPr>
        <w:t xml:space="preserve">[78, </w:t>
      </w:r>
      <w:r w:rsidR="00BF0722">
        <w:rPr>
          <w:rFonts w:ascii="Times New Roman" w:eastAsiaTheme="minorEastAsia" w:hAnsi="Times New Roman" w:cs="Times New Roman"/>
          <w:sz w:val="24"/>
          <w:szCs w:val="24"/>
        </w:rPr>
        <w:t>65</w:t>
      </w:r>
      <w:r w:rsidR="00DE5985">
        <w:rPr>
          <w:rFonts w:ascii="Times New Roman" w:eastAsiaTheme="minorEastAsia" w:hAnsi="Times New Roman" w:cs="Times New Roman"/>
          <w:sz w:val="24"/>
          <w:szCs w:val="24"/>
        </w:rPr>
        <w:t>, 67</w:t>
      </w:r>
      <w:r>
        <w:rPr>
          <w:rFonts w:ascii="Times New Roman" w:eastAsiaTheme="minorEastAsia" w:hAnsi="Times New Roman" w:cs="Times New Roman"/>
          <w:sz w:val="24"/>
          <w:szCs w:val="24"/>
        </w:rPr>
        <w:t>]</w:t>
      </w:r>
      <w:r w:rsidRPr="0064722B">
        <w:rPr>
          <w:rFonts w:ascii="Times New Roman" w:eastAsiaTheme="minorEastAsia" w:hAnsi="Times New Roman" w:cs="Times New Roman"/>
          <w:sz w:val="24"/>
          <w:szCs w:val="24"/>
        </w:rPr>
        <w:t>.</w:t>
      </w:r>
    </w:p>
    <w:p w14:paraId="552B1BBA" w14:textId="77777777" w:rsidR="00BF0722" w:rsidRDefault="00BF0722" w:rsidP="0064722B">
      <w:pPr>
        <w:spacing w:after="0" w:line="240" w:lineRule="auto"/>
        <w:jc w:val="both"/>
        <w:rPr>
          <w:rFonts w:ascii="Times New Roman" w:eastAsiaTheme="minorEastAsia" w:hAnsi="Times New Roman" w:cs="Times New Roman"/>
          <w:sz w:val="24"/>
          <w:szCs w:val="24"/>
        </w:rPr>
      </w:pPr>
    </w:p>
    <w:p w14:paraId="3B64DFD0" w14:textId="427D3FAE" w:rsidR="00BF0722" w:rsidRPr="00BF0722" w:rsidRDefault="00BF0722" w:rsidP="00BF0722">
      <w:pPr>
        <w:spacing w:after="0" w:line="240" w:lineRule="auto"/>
        <w:jc w:val="both"/>
        <w:rPr>
          <w:rFonts w:ascii="Times New Roman" w:eastAsiaTheme="minorEastAsia" w:hAnsi="Times New Roman" w:cs="Times New Roman"/>
          <w:sz w:val="24"/>
          <w:szCs w:val="24"/>
        </w:rPr>
      </w:pPr>
      <w:r w:rsidRPr="00BF0722">
        <w:rPr>
          <w:rFonts w:ascii="Times New Roman" w:eastAsiaTheme="minorEastAsia" w:hAnsi="Times New Roman" w:cs="Times New Roman"/>
          <w:sz w:val="24"/>
          <w:szCs w:val="24"/>
        </w:rPr>
        <w:t xml:space="preserve">Fig 2c, which depicts the annual average </w:t>
      </w:r>
      <w:r w:rsidR="00FD4EF9">
        <w:rPr>
          <w:rFonts w:ascii="Times New Roman" w:eastAsiaTheme="minorEastAsia" w:hAnsi="Times New Roman" w:cs="Times New Roman"/>
          <w:sz w:val="24"/>
          <w:szCs w:val="24"/>
        </w:rPr>
        <w:t>H</w:t>
      </w:r>
      <w:r w:rsidRPr="00BF0722">
        <w:rPr>
          <w:rFonts w:ascii="Times New Roman" w:eastAsiaTheme="minorEastAsia" w:hAnsi="Times New Roman" w:cs="Times New Roman"/>
          <w:sz w:val="24"/>
          <w:szCs w:val="24"/>
        </w:rPr>
        <w:t xml:space="preserve"> in Onitsha and Nnewi, reveals a declining trend over the years, with a slightly more pronounced reduction in Onitsha. This consistent decrease in humidity carries significant environmental, agricultural, and health implications. Lower </w:t>
      </w:r>
      <w:r w:rsidR="00FD4EF9">
        <w:rPr>
          <w:rFonts w:ascii="Times New Roman" w:eastAsiaTheme="minorEastAsia" w:hAnsi="Times New Roman" w:cs="Times New Roman"/>
          <w:sz w:val="24"/>
          <w:szCs w:val="24"/>
        </w:rPr>
        <w:t>H</w:t>
      </w:r>
      <w:r w:rsidRPr="00BF0722">
        <w:rPr>
          <w:rFonts w:ascii="Times New Roman" w:eastAsiaTheme="minorEastAsia" w:hAnsi="Times New Roman" w:cs="Times New Roman"/>
          <w:sz w:val="24"/>
          <w:szCs w:val="24"/>
        </w:rPr>
        <w:t xml:space="preserve"> means reduced atmospheric moisture, contributing to more frequent and intense droughts. With less water vapor available for cloud formation and precipitation, dry conditions are exacerbated. In agriculture, reduced humidity negatively impacts crop yields, particularly for moisture-dependent crops, as increased evapotranspiration leads to water stress. The decrease in humidity also affects human health, causing dry air-related issues such as respiratory problems, dry skin, and eye irritation, while promoting the longevity of airborne viruses like influenza. Ecosystems are similarly impacted, with drought-intolerant plant species declining, disrupting food and habitat availability for dependent animals. Additionally, dry conditions increase vegetation dryness, heightening wildfire risks. These humidity trends also influence weather patterns, leading to less cloud cover and altered precipitation, as documented in studies by </w:t>
      </w:r>
      <w:r>
        <w:rPr>
          <w:rFonts w:ascii="Times New Roman" w:eastAsiaTheme="minorEastAsia" w:hAnsi="Times New Roman" w:cs="Times New Roman"/>
          <w:sz w:val="24"/>
          <w:szCs w:val="24"/>
        </w:rPr>
        <w:t>[8, 31, 73, 27]</w:t>
      </w:r>
      <w:r w:rsidRPr="00BF0722">
        <w:rPr>
          <w:rFonts w:ascii="Times New Roman" w:eastAsiaTheme="minorEastAsia" w:hAnsi="Times New Roman" w:cs="Times New Roman"/>
          <w:sz w:val="24"/>
          <w:szCs w:val="24"/>
        </w:rPr>
        <w:t>.</w:t>
      </w:r>
    </w:p>
    <w:p w14:paraId="676DC914" w14:textId="3F00DCE1" w:rsidR="00D51A65" w:rsidRDefault="00BF0722" w:rsidP="00FD4EF9">
      <w:pPr>
        <w:spacing w:after="0" w:line="240" w:lineRule="auto"/>
        <w:jc w:val="both"/>
        <w:rPr>
          <w:rFonts w:ascii="Times New Roman" w:eastAsiaTheme="minorEastAsia" w:hAnsi="Times New Roman" w:cs="Times New Roman"/>
          <w:sz w:val="24"/>
          <w:szCs w:val="24"/>
        </w:rPr>
      </w:pPr>
      <w:r w:rsidRPr="00BF0722">
        <w:rPr>
          <w:rFonts w:ascii="Times New Roman" w:eastAsiaTheme="minorEastAsia" w:hAnsi="Times New Roman" w:cs="Times New Roman"/>
          <w:sz w:val="24"/>
          <w:szCs w:val="24"/>
        </w:rPr>
        <w:t xml:space="preserve">Fig 2d illustrates the yearly average </w:t>
      </w:r>
      <w:r w:rsidR="00FD4EF9">
        <w:rPr>
          <w:rFonts w:ascii="Times New Roman" w:eastAsiaTheme="minorEastAsia" w:hAnsi="Times New Roman" w:cs="Times New Roman"/>
          <w:sz w:val="24"/>
          <w:szCs w:val="24"/>
        </w:rPr>
        <w:t>PP</w:t>
      </w:r>
      <w:r w:rsidRPr="00BF0722">
        <w:rPr>
          <w:rFonts w:ascii="Times New Roman" w:eastAsiaTheme="minorEastAsia" w:hAnsi="Times New Roman" w:cs="Times New Roman"/>
          <w:sz w:val="24"/>
          <w:szCs w:val="24"/>
        </w:rPr>
        <w:t xml:space="preserve"> in Onitsha and Nnewi. From 2010 to 2014, both cities experienced similar precipitation levels, but from 2015 onward, Nnewi recorded more rainfall than Onitsha, despite following a similar trend. The lowest </w:t>
      </w:r>
      <w:r w:rsidR="00FD4EF9">
        <w:rPr>
          <w:rFonts w:ascii="Times New Roman" w:eastAsiaTheme="minorEastAsia" w:hAnsi="Times New Roman" w:cs="Times New Roman"/>
          <w:sz w:val="24"/>
          <w:szCs w:val="24"/>
        </w:rPr>
        <w:t>PP</w:t>
      </w:r>
      <w:r w:rsidRPr="00BF0722">
        <w:rPr>
          <w:rFonts w:ascii="Times New Roman" w:eastAsiaTheme="minorEastAsia" w:hAnsi="Times New Roman" w:cs="Times New Roman"/>
          <w:sz w:val="24"/>
          <w:szCs w:val="24"/>
        </w:rPr>
        <w:t xml:space="preserve"> occurred in 2014, potentially linked to the solar maximum of Solar Cycle 24 in April 2014 </w:t>
      </w:r>
      <w:r>
        <w:rPr>
          <w:rFonts w:ascii="Times New Roman" w:eastAsiaTheme="minorEastAsia" w:hAnsi="Times New Roman" w:cs="Times New Roman"/>
          <w:sz w:val="24"/>
          <w:szCs w:val="24"/>
        </w:rPr>
        <w:t>[</w:t>
      </w:r>
      <w:r w:rsidR="006A2AC7">
        <w:rPr>
          <w:rFonts w:ascii="Times New Roman" w:eastAsiaTheme="minorEastAsia" w:hAnsi="Times New Roman" w:cs="Times New Roman"/>
          <w:sz w:val="24"/>
          <w:szCs w:val="24"/>
        </w:rPr>
        <w:t>88</w:t>
      </w:r>
      <w:r w:rsidR="00FD4EF9">
        <w:rPr>
          <w:rFonts w:ascii="Times New Roman" w:eastAsiaTheme="minorEastAsia" w:hAnsi="Times New Roman" w:cs="Times New Roman"/>
          <w:sz w:val="24"/>
          <w:szCs w:val="24"/>
        </w:rPr>
        <w:t>]</w:t>
      </w:r>
      <w:r w:rsidRPr="00BF0722">
        <w:rPr>
          <w:rFonts w:ascii="Times New Roman" w:eastAsiaTheme="minorEastAsia" w:hAnsi="Times New Roman" w:cs="Times New Roman"/>
          <w:sz w:val="24"/>
          <w:szCs w:val="24"/>
        </w:rPr>
        <w:t>. The observed variability in precipitation patterns in Southeast Nigeria during 2010–2023 reflects broader climatic changes. Between 2010 and 2013, rainfall was stable but punctuated by significant increases, including above-average rainfall in 2012, which caused widespread flooding</w:t>
      </w:r>
      <w:r w:rsidR="00FD4EF9">
        <w:rPr>
          <w:rFonts w:ascii="Times New Roman" w:eastAsiaTheme="minorEastAsia" w:hAnsi="Times New Roman" w:cs="Times New Roman"/>
          <w:sz w:val="24"/>
          <w:szCs w:val="24"/>
        </w:rPr>
        <w:t xml:space="preserve"> as observed by [14, 50].</w:t>
      </w:r>
      <w:r w:rsidRPr="00BF0722">
        <w:rPr>
          <w:rFonts w:ascii="Times New Roman" w:eastAsiaTheme="minorEastAsia" w:hAnsi="Times New Roman" w:cs="Times New Roman"/>
          <w:sz w:val="24"/>
          <w:szCs w:val="24"/>
        </w:rPr>
        <w:t xml:space="preserve"> From 2014 to 2016, precipitation levels remained variable, with a mix of average to above-average rainfall. The period from 2017 to 2019 saw continued variability, consistent with climate change-induced extreme weather patterns. The 2020–2023 period showed a mix of trends, indicating a pattern of variability with potential shifts toward more extreme rainfall events. This increasing unpredictability in</w:t>
      </w:r>
      <w:r w:rsidR="00FD4EF9">
        <w:rPr>
          <w:rFonts w:ascii="Times New Roman" w:eastAsiaTheme="minorEastAsia" w:hAnsi="Times New Roman" w:cs="Times New Roman"/>
          <w:sz w:val="24"/>
          <w:szCs w:val="24"/>
        </w:rPr>
        <w:t xml:space="preserve"> </w:t>
      </w:r>
      <w:r w:rsidRPr="00BF0722">
        <w:rPr>
          <w:rFonts w:ascii="Times New Roman" w:eastAsiaTheme="minorEastAsia" w:hAnsi="Times New Roman" w:cs="Times New Roman"/>
          <w:sz w:val="24"/>
          <w:szCs w:val="24"/>
        </w:rPr>
        <w:lastRenderedPageBreak/>
        <w:t xml:space="preserve">rainfall poses challenges for agriculture, water resource management, and disaster preparedness in the region, as noted by </w:t>
      </w:r>
      <w:r w:rsidR="00FD4EF9">
        <w:rPr>
          <w:rFonts w:ascii="Times New Roman" w:eastAsiaTheme="minorEastAsia" w:hAnsi="Times New Roman" w:cs="Times New Roman"/>
          <w:sz w:val="24"/>
          <w:szCs w:val="24"/>
        </w:rPr>
        <w:t>[14, 50].</w:t>
      </w:r>
      <w:r w:rsidR="00FD4EF9" w:rsidRPr="00BF0722">
        <w:rPr>
          <w:rFonts w:ascii="Times New Roman" w:eastAsiaTheme="minorEastAsia" w:hAnsi="Times New Roman" w:cs="Times New Roman"/>
          <w:sz w:val="24"/>
          <w:szCs w:val="24"/>
        </w:rPr>
        <w:t xml:space="preserve"> </w:t>
      </w:r>
    </w:p>
    <w:p w14:paraId="1A7149D0" w14:textId="61088A6B" w:rsidR="00FD4EF9" w:rsidRDefault="00FD4EF9" w:rsidP="00FD4EF9">
      <w:pPr>
        <w:spacing w:after="0" w:line="240" w:lineRule="auto"/>
        <w:jc w:val="both"/>
        <w:rPr>
          <w:rFonts w:ascii="Times New Roman" w:eastAsiaTheme="minorEastAsia" w:hAnsi="Times New Roman" w:cs="Times New Roman"/>
          <w:sz w:val="24"/>
          <w:szCs w:val="24"/>
        </w:rPr>
      </w:pPr>
    </w:p>
    <w:p w14:paraId="4FEDC1CF" w14:textId="77777777" w:rsidR="00FD4EF9" w:rsidRPr="00866DF8" w:rsidRDefault="00FD4EF9" w:rsidP="00FD4EF9">
      <w:pPr>
        <w:spacing w:after="0" w:line="240" w:lineRule="auto"/>
        <w:jc w:val="both"/>
        <w:rPr>
          <w:sz w:val="20"/>
          <w:szCs w:val="20"/>
        </w:rPr>
      </w:pPr>
    </w:p>
    <w:p w14:paraId="4612C363" w14:textId="2C0CBACE" w:rsidR="00453079" w:rsidRDefault="00FD4EF9" w:rsidP="00453079">
      <w:pPr>
        <w:spacing w:after="0" w:line="240" w:lineRule="auto"/>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53C9E8BD" wp14:editId="7F673877">
            <wp:simplePos x="0" y="0"/>
            <wp:positionH relativeFrom="margin">
              <wp:align>right</wp:align>
            </wp:positionH>
            <wp:positionV relativeFrom="paragraph">
              <wp:posOffset>0</wp:posOffset>
            </wp:positionV>
            <wp:extent cx="5943600" cy="6486525"/>
            <wp:effectExtent l="0" t="0" r="0" b="9525"/>
            <wp:wrapTight wrapText="bothSides">
              <wp:wrapPolygon edited="0">
                <wp:start x="0" y="0"/>
                <wp:lineTo x="0" y="21568"/>
                <wp:lineTo x="21531" y="21568"/>
                <wp:lineTo x="21531" y="0"/>
                <wp:lineTo x="0" y="0"/>
              </wp:wrapPolygon>
            </wp:wrapTight>
            <wp:docPr id="8691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4445"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6486525"/>
                    </a:xfrm>
                    <a:prstGeom prst="rect">
                      <a:avLst/>
                    </a:prstGeom>
                  </pic:spPr>
                </pic:pic>
              </a:graphicData>
            </a:graphic>
            <wp14:sizeRelH relativeFrom="page">
              <wp14:pctWidth>0</wp14:pctWidth>
            </wp14:sizeRelH>
            <wp14:sizeRelV relativeFrom="page">
              <wp14:pctHeight>0</wp14:pctHeight>
            </wp14:sizeRelV>
          </wp:anchor>
        </w:drawing>
      </w:r>
      <w:r w:rsidR="00453079" w:rsidRPr="00A25D56">
        <w:rPr>
          <w:rFonts w:ascii="Times New Roman" w:hAnsi="Times New Roman" w:cs="Times New Roman"/>
          <w:b/>
          <w:bCs/>
          <w:sz w:val="24"/>
          <w:szCs w:val="24"/>
        </w:rPr>
        <w:t xml:space="preserve">Figure </w:t>
      </w:r>
      <w:r w:rsidR="00453079">
        <w:rPr>
          <w:rFonts w:ascii="Times New Roman" w:hAnsi="Times New Roman" w:cs="Times New Roman"/>
          <w:b/>
          <w:bCs/>
          <w:sz w:val="24"/>
          <w:szCs w:val="24"/>
        </w:rPr>
        <w:t>2</w:t>
      </w:r>
      <w:r w:rsidR="00453079" w:rsidRPr="00A25D56">
        <w:rPr>
          <w:rFonts w:ascii="Times New Roman" w:hAnsi="Times New Roman" w:cs="Times New Roman"/>
          <w:b/>
          <w:bCs/>
          <w:sz w:val="24"/>
          <w:szCs w:val="24"/>
        </w:rPr>
        <w:t xml:space="preserve">: </w:t>
      </w:r>
      <w:r w:rsidR="00453079">
        <w:rPr>
          <w:rFonts w:ascii="Times New Roman" w:hAnsi="Times New Roman" w:cs="Times New Roman"/>
          <w:b/>
          <w:bCs/>
          <w:sz w:val="24"/>
          <w:szCs w:val="24"/>
        </w:rPr>
        <w:t>Plot of the Yearly Average Values of t</w:t>
      </w:r>
      <w:r w:rsidR="00453079" w:rsidRPr="00A25D56">
        <w:rPr>
          <w:rFonts w:ascii="Times New Roman" w:hAnsi="Times New Roman" w:cs="Times New Roman"/>
          <w:b/>
          <w:bCs/>
          <w:sz w:val="24"/>
          <w:szCs w:val="24"/>
        </w:rPr>
        <w:t xml:space="preserve">he </w:t>
      </w:r>
      <w:r w:rsidR="00453079">
        <w:rPr>
          <w:rFonts w:ascii="Times New Roman" w:hAnsi="Times New Roman" w:cs="Times New Roman"/>
          <w:b/>
          <w:bCs/>
          <w:sz w:val="24"/>
          <w:szCs w:val="24"/>
        </w:rPr>
        <w:t xml:space="preserve">T (Temperature 2a) , Dew Point (2b), Humidity (2c), Precipitation (2d), Wind Speed (2e), and Cloud Cover (2f) </w:t>
      </w:r>
      <w:r w:rsidR="00001A62">
        <w:rPr>
          <w:rFonts w:ascii="Times New Roman" w:hAnsi="Times New Roman" w:cs="Times New Roman"/>
          <w:b/>
          <w:bCs/>
          <w:sz w:val="24"/>
          <w:szCs w:val="24"/>
        </w:rPr>
        <w:t>For</w:t>
      </w:r>
      <w:r w:rsidR="00453079" w:rsidRPr="00A25D56">
        <w:rPr>
          <w:rFonts w:ascii="Times New Roman" w:hAnsi="Times New Roman" w:cs="Times New Roman"/>
          <w:b/>
          <w:bCs/>
          <w:sz w:val="24"/>
          <w:szCs w:val="24"/>
        </w:rPr>
        <w:t xml:space="preserve"> Onitsha and Nnewi</w:t>
      </w:r>
      <w:r w:rsidR="00453079">
        <w:rPr>
          <w:rFonts w:ascii="Times New Roman" w:hAnsi="Times New Roman" w:cs="Times New Roman"/>
          <w:sz w:val="24"/>
          <w:szCs w:val="24"/>
        </w:rPr>
        <w:t xml:space="preserve">  </w:t>
      </w:r>
    </w:p>
    <w:p w14:paraId="79C7F268" w14:textId="68CB8856" w:rsidR="00D51A65" w:rsidRPr="00866DF8" w:rsidRDefault="00D51A65" w:rsidP="00D51A65">
      <w:pPr>
        <w:rPr>
          <w:sz w:val="20"/>
          <w:szCs w:val="20"/>
        </w:rPr>
      </w:pPr>
    </w:p>
    <w:p w14:paraId="5397F978" w14:textId="4F3D5DBA" w:rsidR="00BF0722" w:rsidRPr="00BF0722" w:rsidRDefault="00BF0722" w:rsidP="00BF0722">
      <w:pPr>
        <w:spacing w:after="0" w:line="240" w:lineRule="auto"/>
        <w:jc w:val="both"/>
        <w:rPr>
          <w:rFonts w:ascii="Times New Roman" w:eastAsiaTheme="minorEastAsia" w:hAnsi="Times New Roman" w:cs="Times New Roman"/>
          <w:sz w:val="24"/>
          <w:szCs w:val="24"/>
        </w:rPr>
      </w:pPr>
      <w:r w:rsidRPr="00BF0722">
        <w:rPr>
          <w:rFonts w:ascii="Times New Roman" w:eastAsiaTheme="minorEastAsia" w:hAnsi="Times New Roman" w:cs="Times New Roman"/>
          <w:sz w:val="24"/>
          <w:szCs w:val="24"/>
        </w:rPr>
        <w:lastRenderedPageBreak/>
        <w:t xml:space="preserve">Fig 2e shows the yearly average </w:t>
      </w:r>
      <w:r w:rsidR="00FD4EF9">
        <w:rPr>
          <w:rFonts w:ascii="Times New Roman" w:eastAsiaTheme="minorEastAsia" w:hAnsi="Times New Roman" w:cs="Times New Roman"/>
          <w:sz w:val="24"/>
          <w:szCs w:val="24"/>
        </w:rPr>
        <w:t>WS</w:t>
      </w:r>
      <w:r w:rsidRPr="00BF0722">
        <w:rPr>
          <w:rFonts w:ascii="Times New Roman" w:eastAsiaTheme="minorEastAsia" w:hAnsi="Times New Roman" w:cs="Times New Roman"/>
          <w:sz w:val="24"/>
          <w:szCs w:val="24"/>
        </w:rPr>
        <w:t xml:space="preserve"> in Onitsha and Nnewi from 2010 to 2014. During this period, </w:t>
      </w:r>
      <w:r w:rsidR="00FD4EF9">
        <w:rPr>
          <w:rFonts w:ascii="Times New Roman" w:eastAsiaTheme="minorEastAsia" w:hAnsi="Times New Roman" w:cs="Times New Roman"/>
          <w:sz w:val="24"/>
          <w:szCs w:val="24"/>
        </w:rPr>
        <w:t>W</w:t>
      </w:r>
      <w:r w:rsidR="005977AE">
        <w:rPr>
          <w:rFonts w:ascii="Times New Roman" w:eastAsiaTheme="minorEastAsia" w:hAnsi="Times New Roman" w:cs="Times New Roman"/>
          <w:sz w:val="24"/>
          <w:szCs w:val="24"/>
        </w:rPr>
        <w:t>S</w:t>
      </w:r>
      <w:r w:rsidR="00FD4EF9">
        <w:rPr>
          <w:rFonts w:ascii="Times New Roman" w:eastAsiaTheme="minorEastAsia" w:hAnsi="Times New Roman" w:cs="Times New Roman"/>
          <w:sz w:val="24"/>
          <w:szCs w:val="24"/>
        </w:rPr>
        <w:t>s</w:t>
      </w:r>
      <w:r w:rsidRPr="00BF0722">
        <w:rPr>
          <w:rFonts w:ascii="Times New Roman" w:eastAsiaTheme="minorEastAsia" w:hAnsi="Times New Roman" w:cs="Times New Roman"/>
          <w:sz w:val="24"/>
          <w:szCs w:val="24"/>
        </w:rPr>
        <w:t xml:space="preserve"> were relatively low, ranging from ~10–15 km/h. A sharp rise to about 30 km/h occurred in 2018, followed by a reduction to 15–20 km/h between 2020 and 2024. Fig 2f depicts the annual average </w:t>
      </w:r>
      <w:r w:rsidR="00FD4EF9">
        <w:rPr>
          <w:rFonts w:ascii="Times New Roman" w:eastAsiaTheme="minorEastAsia" w:hAnsi="Times New Roman" w:cs="Times New Roman"/>
          <w:sz w:val="24"/>
          <w:szCs w:val="24"/>
        </w:rPr>
        <w:t>CC</w:t>
      </w:r>
      <w:r w:rsidRPr="00BF0722">
        <w:rPr>
          <w:rFonts w:ascii="Times New Roman" w:eastAsiaTheme="minorEastAsia" w:hAnsi="Times New Roman" w:cs="Times New Roman"/>
          <w:sz w:val="24"/>
          <w:szCs w:val="24"/>
        </w:rPr>
        <w:t xml:space="preserve"> in Onitsha and Nnewi. While the trends were similar throughout the study period, Nnewi consistently had higher cloud cover than Onitsha between 2016 and 2022. Akinsanola and Ogunjobi</w:t>
      </w:r>
      <w:r w:rsidR="00EE66AB">
        <w:rPr>
          <w:rFonts w:ascii="Times New Roman" w:eastAsiaTheme="minorEastAsia" w:hAnsi="Times New Roman" w:cs="Times New Roman"/>
          <w:sz w:val="24"/>
          <w:szCs w:val="24"/>
        </w:rPr>
        <w:t xml:space="preserve"> [2]</w:t>
      </w:r>
      <w:r w:rsidRPr="00BF0722">
        <w:rPr>
          <w:rFonts w:ascii="Times New Roman" w:eastAsiaTheme="minorEastAsia" w:hAnsi="Times New Roman" w:cs="Times New Roman"/>
          <w:sz w:val="24"/>
          <w:szCs w:val="24"/>
        </w:rPr>
        <w:t xml:space="preserve"> investigated changes in these climatic variables over time and their implications for agriculture and water resources in Nigeria. Their findings highlighted the role of </w:t>
      </w:r>
      <w:r w:rsidR="00EE66AB">
        <w:rPr>
          <w:rFonts w:ascii="Times New Roman" w:eastAsiaTheme="minorEastAsia" w:hAnsi="Times New Roman" w:cs="Times New Roman"/>
          <w:sz w:val="24"/>
          <w:szCs w:val="24"/>
        </w:rPr>
        <w:t>CC</w:t>
      </w:r>
      <w:r w:rsidRPr="00BF0722">
        <w:rPr>
          <w:rFonts w:ascii="Times New Roman" w:eastAsiaTheme="minorEastAsia" w:hAnsi="Times New Roman" w:cs="Times New Roman"/>
          <w:sz w:val="24"/>
          <w:szCs w:val="24"/>
        </w:rPr>
        <w:t xml:space="preserve"> in influencing rainfall and temperature patterns. They observed a decreasing trend in </w:t>
      </w:r>
      <w:r w:rsidR="00EE66AB">
        <w:rPr>
          <w:rFonts w:ascii="Times New Roman" w:eastAsiaTheme="minorEastAsia" w:hAnsi="Times New Roman" w:cs="Times New Roman"/>
          <w:sz w:val="24"/>
          <w:szCs w:val="24"/>
        </w:rPr>
        <w:t>CC</w:t>
      </w:r>
      <w:r w:rsidRPr="00BF0722">
        <w:rPr>
          <w:rFonts w:ascii="Times New Roman" w:eastAsiaTheme="minorEastAsia" w:hAnsi="Times New Roman" w:cs="Times New Roman"/>
          <w:sz w:val="24"/>
          <w:szCs w:val="24"/>
        </w:rPr>
        <w:t>, which affects solar radiation, temperature, and evaporation rates, concluding that Nigeria is undergoing significant changes in climatic variables that are expected to persist as global climate patterns continue to evolve.</w:t>
      </w:r>
    </w:p>
    <w:p w14:paraId="24950748" w14:textId="77777777" w:rsidR="00BF0722" w:rsidRDefault="00BF0722" w:rsidP="00453079">
      <w:pPr>
        <w:tabs>
          <w:tab w:val="left" w:pos="10620"/>
        </w:tabs>
        <w:jc w:val="both"/>
        <w:rPr>
          <w:rFonts w:ascii="Times New Roman" w:hAnsi="Times New Roman" w:cs="Times New Roman"/>
          <w:sz w:val="24"/>
          <w:szCs w:val="24"/>
        </w:rPr>
      </w:pPr>
    </w:p>
    <w:p w14:paraId="5F655CCC" w14:textId="3E19D7B5" w:rsidR="00453079" w:rsidRDefault="00001A62" w:rsidP="00CA3E6C">
      <w:pPr>
        <w:spacing w:after="0" w:line="480" w:lineRule="auto"/>
        <w:jc w:val="both"/>
        <w:rPr>
          <w:rFonts w:ascii="Times New Roman" w:eastAsiaTheme="minorEastAsia" w:hAnsi="Times New Roman" w:cs="Times New Roman"/>
          <w:sz w:val="24"/>
          <w:szCs w:val="24"/>
        </w:rPr>
      </w:pPr>
      <w:r>
        <w:rPr>
          <w:noProof/>
        </w:rPr>
        <w:drawing>
          <wp:inline distT="0" distB="0" distL="0" distR="0" wp14:anchorId="0074FDF8" wp14:editId="6474BEE2">
            <wp:extent cx="5943600" cy="2303145"/>
            <wp:effectExtent l="0" t="0" r="0" b="1905"/>
            <wp:docPr id="98669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6251" name=""/>
                    <pic:cNvPicPr/>
                  </pic:nvPicPr>
                  <pic:blipFill>
                    <a:blip r:embed="rId10"/>
                    <a:stretch>
                      <a:fillRect/>
                    </a:stretch>
                  </pic:blipFill>
                  <pic:spPr>
                    <a:xfrm>
                      <a:off x="0" y="0"/>
                      <a:ext cx="5943600" cy="2303145"/>
                    </a:xfrm>
                    <a:prstGeom prst="rect">
                      <a:avLst/>
                    </a:prstGeom>
                  </pic:spPr>
                </pic:pic>
              </a:graphicData>
            </a:graphic>
          </wp:inline>
        </w:drawing>
      </w:r>
    </w:p>
    <w:p w14:paraId="19461B57" w14:textId="69422CB0" w:rsidR="00001A62" w:rsidRDefault="00001A62" w:rsidP="00001A62">
      <w:pPr>
        <w:spacing w:after="0" w:line="240" w:lineRule="auto"/>
        <w:jc w:val="both"/>
        <w:rPr>
          <w:rFonts w:ascii="Times New Roman" w:hAnsi="Times New Roman" w:cs="Times New Roman"/>
          <w:sz w:val="24"/>
          <w:szCs w:val="24"/>
        </w:rPr>
      </w:pPr>
      <w:r w:rsidRPr="00A25D56">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A25D56">
        <w:rPr>
          <w:rFonts w:ascii="Times New Roman" w:hAnsi="Times New Roman" w:cs="Times New Roman"/>
          <w:b/>
          <w:bCs/>
          <w:sz w:val="24"/>
          <w:szCs w:val="24"/>
        </w:rPr>
        <w:t xml:space="preserve">: </w:t>
      </w:r>
      <w:r>
        <w:rPr>
          <w:rFonts w:ascii="Times New Roman" w:hAnsi="Times New Roman" w:cs="Times New Roman"/>
          <w:b/>
          <w:bCs/>
          <w:sz w:val="24"/>
          <w:szCs w:val="24"/>
        </w:rPr>
        <w:t>Plot of the Yearly Average Values of t</w:t>
      </w:r>
      <w:r w:rsidRPr="00A25D56">
        <w:rPr>
          <w:rFonts w:ascii="Times New Roman" w:hAnsi="Times New Roman" w:cs="Times New Roman"/>
          <w:b/>
          <w:bCs/>
          <w:sz w:val="24"/>
          <w:szCs w:val="24"/>
        </w:rPr>
        <w:t xml:space="preserve">he </w:t>
      </w:r>
      <w:r>
        <w:rPr>
          <w:rFonts w:ascii="Times New Roman" w:hAnsi="Times New Roman" w:cs="Times New Roman"/>
          <w:b/>
          <w:bCs/>
          <w:sz w:val="24"/>
          <w:szCs w:val="24"/>
        </w:rPr>
        <w:t>Solar Radiation (3a) and UV Index  (3b), For</w:t>
      </w:r>
      <w:r w:rsidRPr="00A25D56">
        <w:rPr>
          <w:rFonts w:ascii="Times New Roman" w:hAnsi="Times New Roman" w:cs="Times New Roman"/>
          <w:b/>
          <w:bCs/>
          <w:sz w:val="24"/>
          <w:szCs w:val="24"/>
        </w:rPr>
        <w:t xml:space="preserve"> Onitsha and Nnewi</w:t>
      </w:r>
      <w:r>
        <w:rPr>
          <w:rFonts w:ascii="Times New Roman" w:hAnsi="Times New Roman" w:cs="Times New Roman"/>
          <w:sz w:val="24"/>
          <w:szCs w:val="24"/>
        </w:rPr>
        <w:t xml:space="preserve">  </w:t>
      </w:r>
    </w:p>
    <w:p w14:paraId="006BDB05" w14:textId="21C663A3" w:rsidR="00EE66AB" w:rsidRPr="00EE66AB" w:rsidRDefault="00EE66AB" w:rsidP="00EE66AB">
      <w:pPr>
        <w:spacing w:after="0" w:line="240" w:lineRule="auto"/>
        <w:jc w:val="both"/>
        <w:rPr>
          <w:rFonts w:ascii="Times New Roman" w:hAnsi="Times New Roman" w:cs="Times New Roman"/>
          <w:sz w:val="24"/>
          <w:szCs w:val="24"/>
        </w:rPr>
      </w:pPr>
      <w:r w:rsidRPr="00EE66AB">
        <w:rPr>
          <w:rFonts w:ascii="Times New Roman" w:hAnsi="Times New Roman" w:cs="Times New Roman"/>
          <w:sz w:val="24"/>
          <w:szCs w:val="24"/>
        </w:rPr>
        <w:t xml:space="preserve">Figs 3(a) and 3(b) present the yearly average values of </w:t>
      </w:r>
      <w:r>
        <w:rPr>
          <w:rFonts w:ascii="Times New Roman" w:hAnsi="Times New Roman" w:cs="Times New Roman"/>
          <w:sz w:val="24"/>
          <w:szCs w:val="24"/>
        </w:rPr>
        <w:t>SR</w:t>
      </w:r>
      <w:r w:rsidRPr="00EE66AB">
        <w:rPr>
          <w:rFonts w:ascii="Times New Roman" w:hAnsi="Times New Roman" w:cs="Times New Roman"/>
          <w:sz w:val="24"/>
          <w:szCs w:val="24"/>
        </w:rPr>
        <w:t xml:space="preserve"> and the UV</w:t>
      </w:r>
      <w:r>
        <w:rPr>
          <w:rFonts w:ascii="Times New Roman" w:hAnsi="Times New Roman" w:cs="Times New Roman"/>
          <w:sz w:val="24"/>
          <w:szCs w:val="24"/>
        </w:rPr>
        <w:t>I</w:t>
      </w:r>
      <w:r w:rsidRPr="00EE66AB">
        <w:rPr>
          <w:rFonts w:ascii="Times New Roman" w:hAnsi="Times New Roman" w:cs="Times New Roman"/>
          <w:sz w:val="24"/>
          <w:szCs w:val="24"/>
        </w:rPr>
        <w:t xml:space="preserve"> for Onitsha and Nnewi. Both parameters exhibit notable increases over the years, driven by atmospheric changes and climatic factors. These trends carry significant implications for energy production, climate science, and public health. Between 2010 and 2024, the </w:t>
      </w:r>
      <w:r>
        <w:rPr>
          <w:rFonts w:ascii="Times New Roman" w:hAnsi="Times New Roman" w:cs="Times New Roman"/>
          <w:sz w:val="24"/>
          <w:szCs w:val="24"/>
        </w:rPr>
        <w:t>SR</w:t>
      </w:r>
      <w:r w:rsidRPr="00EE66AB">
        <w:rPr>
          <w:rFonts w:ascii="Times New Roman" w:hAnsi="Times New Roman" w:cs="Times New Roman"/>
          <w:sz w:val="24"/>
          <w:szCs w:val="24"/>
        </w:rPr>
        <w:t xml:space="preserve"> potential in Onitsha and Nnewi has gradually risen, largely due to reductions in atmospheric aerosols and shifts in </w:t>
      </w:r>
      <w:r>
        <w:rPr>
          <w:rFonts w:ascii="Times New Roman" w:hAnsi="Times New Roman" w:cs="Times New Roman"/>
          <w:sz w:val="24"/>
          <w:szCs w:val="24"/>
        </w:rPr>
        <w:t>CC</w:t>
      </w:r>
      <w:r w:rsidRPr="00EE66AB">
        <w:rPr>
          <w:rFonts w:ascii="Times New Roman" w:hAnsi="Times New Roman" w:cs="Times New Roman"/>
          <w:sz w:val="24"/>
          <w:szCs w:val="24"/>
        </w:rPr>
        <w:t xml:space="preserve"> patterns. This increase aligns with the phenomena of global dimming and brightening, where reduced particulate pollution results in clearer skies and greater </w:t>
      </w:r>
      <w:r>
        <w:rPr>
          <w:rFonts w:ascii="Times New Roman" w:hAnsi="Times New Roman" w:cs="Times New Roman"/>
          <w:sz w:val="24"/>
          <w:szCs w:val="24"/>
        </w:rPr>
        <w:t>SR</w:t>
      </w:r>
      <w:r w:rsidRPr="00EE66AB">
        <w:rPr>
          <w:rFonts w:ascii="Times New Roman" w:hAnsi="Times New Roman" w:cs="Times New Roman"/>
          <w:sz w:val="24"/>
          <w:szCs w:val="24"/>
        </w:rPr>
        <w:t xml:space="preserve"> reaching the Earth's surface </w:t>
      </w:r>
      <w:r>
        <w:rPr>
          <w:rFonts w:ascii="Times New Roman" w:hAnsi="Times New Roman" w:cs="Times New Roman"/>
          <w:sz w:val="24"/>
          <w:szCs w:val="24"/>
        </w:rPr>
        <w:t>[77, 25]</w:t>
      </w:r>
      <w:r w:rsidRPr="00EE66AB">
        <w:rPr>
          <w:rFonts w:ascii="Times New Roman" w:hAnsi="Times New Roman" w:cs="Times New Roman"/>
          <w:sz w:val="24"/>
          <w:szCs w:val="24"/>
        </w:rPr>
        <w:t>.</w:t>
      </w:r>
    </w:p>
    <w:p w14:paraId="0ED8593D" w14:textId="4910C5D9" w:rsidR="00001A62" w:rsidRPr="00EE66AB" w:rsidRDefault="00EE66AB" w:rsidP="00EE66AB">
      <w:pPr>
        <w:spacing w:after="0" w:line="240" w:lineRule="auto"/>
        <w:jc w:val="both"/>
        <w:rPr>
          <w:rFonts w:ascii="Times New Roman" w:hAnsi="Times New Roman" w:cs="Times New Roman"/>
          <w:sz w:val="24"/>
          <w:szCs w:val="24"/>
        </w:rPr>
      </w:pPr>
      <w:r w:rsidRPr="00EE66AB">
        <w:rPr>
          <w:rFonts w:ascii="Times New Roman" w:hAnsi="Times New Roman" w:cs="Times New Roman"/>
          <w:sz w:val="24"/>
          <w:szCs w:val="24"/>
        </w:rPr>
        <w:t>The UV</w:t>
      </w:r>
      <w:r>
        <w:rPr>
          <w:rFonts w:ascii="Times New Roman" w:hAnsi="Times New Roman" w:cs="Times New Roman"/>
          <w:sz w:val="24"/>
          <w:szCs w:val="24"/>
        </w:rPr>
        <w:t>I</w:t>
      </w:r>
      <w:r w:rsidRPr="00EE66AB">
        <w:rPr>
          <w:rFonts w:ascii="Times New Roman" w:hAnsi="Times New Roman" w:cs="Times New Roman"/>
          <w:sz w:val="24"/>
          <w:szCs w:val="24"/>
        </w:rPr>
        <w:t xml:space="preserve">, which measures the intensity of </w:t>
      </w:r>
      <w:r>
        <w:rPr>
          <w:rFonts w:ascii="Times New Roman" w:hAnsi="Times New Roman" w:cs="Times New Roman"/>
          <w:sz w:val="24"/>
          <w:szCs w:val="24"/>
        </w:rPr>
        <w:t>UV</w:t>
      </w:r>
      <w:r w:rsidRPr="00EE66AB">
        <w:rPr>
          <w:rFonts w:ascii="Times New Roman" w:hAnsi="Times New Roman" w:cs="Times New Roman"/>
          <w:sz w:val="24"/>
          <w:szCs w:val="24"/>
        </w:rPr>
        <w:t xml:space="preserve"> radiation at the Earth's surface, has also shown an upward trend in both cities. This rise </w:t>
      </w:r>
      <w:r>
        <w:rPr>
          <w:rFonts w:ascii="Times New Roman" w:hAnsi="Times New Roman" w:cs="Times New Roman"/>
          <w:sz w:val="24"/>
          <w:szCs w:val="24"/>
        </w:rPr>
        <w:t xml:space="preserve">can be </w:t>
      </w:r>
      <w:r w:rsidRPr="00EE66AB">
        <w:rPr>
          <w:rFonts w:ascii="Times New Roman" w:hAnsi="Times New Roman" w:cs="Times New Roman"/>
          <w:sz w:val="24"/>
          <w:szCs w:val="24"/>
        </w:rPr>
        <w:t xml:space="preserve">attributed to factors such as ozone layer depletion, climate change, and variations in atmospheric composition and </w:t>
      </w:r>
      <w:r>
        <w:rPr>
          <w:rFonts w:ascii="Times New Roman" w:hAnsi="Times New Roman" w:cs="Times New Roman"/>
          <w:sz w:val="24"/>
          <w:szCs w:val="24"/>
        </w:rPr>
        <w:t>CC</w:t>
      </w:r>
      <w:r w:rsidRPr="00EE66AB">
        <w:rPr>
          <w:rFonts w:ascii="Times New Roman" w:hAnsi="Times New Roman" w:cs="Times New Roman"/>
          <w:sz w:val="24"/>
          <w:szCs w:val="24"/>
        </w:rPr>
        <w:t xml:space="preserve"> </w:t>
      </w:r>
      <w:r>
        <w:rPr>
          <w:rFonts w:ascii="Times New Roman" w:hAnsi="Times New Roman" w:cs="Times New Roman"/>
          <w:sz w:val="24"/>
          <w:szCs w:val="24"/>
        </w:rPr>
        <w:t>[38]</w:t>
      </w:r>
      <w:r w:rsidRPr="00EE66AB">
        <w:rPr>
          <w:rFonts w:ascii="Times New Roman" w:hAnsi="Times New Roman" w:cs="Times New Roman"/>
          <w:sz w:val="24"/>
          <w:szCs w:val="24"/>
        </w:rPr>
        <w:t xml:space="preserve">. The increasing levels of </w:t>
      </w:r>
      <w:r>
        <w:rPr>
          <w:rFonts w:ascii="Times New Roman" w:hAnsi="Times New Roman" w:cs="Times New Roman"/>
          <w:sz w:val="24"/>
          <w:szCs w:val="24"/>
        </w:rPr>
        <w:t>SR</w:t>
      </w:r>
      <w:r w:rsidRPr="00EE66AB">
        <w:rPr>
          <w:rFonts w:ascii="Times New Roman" w:hAnsi="Times New Roman" w:cs="Times New Roman"/>
          <w:sz w:val="24"/>
          <w:szCs w:val="24"/>
        </w:rPr>
        <w:t xml:space="preserve"> and UV exposure contribute to global temperature changes, influencing climate patterns and ecosystems. Higher UV</w:t>
      </w:r>
      <w:r>
        <w:rPr>
          <w:rFonts w:ascii="Times New Roman" w:hAnsi="Times New Roman" w:cs="Times New Roman"/>
          <w:sz w:val="24"/>
          <w:szCs w:val="24"/>
        </w:rPr>
        <w:t>I</w:t>
      </w:r>
      <w:r w:rsidRPr="00EE66AB">
        <w:rPr>
          <w:rFonts w:ascii="Times New Roman" w:hAnsi="Times New Roman" w:cs="Times New Roman"/>
          <w:sz w:val="24"/>
          <w:szCs w:val="24"/>
        </w:rPr>
        <w:t xml:space="preserve"> values heighten the risks of health issues such as skin cancer, and other UV-related conditions, emphasizing the importance of sun protection and public awareness</w:t>
      </w:r>
      <w:r>
        <w:rPr>
          <w:rFonts w:ascii="Times New Roman" w:hAnsi="Times New Roman" w:cs="Times New Roman"/>
          <w:sz w:val="24"/>
          <w:szCs w:val="24"/>
        </w:rPr>
        <w:t xml:space="preserve"> [80]</w:t>
      </w:r>
      <w:r w:rsidRPr="00EE66AB">
        <w:rPr>
          <w:rFonts w:ascii="Times New Roman" w:hAnsi="Times New Roman" w:cs="Times New Roman"/>
          <w:sz w:val="24"/>
          <w:szCs w:val="24"/>
        </w:rPr>
        <w:t>.</w:t>
      </w:r>
    </w:p>
    <w:p w14:paraId="5888EA19" w14:textId="3045C07F" w:rsidR="00532AB5" w:rsidRDefault="004E2FEF" w:rsidP="00532AB5">
      <w:pPr>
        <w:pStyle w:val="ListParagraph"/>
        <w:numPr>
          <w:ilvl w:val="1"/>
          <w:numId w:val="5"/>
        </w:numPr>
        <w:spacing w:after="0" w:line="480" w:lineRule="auto"/>
        <w:jc w:val="both"/>
        <w:rPr>
          <w:rFonts w:ascii="Times New Roman" w:eastAsiaTheme="minorEastAsia" w:hAnsi="Times New Roman" w:cs="Times New Roman"/>
          <w:b/>
          <w:bCs/>
          <w:sz w:val="24"/>
          <w:szCs w:val="24"/>
        </w:rPr>
      </w:pPr>
      <w:r w:rsidRPr="004E2FEF">
        <w:rPr>
          <w:rFonts w:ascii="Times New Roman" w:eastAsiaTheme="minorEastAsia" w:hAnsi="Times New Roman" w:cs="Times New Roman"/>
          <w:b/>
          <w:bCs/>
          <w:sz w:val="24"/>
          <w:szCs w:val="24"/>
        </w:rPr>
        <w:t>Regression Analysis</w:t>
      </w:r>
    </w:p>
    <w:p w14:paraId="0E51C914" w14:textId="747E06F1" w:rsidR="00532AB5" w:rsidRPr="00532AB5" w:rsidRDefault="00532AB5" w:rsidP="00532AB5">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4.2.1 </w:t>
      </w:r>
      <w:r w:rsidRPr="00532AB5">
        <w:rPr>
          <w:rFonts w:ascii="Times New Roman" w:eastAsiaTheme="minorEastAsia" w:hAnsi="Times New Roman" w:cs="Times New Roman"/>
          <w:b/>
          <w:bCs/>
          <w:sz w:val="24"/>
          <w:szCs w:val="24"/>
        </w:rPr>
        <w:t>Population Vs Change in Populatio</w:t>
      </w:r>
      <w:r>
        <w:rPr>
          <w:rFonts w:ascii="Times New Roman" w:eastAsiaTheme="minorEastAsia" w:hAnsi="Times New Roman" w:cs="Times New Roman"/>
          <w:b/>
          <w:bCs/>
          <w:sz w:val="24"/>
          <w:szCs w:val="24"/>
        </w:rPr>
        <w:t>n</w:t>
      </w:r>
    </w:p>
    <w:p w14:paraId="2C24029E" w14:textId="6090AF9D" w:rsidR="004E2FEF" w:rsidRPr="00532AB5" w:rsidRDefault="00532AB5" w:rsidP="00532AB5">
      <w:pPr>
        <w:spacing w:after="0" w:line="240" w:lineRule="auto"/>
        <w:jc w:val="both"/>
        <w:rPr>
          <w:rFonts w:ascii="Times New Roman" w:eastAsiaTheme="minorEastAsia" w:hAnsi="Times New Roman" w:cs="Times New Roman"/>
          <w:b/>
          <w:bCs/>
          <w:sz w:val="24"/>
          <w:szCs w:val="24"/>
        </w:rPr>
      </w:pPr>
      <w:r w:rsidRPr="00532AB5">
        <w:rPr>
          <w:rFonts w:ascii="Times New Roman" w:eastAsiaTheme="minorEastAsia" w:hAnsi="Times New Roman" w:cs="Times New Roman"/>
          <w:sz w:val="24"/>
          <w:szCs w:val="24"/>
        </w:rPr>
        <w:lastRenderedPageBreak/>
        <w:t>Fig 4 illustrates the percentage change in population per year relative to the population size for Onitsha and Nnewi. The dotted line represents the linear fit for Nnewi, while the straight line represents the linear fit for Onitsha (with y denoting the percentage change in population per year and x representing the population). The plot reveals a declining trend in the percentage change of population per year for both cities, with Nnewi showing a more decreasing trend in rate of change compared to Onitsha. The linear fit suggests that the slope for Nnewi is steeper than that of Onitsha, indicating a faster decline in the population growth rate at Nnewi. Despite this, both cities share a correlation coefficient of r = -0.8 between population and percentage change in population, demonstrating a strong relationship between population size and the percentage change in population per year. The higher and faster change in population growth at Nnewi could be attributed to urban migration, with more people moving to the city over ti</w:t>
      </w:r>
      <w:r>
        <w:rPr>
          <w:rFonts w:ascii="Times New Roman" w:eastAsiaTheme="minorEastAsia" w:hAnsi="Times New Roman" w:cs="Times New Roman"/>
          <w:sz w:val="24"/>
          <w:szCs w:val="24"/>
        </w:rPr>
        <w:t>me.</w:t>
      </w:r>
    </w:p>
    <w:p w14:paraId="519F81CD" w14:textId="381AFBCA" w:rsidR="00532AB5" w:rsidRPr="00532AB5" w:rsidRDefault="00532AB5" w:rsidP="00532AB5">
      <w:pPr>
        <w:spacing w:after="0" w:line="480" w:lineRule="auto"/>
        <w:ind w:left="360"/>
        <w:jc w:val="both"/>
        <w:rPr>
          <w:rFonts w:ascii="Times New Roman" w:eastAsiaTheme="minorEastAsia" w:hAnsi="Times New Roman" w:cs="Times New Roman"/>
          <w:b/>
          <w:bCs/>
          <w:sz w:val="24"/>
          <w:szCs w:val="24"/>
        </w:rPr>
      </w:pPr>
      <w:r>
        <w:rPr>
          <w:noProof/>
        </w:rPr>
        <w:drawing>
          <wp:anchor distT="0" distB="0" distL="114300" distR="114300" simplePos="0" relativeHeight="251660288" behindDoc="1" locked="0" layoutInCell="1" allowOverlap="1" wp14:anchorId="49B0343D" wp14:editId="7E3A48E6">
            <wp:simplePos x="0" y="0"/>
            <wp:positionH relativeFrom="margin">
              <wp:align>left</wp:align>
            </wp:positionH>
            <wp:positionV relativeFrom="paragraph">
              <wp:posOffset>354330</wp:posOffset>
            </wp:positionV>
            <wp:extent cx="6229350" cy="2762250"/>
            <wp:effectExtent l="0" t="0" r="0" b="0"/>
            <wp:wrapTight wrapText="bothSides">
              <wp:wrapPolygon edited="0">
                <wp:start x="0" y="0"/>
                <wp:lineTo x="0" y="21451"/>
                <wp:lineTo x="21534" y="21451"/>
                <wp:lineTo x="21534" y="0"/>
                <wp:lineTo x="0" y="0"/>
              </wp:wrapPolygon>
            </wp:wrapTight>
            <wp:docPr id="628058955" name="Chart 1">
              <a:extLst xmlns:a="http://schemas.openxmlformats.org/drawingml/2006/main">
                <a:ext uri="{FF2B5EF4-FFF2-40B4-BE49-F238E27FC236}">
                  <a16:creationId xmlns:a16="http://schemas.microsoft.com/office/drawing/2014/main" id="{8C42C389-47E5-750E-5E3D-6F7833EDF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D27C9BA" w14:textId="151DC6DD" w:rsidR="004E2FEF" w:rsidRPr="004E2FEF" w:rsidRDefault="004E2FEF" w:rsidP="004E2FEF">
      <w:pPr>
        <w:spacing w:after="0" w:line="240" w:lineRule="auto"/>
        <w:jc w:val="both"/>
        <w:rPr>
          <w:rFonts w:ascii="Times New Roman" w:eastAsiaTheme="minorEastAsia" w:hAnsi="Times New Roman" w:cs="Times New Roman"/>
          <w:b/>
          <w:bCs/>
          <w:sz w:val="24"/>
          <w:szCs w:val="24"/>
        </w:rPr>
      </w:pPr>
      <w:r w:rsidRPr="004E2FEF">
        <w:rPr>
          <w:rFonts w:ascii="Times New Roman" w:eastAsiaTheme="minorEastAsia" w:hAnsi="Times New Roman" w:cs="Times New Roman"/>
          <w:b/>
          <w:bCs/>
          <w:sz w:val="24"/>
          <w:szCs w:val="24"/>
        </w:rPr>
        <w:t>Figure 4. Plot of the Annual Percentage Change in Population per Year against the Population at Onitsha and Nnewi</w:t>
      </w:r>
    </w:p>
    <w:p w14:paraId="1A729833" w14:textId="77777777" w:rsidR="004E2FEF" w:rsidRPr="004E2FEF" w:rsidRDefault="004E2FEF" w:rsidP="004E2FEF">
      <w:pPr>
        <w:spacing w:after="0" w:line="240" w:lineRule="auto"/>
        <w:ind w:left="360"/>
        <w:jc w:val="both"/>
        <w:rPr>
          <w:rFonts w:ascii="Times New Roman" w:eastAsiaTheme="minorEastAsia" w:hAnsi="Times New Roman" w:cs="Times New Roman"/>
          <w:b/>
          <w:bCs/>
          <w:sz w:val="24"/>
          <w:szCs w:val="24"/>
        </w:rPr>
      </w:pPr>
    </w:p>
    <w:p w14:paraId="681D7D09" w14:textId="0E3538F7" w:rsidR="005977AE" w:rsidRDefault="005977AE" w:rsidP="00DB5F7B">
      <w:pPr>
        <w:spacing w:after="0" w:line="240" w:lineRule="auto"/>
        <w:jc w:val="both"/>
        <w:rPr>
          <w:rFonts w:ascii="Times New Roman" w:hAnsi="Times New Roman" w:cs="Times New Roman"/>
          <w:sz w:val="24"/>
          <w:szCs w:val="24"/>
        </w:rPr>
      </w:pPr>
      <w:r w:rsidRPr="005977AE">
        <w:rPr>
          <w:rFonts w:ascii="Times New Roman" w:hAnsi="Times New Roman" w:cs="Times New Roman"/>
          <w:sz w:val="24"/>
          <w:szCs w:val="24"/>
        </w:rPr>
        <w:t xml:space="preserve">A negative slope in this context indicates that as the population increases, the percentage change in the population per year decreases. This suggests that while the absolute number of people continues to grow, the rate of population growth is slowing down. Several factors contribute to this trend. First, population dynamics, such as a shift from rapid to slower growth, can occur as the population base becomes larger, with limited resources, economic constraints, and demographic shifts (like aging populations) playing a role. Additionally, factors like economic development, which typically leads to decreased birth rates and higher living standards, can slow down population growth. Social factors, such as improved access to education and family planning, also contribute to lower growth rates. This pattern of slowing population growth has implications for urban planning, resource allocation, and economic development strategies, influencing policy decisions </w:t>
      </w:r>
      <w:r>
        <w:rPr>
          <w:rFonts w:ascii="Times New Roman" w:hAnsi="Times New Roman" w:cs="Times New Roman"/>
          <w:sz w:val="24"/>
          <w:szCs w:val="24"/>
        </w:rPr>
        <w:t>[72].</w:t>
      </w:r>
    </w:p>
    <w:p w14:paraId="6B8B6730" w14:textId="305B73C2" w:rsidR="004E2FEF" w:rsidRDefault="004E2FEF" w:rsidP="00DB5F7B">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Table </w:t>
      </w:r>
      <w:r w:rsidR="00DB5F7B">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shows the correlation coefficients between population and the annual percentage change in population with annual average values of weather</w:t>
      </w:r>
      <w:r>
        <w:rPr>
          <w:rFonts w:ascii="Times New Roman" w:hAnsi="Times New Roman" w:cs="Times New Roman"/>
          <w:sz w:val="24"/>
          <w:szCs w:val="24"/>
        </w:rPr>
        <w:t>/</w:t>
      </w:r>
      <w:r w:rsidRPr="00D567B6">
        <w:rPr>
          <w:rFonts w:ascii="Times New Roman" w:hAnsi="Times New Roman" w:cs="Times New Roman"/>
          <w:sz w:val="24"/>
          <w:szCs w:val="24"/>
        </w:rPr>
        <w:t>meteorological</w:t>
      </w:r>
      <w:r>
        <w:rPr>
          <w:rFonts w:ascii="Times New Roman" w:eastAsiaTheme="minorEastAsia" w:hAnsi="Times New Roman" w:cs="Times New Roman"/>
          <w:sz w:val="24"/>
          <w:szCs w:val="24"/>
        </w:rPr>
        <w:t xml:space="preserve"> parameters. The Table indicates a strong positive relationship between the population of both cities and </w:t>
      </w:r>
      <w:r w:rsidR="005977AE">
        <w:rPr>
          <w:rFonts w:ascii="Times New Roman" w:eastAsiaTheme="minorEastAsia" w:hAnsi="Times New Roman" w:cs="Times New Roman"/>
          <w:sz w:val="24"/>
          <w:szCs w:val="24"/>
        </w:rPr>
        <w:t xml:space="preserve">T, WS, SR and </w:t>
      </w:r>
      <w:r w:rsidR="005977AE">
        <w:rPr>
          <w:rFonts w:ascii="Times New Roman" w:eastAsiaTheme="minorEastAsia" w:hAnsi="Times New Roman" w:cs="Times New Roman"/>
          <w:sz w:val="24"/>
          <w:szCs w:val="24"/>
        </w:rPr>
        <w:lastRenderedPageBreak/>
        <w:t xml:space="preserve">UVI, </w:t>
      </w:r>
      <w:r>
        <w:rPr>
          <w:rFonts w:ascii="Times New Roman" w:eastAsiaTheme="minorEastAsia" w:hAnsi="Times New Roman" w:cs="Times New Roman"/>
          <w:sz w:val="24"/>
          <w:szCs w:val="24"/>
        </w:rPr>
        <w:t xml:space="preserve">but a negative relation between the population and </w:t>
      </w:r>
      <w:r w:rsidR="005977AE">
        <w:rPr>
          <w:rFonts w:ascii="Times New Roman" w:eastAsiaTheme="minorEastAsia" w:hAnsi="Times New Roman" w:cs="Times New Roman"/>
          <w:sz w:val="24"/>
          <w:szCs w:val="24"/>
        </w:rPr>
        <w:t>DP</w:t>
      </w:r>
      <w:r>
        <w:rPr>
          <w:rFonts w:ascii="Times New Roman" w:eastAsiaTheme="minorEastAsia" w:hAnsi="Times New Roman" w:cs="Times New Roman"/>
          <w:sz w:val="24"/>
          <w:szCs w:val="24"/>
        </w:rPr>
        <w:t xml:space="preserve"> and </w:t>
      </w:r>
      <w:r w:rsidR="005977AE">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 xml:space="preserve">. Due to the anti-correlation between the population and annual percentage change in population, the Table indicated the opposite correlations between annual percentage change in population with </w:t>
      </w:r>
      <w:r w:rsidR="00DB5F7B">
        <w:rPr>
          <w:rFonts w:ascii="Times New Roman" w:eastAsiaTheme="minorEastAsia" w:hAnsi="Times New Roman" w:cs="Times New Roman"/>
          <w:sz w:val="24"/>
          <w:szCs w:val="24"/>
        </w:rPr>
        <w:t xml:space="preserve">some of the </w:t>
      </w:r>
      <w:r w:rsidRPr="00D567B6">
        <w:rPr>
          <w:rFonts w:ascii="Times New Roman" w:hAnsi="Times New Roman" w:cs="Times New Roman"/>
          <w:sz w:val="24"/>
          <w:szCs w:val="24"/>
        </w:rPr>
        <w:t>meteorological</w:t>
      </w:r>
      <w:r>
        <w:rPr>
          <w:rFonts w:ascii="Times New Roman" w:eastAsiaTheme="minorEastAsia" w:hAnsi="Times New Roman" w:cs="Times New Roman"/>
          <w:sz w:val="24"/>
          <w:szCs w:val="24"/>
        </w:rPr>
        <w:t xml:space="preserve"> parameters to that indicated between population and </w:t>
      </w:r>
      <w:r w:rsidRPr="00D567B6">
        <w:rPr>
          <w:rFonts w:ascii="Times New Roman" w:hAnsi="Times New Roman" w:cs="Times New Roman"/>
          <w:sz w:val="24"/>
          <w:szCs w:val="24"/>
        </w:rPr>
        <w:t>meteorological</w:t>
      </w:r>
      <w:r>
        <w:rPr>
          <w:rFonts w:ascii="Times New Roman" w:eastAsiaTheme="minorEastAsia" w:hAnsi="Times New Roman" w:cs="Times New Roman"/>
          <w:sz w:val="24"/>
          <w:szCs w:val="24"/>
        </w:rPr>
        <w:t xml:space="preserve"> parameters.</w:t>
      </w:r>
    </w:p>
    <w:p w14:paraId="7A5244A1" w14:textId="77777777" w:rsidR="005977AE" w:rsidRPr="00AC698C" w:rsidRDefault="005977AE" w:rsidP="00DB5F7B">
      <w:pPr>
        <w:spacing w:after="0" w:line="240" w:lineRule="auto"/>
        <w:jc w:val="both"/>
        <w:rPr>
          <w:rFonts w:ascii="Times New Roman" w:eastAsiaTheme="minorEastAsia" w:hAnsi="Times New Roman" w:cs="Times New Roman"/>
          <w:sz w:val="24"/>
          <w:szCs w:val="24"/>
        </w:rPr>
      </w:pPr>
    </w:p>
    <w:p w14:paraId="5E029D63" w14:textId="06D4BFAB" w:rsidR="004E2FEF" w:rsidRPr="00AC698C" w:rsidRDefault="004E2FEF" w:rsidP="004E2FEF">
      <w:pPr>
        <w:spacing w:after="0" w:line="240" w:lineRule="auto"/>
        <w:jc w:val="both"/>
        <w:rPr>
          <w:rFonts w:ascii="Times New Roman" w:eastAsiaTheme="minorEastAsia" w:hAnsi="Times New Roman" w:cs="Times New Roman"/>
          <w:b/>
          <w:bCs/>
          <w:sz w:val="24"/>
          <w:szCs w:val="24"/>
        </w:rPr>
      </w:pPr>
      <w:r w:rsidRPr="00AC698C">
        <w:rPr>
          <w:rFonts w:ascii="Times New Roman" w:eastAsiaTheme="minorEastAsia" w:hAnsi="Times New Roman" w:cs="Times New Roman"/>
          <w:b/>
          <w:bCs/>
          <w:sz w:val="24"/>
          <w:szCs w:val="24"/>
        </w:rPr>
        <w:t>Table</w:t>
      </w:r>
      <w:r w:rsidR="00DB5F7B">
        <w:rPr>
          <w:rFonts w:ascii="Times New Roman" w:eastAsiaTheme="minorEastAsia" w:hAnsi="Times New Roman" w:cs="Times New Roman"/>
          <w:b/>
          <w:bCs/>
          <w:sz w:val="24"/>
          <w:szCs w:val="24"/>
        </w:rPr>
        <w:t xml:space="preserve"> 3</w:t>
      </w:r>
      <w:r w:rsidRPr="00AC698C">
        <w:rPr>
          <w:rFonts w:ascii="Times New Roman" w:eastAsiaTheme="minorEastAsia" w:hAnsi="Times New Roman" w:cs="Times New Roman"/>
          <w:b/>
          <w:bCs/>
          <w:sz w:val="24"/>
          <w:szCs w:val="24"/>
        </w:rPr>
        <w:t>: The Correlation Coefficients Between Population</w:t>
      </w:r>
      <w:r w:rsidR="00120D28">
        <w:rPr>
          <w:rFonts w:ascii="Times New Roman" w:eastAsiaTheme="minorEastAsia" w:hAnsi="Times New Roman" w:cs="Times New Roman"/>
          <w:b/>
          <w:bCs/>
          <w:sz w:val="24"/>
          <w:szCs w:val="24"/>
        </w:rPr>
        <w:t xml:space="preserve"> (P)</w:t>
      </w:r>
      <w:r w:rsidRPr="00AC698C">
        <w:rPr>
          <w:rFonts w:ascii="Times New Roman" w:eastAsiaTheme="minorEastAsia" w:hAnsi="Times New Roman" w:cs="Times New Roman"/>
          <w:b/>
          <w:bCs/>
          <w:sz w:val="24"/>
          <w:szCs w:val="24"/>
        </w:rPr>
        <w:t xml:space="preserve"> And The Annual Percentage Change In Population </w:t>
      </w:r>
      <w:r w:rsidR="00120D28">
        <w:rPr>
          <w:rFonts w:ascii="Times New Roman" w:eastAsiaTheme="minorEastAsia" w:hAnsi="Times New Roman" w:cs="Times New Roman"/>
          <w:b/>
          <w:bCs/>
          <w:sz w:val="24"/>
          <w:szCs w:val="24"/>
        </w:rPr>
        <w:t xml:space="preserve">(CP) </w:t>
      </w:r>
      <w:r w:rsidRPr="00AC698C">
        <w:rPr>
          <w:rFonts w:ascii="Times New Roman" w:eastAsiaTheme="minorEastAsia" w:hAnsi="Times New Roman" w:cs="Times New Roman"/>
          <w:b/>
          <w:bCs/>
          <w:sz w:val="24"/>
          <w:szCs w:val="24"/>
        </w:rPr>
        <w:t>With Annual Average Values Of Weather Parameters</w:t>
      </w:r>
    </w:p>
    <w:tbl>
      <w:tblPr>
        <w:tblW w:w="6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63"/>
        <w:gridCol w:w="960"/>
        <w:gridCol w:w="1283"/>
        <w:gridCol w:w="963"/>
        <w:gridCol w:w="960"/>
      </w:tblGrid>
      <w:tr w:rsidR="004E2FEF" w:rsidRPr="00AC698C" w14:paraId="61813430" w14:textId="77777777" w:rsidTr="00DB5F7B">
        <w:trPr>
          <w:trHeight w:val="300"/>
        </w:trPr>
        <w:tc>
          <w:tcPr>
            <w:tcW w:w="1283" w:type="dxa"/>
            <w:vMerge w:val="restart"/>
            <w:shd w:val="clear" w:color="auto" w:fill="auto"/>
            <w:noWrap/>
            <w:vAlign w:val="bottom"/>
            <w:hideMark/>
          </w:tcPr>
          <w:p w14:paraId="255CD009" w14:textId="77777777" w:rsidR="004E2FEF" w:rsidRPr="00AC698C" w:rsidRDefault="004E2FEF" w:rsidP="003B7B5D">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Parameters</w:t>
            </w:r>
          </w:p>
        </w:tc>
        <w:tc>
          <w:tcPr>
            <w:tcW w:w="963" w:type="dxa"/>
            <w:shd w:val="clear" w:color="auto" w:fill="auto"/>
            <w:noWrap/>
            <w:vAlign w:val="bottom"/>
            <w:hideMark/>
          </w:tcPr>
          <w:p w14:paraId="74A5A06A"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r</w:t>
            </w:r>
          </w:p>
        </w:tc>
        <w:tc>
          <w:tcPr>
            <w:tcW w:w="960" w:type="dxa"/>
            <w:shd w:val="clear" w:color="auto" w:fill="auto"/>
            <w:noWrap/>
            <w:vAlign w:val="bottom"/>
            <w:hideMark/>
          </w:tcPr>
          <w:p w14:paraId="1107F6BA"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r</w:t>
            </w:r>
          </w:p>
        </w:tc>
        <w:tc>
          <w:tcPr>
            <w:tcW w:w="1283" w:type="dxa"/>
            <w:vMerge w:val="restart"/>
            <w:shd w:val="clear" w:color="auto" w:fill="auto"/>
            <w:noWrap/>
            <w:vAlign w:val="bottom"/>
            <w:hideMark/>
          </w:tcPr>
          <w:p w14:paraId="7990E68E" w14:textId="77777777" w:rsidR="004E2FEF" w:rsidRPr="00AC698C" w:rsidRDefault="004E2FEF" w:rsidP="003B7B5D">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Parameters</w:t>
            </w:r>
          </w:p>
        </w:tc>
        <w:tc>
          <w:tcPr>
            <w:tcW w:w="963" w:type="dxa"/>
            <w:shd w:val="clear" w:color="auto" w:fill="auto"/>
            <w:noWrap/>
            <w:vAlign w:val="bottom"/>
            <w:hideMark/>
          </w:tcPr>
          <w:p w14:paraId="46E9BD23"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r</w:t>
            </w:r>
          </w:p>
        </w:tc>
        <w:tc>
          <w:tcPr>
            <w:tcW w:w="960" w:type="dxa"/>
            <w:shd w:val="clear" w:color="auto" w:fill="auto"/>
            <w:noWrap/>
            <w:vAlign w:val="bottom"/>
            <w:hideMark/>
          </w:tcPr>
          <w:p w14:paraId="1009C2C2"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r</w:t>
            </w:r>
          </w:p>
        </w:tc>
      </w:tr>
      <w:tr w:rsidR="004E2FEF" w:rsidRPr="00AC698C" w14:paraId="41A9AB7F" w14:textId="77777777" w:rsidTr="00DB5F7B">
        <w:trPr>
          <w:trHeight w:val="300"/>
        </w:trPr>
        <w:tc>
          <w:tcPr>
            <w:tcW w:w="1283" w:type="dxa"/>
            <w:vMerge/>
            <w:shd w:val="clear" w:color="auto" w:fill="auto"/>
            <w:noWrap/>
            <w:vAlign w:val="bottom"/>
            <w:hideMark/>
          </w:tcPr>
          <w:p w14:paraId="34BBF99E"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p>
        </w:tc>
        <w:tc>
          <w:tcPr>
            <w:tcW w:w="963" w:type="dxa"/>
            <w:shd w:val="clear" w:color="auto" w:fill="auto"/>
            <w:noWrap/>
            <w:vAlign w:val="bottom"/>
            <w:hideMark/>
          </w:tcPr>
          <w:p w14:paraId="2A63F69F"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Onitsha</w:t>
            </w:r>
          </w:p>
        </w:tc>
        <w:tc>
          <w:tcPr>
            <w:tcW w:w="960" w:type="dxa"/>
            <w:shd w:val="clear" w:color="auto" w:fill="auto"/>
            <w:noWrap/>
            <w:vAlign w:val="bottom"/>
            <w:hideMark/>
          </w:tcPr>
          <w:p w14:paraId="57F8EB88"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Nnewi</w:t>
            </w:r>
          </w:p>
        </w:tc>
        <w:tc>
          <w:tcPr>
            <w:tcW w:w="1283" w:type="dxa"/>
            <w:vMerge/>
            <w:shd w:val="clear" w:color="auto" w:fill="auto"/>
            <w:noWrap/>
            <w:vAlign w:val="bottom"/>
            <w:hideMark/>
          </w:tcPr>
          <w:p w14:paraId="03709BF9" w14:textId="77777777" w:rsidR="004E2FEF" w:rsidRPr="00AC698C" w:rsidRDefault="004E2FEF" w:rsidP="003B7B5D">
            <w:pPr>
              <w:spacing w:after="0" w:line="240" w:lineRule="auto"/>
              <w:rPr>
                <w:rFonts w:ascii="Times New Roman" w:eastAsia="Times New Roman" w:hAnsi="Times New Roman" w:cs="Times New Roman"/>
                <w:kern w:val="0"/>
                <w:sz w:val="24"/>
                <w:szCs w:val="24"/>
                <w14:ligatures w14:val="none"/>
              </w:rPr>
            </w:pPr>
          </w:p>
        </w:tc>
        <w:tc>
          <w:tcPr>
            <w:tcW w:w="963" w:type="dxa"/>
            <w:shd w:val="clear" w:color="auto" w:fill="auto"/>
            <w:noWrap/>
            <w:vAlign w:val="bottom"/>
            <w:hideMark/>
          </w:tcPr>
          <w:p w14:paraId="121C5196"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Onitsha</w:t>
            </w:r>
          </w:p>
        </w:tc>
        <w:tc>
          <w:tcPr>
            <w:tcW w:w="960" w:type="dxa"/>
            <w:shd w:val="clear" w:color="auto" w:fill="auto"/>
            <w:noWrap/>
            <w:vAlign w:val="bottom"/>
            <w:hideMark/>
          </w:tcPr>
          <w:p w14:paraId="6372AED2"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Nnewi</w:t>
            </w:r>
          </w:p>
        </w:tc>
      </w:tr>
      <w:tr w:rsidR="004E2FEF" w:rsidRPr="00AC698C" w14:paraId="4C415AD1" w14:textId="77777777" w:rsidTr="00DB5F7B">
        <w:trPr>
          <w:trHeight w:val="315"/>
        </w:trPr>
        <w:tc>
          <w:tcPr>
            <w:tcW w:w="1283" w:type="dxa"/>
            <w:shd w:val="clear" w:color="auto" w:fill="auto"/>
            <w:noWrap/>
            <w:vAlign w:val="bottom"/>
            <w:hideMark/>
          </w:tcPr>
          <w:p w14:paraId="2524EE9F"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P/Year</w:t>
            </w:r>
          </w:p>
        </w:tc>
        <w:tc>
          <w:tcPr>
            <w:tcW w:w="963" w:type="dxa"/>
            <w:shd w:val="clear" w:color="auto" w:fill="auto"/>
            <w:noWrap/>
            <w:vAlign w:val="bottom"/>
            <w:hideMark/>
          </w:tcPr>
          <w:p w14:paraId="14E3082E"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1.00</w:t>
            </w:r>
          </w:p>
        </w:tc>
        <w:tc>
          <w:tcPr>
            <w:tcW w:w="960" w:type="dxa"/>
            <w:shd w:val="clear" w:color="auto" w:fill="auto"/>
            <w:noWrap/>
            <w:vAlign w:val="bottom"/>
            <w:hideMark/>
          </w:tcPr>
          <w:p w14:paraId="64BD8BF3"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1.00</w:t>
            </w:r>
          </w:p>
        </w:tc>
        <w:tc>
          <w:tcPr>
            <w:tcW w:w="1283" w:type="dxa"/>
            <w:shd w:val="clear" w:color="auto" w:fill="auto"/>
            <w:noWrap/>
            <w:vAlign w:val="bottom"/>
            <w:hideMark/>
          </w:tcPr>
          <w:p w14:paraId="56AECECE"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CP/Year</w:t>
            </w:r>
          </w:p>
        </w:tc>
        <w:tc>
          <w:tcPr>
            <w:tcW w:w="963" w:type="dxa"/>
            <w:shd w:val="clear" w:color="auto" w:fill="auto"/>
            <w:noWrap/>
            <w:vAlign w:val="bottom"/>
            <w:hideMark/>
          </w:tcPr>
          <w:p w14:paraId="0B409366"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-0.74</w:t>
            </w:r>
          </w:p>
        </w:tc>
        <w:tc>
          <w:tcPr>
            <w:tcW w:w="960" w:type="dxa"/>
            <w:shd w:val="clear" w:color="auto" w:fill="auto"/>
            <w:noWrap/>
            <w:vAlign w:val="bottom"/>
            <w:hideMark/>
          </w:tcPr>
          <w:p w14:paraId="47636C5F"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-0.80</w:t>
            </w:r>
          </w:p>
        </w:tc>
      </w:tr>
      <w:tr w:rsidR="004E2FEF" w:rsidRPr="00AC698C" w14:paraId="1B9439CE" w14:textId="77777777" w:rsidTr="00DB5F7B">
        <w:trPr>
          <w:trHeight w:val="315"/>
        </w:trPr>
        <w:tc>
          <w:tcPr>
            <w:tcW w:w="1283" w:type="dxa"/>
            <w:shd w:val="clear" w:color="auto" w:fill="auto"/>
            <w:noWrap/>
            <w:vAlign w:val="bottom"/>
            <w:hideMark/>
          </w:tcPr>
          <w:p w14:paraId="16276797"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P/T</w:t>
            </w:r>
          </w:p>
        </w:tc>
        <w:tc>
          <w:tcPr>
            <w:tcW w:w="963" w:type="dxa"/>
            <w:shd w:val="clear" w:color="auto" w:fill="auto"/>
            <w:noWrap/>
            <w:vAlign w:val="bottom"/>
            <w:hideMark/>
          </w:tcPr>
          <w:p w14:paraId="00BDB8F7"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0.79</w:t>
            </w:r>
          </w:p>
        </w:tc>
        <w:tc>
          <w:tcPr>
            <w:tcW w:w="960" w:type="dxa"/>
            <w:shd w:val="clear" w:color="auto" w:fill="auto"/>
            <w:noWrap/>
            <w:vAlign w:val="bottom"/>
            <w:hideMark/>
          </w:tcPr>
          <w:p w14:paraId="096D9C8C"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0.88</w:t>
            </w:r>
          </w:p>
        </w:tc>
        <w:tc>
          <w:tcPr>
            <w:tcW w:w="1283" w:type="dxa"/>
            <w:shd w:val="clear" w:color="auto" w:fill="auto"/>
            <w:noWrap/>
            <w:vAlign w:val="bottom"/>
            <w:hideMark/>
          </w:tcPr>
          <w:p w14:paraId="4D1B5EE8"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CP/T</w:t>
            </w:r>
          </w:p>
        </w:tc>
        <w:tc>
          <w:tcPr>
            <w:tcW w:w="963" w:type="dxa"/>
            <w:shd w:val="clear" w:color="auto" w:fill="auto"/>
            <w:noWrap/>
            <w:vAlign w:val="bottom"/>
            <w:hideMark/>
          </w:tcPr>
          <w:p w14:paraId="2E14CA87"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-0.42</w:t>
            </w:r>
          </w:p>
        </w:tc>
        <w:tc>
          <w:tcPr>
            <w:tcW w:w="960" w:type="dxa"/>
            <w:shd w:val="clear" w:color="auto" w:fill="auto"/>
            <w:noWrap/>
            <w:vAlign w:val="bottom"/>
            <w:hideMark/>
          </w:tcPr>
          <w:p w14:paraId="6EAA6FE9"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-0.71</w:t>
            </w:r>
          </w:p>
        </w:tc>
      </w:tr>
      <w:tr w:rsidR="004E2FEF" w:rsidRPr="00AC698C" w14:paraId="2F757D84" w14:textId="77777777" w:rsidTr="00DB5F7B">
        <w:trPr>
          <w:trHeight w:val="315"/>
        </w:trPr>
        <w:tc>
          <w:tcPr>
            <w:tcW w:w="1283" w:type="dxa"/>
            <w:shd w:val="clear" w:color="auto" w:fill="auto"/>
            <w:noWrap/>
            <w:vAlign w:val="bottom"/>
            <w:hideMark/>
          </w:tcPr>
          <w:p w14:paraId="207A4691"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P/DP</w:t>
            </w:r>
          </w:p>
        </w:tc>
        <w:tc>
          <w:tcPr>
            <w:tcW w:w="963" w:type="dxa"/>
            <w:shd w:val="clear" w:color="auto" w:fill="auto"/>
            <w:noWrap/>
            <w:vAlign w:val="bottom"/>
            <w:hideMark/>
          </w:tcPr>
          <w:p w14:paraId="0DF1DB08"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-0.80</w:t>
            </w:r>
          </w:p>
        </w:tc>
        <w:tc>
          <w:tcPr>
            <w:tcW w:w="960" w:type="dxa"/>
            <w:shd w:val="clear" w:color="auto" w:fill="auto"/>
            <w:noWrap/>
            <w:vAlign w:val="bottom"/>
            <w:hideMark/>
          </w:tcPr>
          <w:p w14:paraId="126C77C8"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-0.81</w:t>
            </w:r>
          </w:p>
        </w:tc>
        <w:tc>
          <w:tcPr>
            <w:tcW w:w="1283" w:type="dxa"/>
            <w:shd w:val="clear" w:color="auto" w:fill="auto"/>
            <w:noWrap/>
            <w:vAlign w:val="bottom"/>
            <w:hideMark/>
          </w:tcPr>
          <w:p w14:paraId="663BFE22"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CP/DP</w:t>
            </w:r>
          </w:p>
        </w:tc>
        <w:tc>
          <w:tcPr>
            <w:tcW w:w="963" w:type="dxa"/>
            <w:shd w:val="clear" w:color="auto" w:fill="auto"/>
            <w:noWrap/>
            <w:vAlign w:val="bottom"/>
            <w:hideMark/>
          </w:tcPr>
          <w:p w14:paraId="26914D52"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0.79</w:t>
            </w:r>
          </w:p>
        </w:tc>
        <w:tc>
          <w:tcPr>
            <w:tcW w:w="960" w:type="dxa"/>
            <w:shd w:val="clear" w:color="auto" w:fill="auto"/>
            <w:noWrap/>
            <w:vAlign w:val="bottom"/>
            <w:hideMark/>
          </w:tcPr>
          <w:p w14:paraId="2F501D01"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0.73</w:t>
            </w:r>
          </w:p>
        </w:tc>
      </w:tr>
      <w:tr w:rsidR="004E2FEF" w:rsidRPr="00AC698C" w14:paraId="345E1ABE" w14:textId="77777777" w:rsidTr="00DB5F7B">
        <w:trPr>
          <w:trHeight w:val="315"/>
        </w:trPr>
        <w:tc>
          <w:tcPr>
            <w:tcW w:w="1283" w:type="dxa"/>
            <w:shd w:val="clear" w:color="auto" w:fill="auto"/>
            <w:noWrap/>
            <w:vAlign w:val="bottom"/>
            <w:hideMark/>
          </w:tcPr>
          <w:p w14:paraId="495CF5BD"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P/H</w:t>
            </w:r>
          </w:p>
        </w:tc>
        <w:tc>
          <w:tcPr>
            <w:tcW w:w="963" w:type="dxa"/>
            <w:shd w:val="clear" w:color="auto" w:fill="auto"/>
            <w:noWrap/>
            <w:vAlign w:val="bottom"/>
            <w:hideMark/>
          </w:tcPr>
          <w:p w14:paraId="0E4C23C3"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-0.93</w:t>
            </w:r>
          </w:p>
        </w:tc>
        <w:tc>
          <w:tcPr>
            <w:tcW w:w="960" w:type="dxa"/>
            <w:shd w:val="clear" w:color="auto" w:fill="auto"/>
            <w:noWrap/>
            <w:vAlign w:val="bottom"/>
            <w:hideMark/>
          </w:tcPr>
          <w:p w14:paraId="1A04A9FD"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-0.96</w:t>
            </w:r>
          </w:p>
        </w:tc>
        <w:tc>
          <w:tcPr>
            <w:tcW w:w="1283" w:type="dxa"/>
            <w:shd w:val="clear" w:color="auto" w:fill="auto"/>
            <w:noWrap/>
            <w:vAlign w:val="bottom"/>
            <w:hideMark/>
          </w:tcPr>
          <w:p w14:paraId="3FFA0097"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CP/H</w:t>
            </w:r>
          </w:p>
        </w:tc>
        <w:tc>
          <w:tcPr>
            <w:tcW w:w="963" w:type="dxa"/>
            <w:shd w:val="clear" w:color="auto" w:fill="auto"/>
            <w:noWrap/>
            <w:vAlign w:val="bottom"/>
            <w:hideMark/>
          </w:tcPr>
          <w:p w14:paraId="74F564BD"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0.67</w:t>
            </w:r>
          </w:p>
        </w:tc>
        <w:tc>
          <w:tcPr>
            <w:tcW w:w="960" w:type="dxa"/>
            <w:shd w:val="clear" w:color="auto" w:fill="auto"/>
            <w:noWrap/>
            <w:vAlign w:val="bottom"/>
            <w:hideMark/>
          </w:tcPr>
          <w:p w14:paraId="0526963B"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0.81</w:t>
            </w:r>
          </w:p>
        </w:tc>
      </w:tr>
      <w:tr w:rsidR="004E2FEF" w:rsidRPr="00AC698C" w14:paraId="3879934B" w14:textId="77777777" w:rsidTr="00DB5F7B">
        <w:trPr>
          <w:trHeight w:val="315"/>
        </w:trPr>
        <w:tc>
          <w:tcPr>
            <w:tcW w:w="1283" w:type="dxa"/>
            <w:shd w:val="clear" w:color="auto" w:fill="auto"/>
            <w:noWrap/>
            <w:vAlign w:val="bottom"/>
            <w:hideMark/>
          </w:tcPr>
          <w:p w14:paraId="1934C58A"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P/PP</w:t>
            </w:r>
          </w:p>
        </w:tc>
        <w:tc>
          <w:tcPr>
            <w:tcW w:w="963" w:type="dxa"/>
            <w:shd w:val="clear" w:color="auto" w:fill="auto"/>
            <w:noWrap/>
            <w:vAlign w:val="bottom"/>
            <w:hideMark/>
          </w:tcPr>
          <w:p w14:paraId="188B02CC"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-0.17</w:t>
            </w:r>
          </w:p>
        </w:tc>
        <w:tc>
          <w:tcPr>
            <w:tcW w:w="960" w:type="dxa"/>
            <w:shd w:val="clear" w:color="auto" w:fill="auto"/>
            <w:noWrap/>
            <w:vAlign w:val="bottom"/>
            <w:hideMark/>
          </w:tcPr>
          <w:p w14:paraId="27F70069"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0.23</w:t>
            </w:r>
          </w:p>
        </w:tc>
        <w:tc>
          <w:tcPr>
            <w:tcW w:w="1283" w:type="dxa"/>
            <w:shd w:val="clear" w:color="auto" w:fill="auto"/>
            <w:noWrap/>
            <w:vAlign w:val="bottom"/>
            <w:hideMark/>
          </w:tcPr>
          <w:p w14:paraId="49D78DBE"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CP/PP</w:t>
            </w:r>
          </w:p>
        </w:tc>
        <w:tc>
          <w:tcPr>
            <w:tcW w:w="963" w:type="dxa"/>
            <w:shd w:val="clear" w:color="auto" w:fill="auto"/>
            <w:noWrap/>
            <w:vAlign w:val="bottom"/>
            <w:hideMark/>
          </w:tcPr>
          <w:p w14:paraId="6D658471"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-0.26</w:t>
            </w:r>
          </w:p>
        </w:tc>
        <w:tc>
          <w:tcPr>
            <w:tcW w:w="960" w:type="dxa"/>
            <w:shd w:val="clear" w:color="auto" w:fill="auto"/>
            <w:noWrap/>
            <w:vAlign w:val="bottom"/>
            <w:hideMark/>
          </w:tcPr>
          <w:p w14:paraId="6A96DBC2"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-0.22</w:t>
            </w:r>
          </w:p>
        </w:tc>
      </w:tr>
      <w:tr w:rsidR="004E2FEF" w:rsidRPr="00AC698C" w14:paraId="6E0D7171" w14:textId="77777777" w:rsidTr="00DB5F7B">
        <w:trPr>
          <w:trHeight w:val="315"/>
        </w:trPr>
        <w:tc>
          <w:tcPr>
            <w:tcW w:w="1283" w:type="dxa"/>
            <w:shd w:val="clear" w:color="auto" w:fill="auto"/>
            <w:noWrap/>
            <w:vAlign w:val="bottom"/>
            <w:hideMark/>
          </w:tcPr>
          <w:p w14:paraId="2B147AB7"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P/WS</w:t>
            </w:r>
          </w:p>
        </w:tc>
        <w:tc>
          <w:tcPr>
            <w:tcW w:w="963" w:type="dxa"/>
            <w:shd w:val="clear" w:color="auto" w:fill="auto"/>
            <w:noWrap/>
            <w:vAlign w:val="bottom"/>
            <w:hideMark/>
          </w:tcPr>
          <w:p w14:paraId="4BB4897C"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0.50</w:t>
            </w:r>
          </w:p>
        </w:tc>
        <w:tc>
          <w:tcPr>
            <w:tcW w:w="960" w:type="dxa"/>
            <w:shd w:val="clear" w:color="auto" w:fill="auto"/>
            <w:noWrap/>
            <w:vAlign w:val="bottom"/>
            <w:hideMark/>
          </w:tcPr>
          <w:p w14:paraId="680B2D11"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0.53</w:t>
            </w:r>
          </w:p>
        </w:tc>
        <w:tc>
          <w:tcPr>
            <w:tcW w:w="1283" w:type="dxa"/>
            <w:shd w:val="clear" w:color="auto" w:fill="auto"/>
            <w:noWrap/>
            <w:vAlign w:val="bottom"/>
            <w:hideMark/>
          </w:tcPr>
          <w:p w14:paraId="0FCCC8E9"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CP/WS</w:t>
            </w:r>
          </w:p>
        </w:tc>
        <w:tc>
          <w:tcPr>
            <w:tcW w:w="963" w:type="dxa"/>
            <w:shd w:val="clear" w:color="auto" w:fill="auto"/>
            <w:noWrap/>
            <w:vAlign w:val="bottom"/>
            <w:hideMark/>
          </w:tcPr>
          <w:p w14:paraId="3E443D0E"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-0.29</w:t>
            </w:r>
          </w:p>
        </w:tc>
        <w:tc>
          <w:tcPr>
            <w:tcW w:w="960" w:type="dxa"/>
            <w:shd w:val="clear" w:color="auto" w:fill="auto"/>
            <w:noWrap/>
            <w:vAlign w:val="bottom"/>
            <w:hideMark/>
          </w:tcPr>
          <w:p w14:paraId="5AE71495"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-0.43</w:t>
            </w:r>
          </w:p>
        </w:tc>
      </w:tr>
      <w:tr w:rsidR="004E2FEF" w:rsidRPr="00AC698C" w14:paraId="32628378" w14:textId="77777777" w:rsidTr="00DB5F7B">
        <w:trPr>
          <w:trHeight w:val="315"/>
        </w:trPr>
        <w:tc>
          <w:tcPr>
            <w:tcW w:w="1283" w:type="dxa"/>
            <w:shd w:val="clear" w:color="auto" w:fill="auto"/>
            <w:noWrap/>
            <w:vAlign w:val="bottom"/>
            <w:hideMark/>
          </w:tcPr>
          <w:p w14:paraId="4A5DC3C7"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P/CC</w:t>
            </w:r>
          </w:p>
        </w:tc>
        <w:tc>
          <w:tcPr>
            <w:tcW w:w="963" w:type="dxa"/>
            <w:shd w:val="clear" w:color="auto" w:fill="auto"/>
            <w:noWrap/>
            <w:vAlign w:val="bottom"/>
            <w:hideMark/>
          </w:tcPr>
          <w:p w14:paraId="0A2C987D"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0.12</w:t>
            </w:r>
          </w:p>
        </w:tc>
        <w:tc>
          <w:tcPr>
            <w:tcW w:w="960" w:type="dxa"/>
            <w:shd w:val="clear" w:color="auto" w:fill="auto"/>
            <w:noWrap/>
            <w:vAlign w:val="bottom"/>
            <w:hideMark/>
          </w:tcPr>
          <w:p w14:paraId="6BE2BC2A"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0.18</w:t>
            </w:r>
          </w:p>
        </w:tc>
        <w:tc>
          <w:tcPr>
            <w:tcW w:w="1283" w:type="dxa"/>
            <w:shd w:val="clear" w:color="auto" w:fill="auto"/>
            <w:noWrap/>
            <w:vAlign w:val="bottom"/>
            <w:hideMark/>
          </w:tcPr>
          <w:p w14:paraId="74597F68"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CP/CC</w:t>
            </w:r>
          </w:p>
        </w:tc>
        <w:tc>
          <w:tcPr>
            <w:tcW w:w="963" w:type="dxa"/>
            <w:shd w:val="clear" w:color="auto" w:fill="auto"/>
            <w:noWrap/>
            <w:vAlign w:val="bottom"/>
            <w:hideMark/>
          </w:tcPr>
          <w:p w14:paraId="2879A534"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0.02</w:t>
            </w:r>
          </w:p>
        </w:tc>
        <w:tc>
          <w:tcPr>
            <w:tcW w:w="960" w:type="dxa"/>
            <w:shd w:val="clear" w:color="auto" w:fill="auto"/>
            <w:noWrap/>
            <w:vAlign w:val="bottom"/>
            <w:hideMark/>
          </w:tcPr>
          <w:p w14:paraId="5DC38F6F"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0.15</w:t>
            </w:r>
          </w:p>
        </w:tc>
      </w:tr>
      <w:tr w:rsidR="004E2FEF" w:rsidRPr="00AC698C" w14:paraId="20E95004" w14:textId="77777777" w:rsidTr="00DB5F7B">
        <w:trPr>
          <w:trHeight w:val="315"/>
        </w:trPr>
        <w:tc>
          <w:tcPr>
            <w:tcW w:w="1283" w:type="dxa"/>
            <w:shd w:val="clear" w:color="auto" w:fill="auto"/>
            <w:noWrap/>
            <w:vAlign w:val="bottom"/>
            <w:hideMark/>
          </w:tcPr>
          <w:p w14:paraId="085A6CE3"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P/SR</w:t>
            </w:r>
          </w:p>
        </w:tc>
        <w:tc>
          <w:tcPr>
            <w:tcW w:w="963" w:type="dxa"/>
            <w:shd w:val="clear" w:color="auto" w:fill="auto"/>
            <w:noWrap/>
            <w:vAlign w:val="bottom"/>
            <w:hideMark/>
          </w:tcPr>
          <w:p w14:paraId="100FEF39"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0.94</w:t>
            </w:r>
          </w:p>
        </w:tc>
        <w:tc>
          <w:tcPr>
            <w:tcW w:w="960" w:type="dxa"/>
            <w:shd w:val="clear" w:color="auto" w:fill="auto"/>
            <w:noWrap/>
            <w:vAlign w:val="bottom"/>
            <w:hideMark/>
          </w:tcPr>
          <w:p w14:paraId="4E591E5F"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0.93</w:t>
            </w:r>
          </w:p>
        </w:tc>
        <w:tc>
          <w:tcPr>
            <w:tcW w:w="1283" w:type="dxa"/>
            <w:shd w:val="clear" w:color="auto" w:fill="auto"/>
            <w:noWrap/>
            <w:vAlign w:val="bottom"/>
            <w:hideMark/>
          </w:tcPr>
          <w:p w14:paraId="4BEEF2FC"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CP/SR</w:t>
            </w:r>
          </w:p>
        </w:tc>
        <w:tc>
          <w:tcPr>
            <w:tcW w:w="963" w:type="dxa"/>
            <w:shd w:val="clear" w:color="auto" w:fill="auto"/>
            <w:noWrap/>
            <w:vAlign w:val="bottom"/>
            <w:hideMark/>
          </w:tcPr>
          <w:p w14:paraId="28EC8A89"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-0.84</w:t>
            </w:r>
          </w:p>
        </w:tc>
        <w:tc>
          <w:tcPr>
            <w:tcW w:w="960" w:type="dxa"/>
            <w:shd w:val="clear" w:color="auto" w:fill="auto"/>
            <w:noWrap/>
            <w:vAlign w:val="bottom"/>
            <w:hideMark/>
          </w:tcPr>
          <w:p w14:paraId="158B6D35"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-0.92</w:t>
            </w:r>
          </w:p>
        </w:tc>
      </w:tr>
      <w:tr w:rsidR="004E2FEF" w:rsidRPr="00AC698C" w14:paraId="77048430" w14:textId="77777777" w:rsidTr="00DB5F7B">
        <w:trPr>
          <w:trHeight w:val="315"/>
        </w:trPr>
        <w:tc>
          <w:tcPr>
            <w:tcW w:w="1283" w:type="dxa"/>
            <w:shd w:val="clear" w:color="auto" w:fill="auto"/>
            <w:noWrap/>
            <w:vAlign w:val="bottom"/>
            <w:hideMark/>
          </w:tcPr>
          <w:p w14:paraId="43AAB5E7"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P/UVI</w:t>
            </w:r>
          </w:p>
        </w:tc>
        <w:tc>
          <w:tcPr>
            <w:tcW w:w="963" w:type="dxa"/>
            <w:shd w:val="clear" w:color="auto" w:fill="auto"/>
            <w:noWrap/>
            <w:vAlign w:val="bottom"/>
            <w:hideMark/>
          </w:tcPr>
          <w:p w14:paraId="07113C5B"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0.95</w:t>
            </w:r>
          </w:p>
        </w:tc>
        <w:tc>
          <w:tcPr>
            <w:tcW w:w="960" w:type="dxa"/>
            <w:shd w:val="clear" w:color="auto" w:fill="auto"/>
            <w:noWrap/>
            <w:vAlign w:val="bottom"/>
            <w:hideMark/>
          </w:tcPr>
          <w:p w14:paraId="3B4535F1"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0.95</w:t>
            </w:r>
          </w:p>
        </w:tc>
        <w:tc>
          <w:tcPr>
            <w:tcW w:w="1283" w:type="dxa"/>
            <w:shd w:val="clear" w:color="auto" w:fill="auto"/>
            <w:noWrap/>
            <w:vAlign w:val="bottom"/>
            <w:hideMark/>
          </w:tcPr>
          <w:p w14:paraId="693331F2" w14:textId="77777777" w:rsidR="004E2FEF" w:rsidRPr="00AC698C" w:rsidRDefault="004E2FEF" w:rsidP="003B7B5D">
            <w:pPr>
              <w:spacing w:after="0" w:line="240" w:lineRule="auto"/>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CP/UVI</w:t>
            </w:r>
          </w:p>
        </w:tc>
        <w:tc>
          <w:tcPr>
            <w:tcW w:w="963" w:type="dxa"/>
            <w:shd w:val="clear" w:color="auto" w:fill="auto"/>
            <w:noWrap/>
            <w:vAlign w:val="bottom"/>
            <w:hideMark/>
          </w:tcPr>
          <w:p w14:paraId="6C0FF11F"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-0.82</w:t>
            </w:r>
          </w:p>
        </w:tc>
        <w:tc>
          <w:tcPr>
            <w:tcW w:w="960" w:type="dxa"/>
            <w:shd w:val="clear" w:color="auto" w:fill="auto"/>
            <w:noWrap/>
            <w:vAlign w:val="bottom"/>
            <w:hideMark/>
          </w:tcPr>
          <w:p w14:paraId="3AA214CB" w14:textId="77777777" w:rsidR="004E2FEF" w:rsidRPr="00AC698C" w:rsidRDefault="004E2FEF" w:rsidP="003B7B5D">
            <w:pPr>
              <w:spacing w:after="0" w:line="240" w:lineRule="auto"/>
              <w:jc w:val="right"/>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-0.87</w:t>
            </w:r>
          </w:p>
        </w:tc>
      </w:tr>
      <w:tr w:rsidR="004E2FEF" w:rsidRPr="00AC698C" w14:paraId="331489AC" w14:textId="77777777" w:rsidTr="00DB5F7B">
        <w:trPr>
          <w:trHeight w:val="315"/>
        </w:trPr>
        <w:tc>
          <w:tcPr>
            <w:tcW w:w="6412" w:type="dxa"/>
            <w:gridSpan w:val="6"/>
            <w:shd w:val="clear" w:color="auto" w:fill="auto"/>
            <w:noWrap/>
            <w:vAlign w:val="bottom"/>
          </w:tcPr>
          <w:p w14:paraId="03501A7B" w14:textId="77777777" w:rsidR="004E2FEF" w:rsidRPr="00AC698C" w:rsidRDefault="004E2FEF" w:rsidP="003B7B5D">
            <w:pPr>
              <w:spacing w:after="0" w:line="240" w:lineRule="auto"/>
              <w:jc w:val="both"/>
              <w:rPr>
                <w:rFonts w:ascii="Times New Roman" w:eastAsia="Times New Roman" w:hAnsi="Times New Roman" w:cs="Times New Roman"/>
                <w:color w:val="000000"/>
                <w:kern w:val="0"/>
                <w:sz w:val="24"/>
                <w:szCs w:val="24"/>
                <w14:ligatures w14:val="none"/>
              </w:rPr>
            </w:pPr>
            <w:r w:rsidRPr="00AC698C">
              <w:rPr>
                <w:rFonts w:ascii="Times New Roman" w:eastAsia="Times New Roman" w:hAnsi="Times New Roman" w:cs="Times New Roman"/>
                <w:color w:val="000000"/>
                <w:kern w:val="0"/>
                <w:sz w:val="24"/>
                <w:szCs w:val="24"/>
                <w14:ligatures w14:val="none"/>
              </w:rPr>
              <w:t xml:space="preserve">P: Population; CP: Annual Percentage Change in Population </w:t>
            </w:r>
          </w:p>
        </w:tc>
      </w:tr>
    </w:tbl>
    <w:p w14:paraId="18BC4E41" w14:textId="77777777" w:rsidR="00120D28" w:rsidRDefault="00120D28" w:rsidP="00274A8A">
      <w:pPr>
        <w:spacing w:after="0" w:line="480" w:lineRule="auto"/>
        <w:jc w:val="both"/>
        <w:rPr>
          <w:rFonts w:ascii="Times New Roman" w:eastAsiaTheme="minorEastAsia" w:hAnsi="Times New Roman" w:cs="Times New Roman"/>
          <w:b/>
          <w:bCs/>
          <w:sz w:val="24"/>
          <w:szCs w:val="24"/>
        </w:rPr>
      </w:pPr>
    </w:p>
    <w:p w14:paraId="4D987868" w14:textId="7DA256DF" w:rsidR="00274A8A" w:rsidRDefault="005977AE" w:rsidP="00120D28">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274A8A">
        <w:rPr>
          <w:rFonts w:ascii="Times New Roman" w:eastAsiaTheme="minorEastAsia" w:hAnsi="Times New Roman" w:cs="Times New Roman"/>
          <w:b/>
          <w:bCs/>
          <w:sz w:val="24"/>
          <w:szCs w:val="24"/>
        </w:rPr>
        <w:t>.2.2 Temperature and Population</w:t>
      </w:r>
    </w:p>
    <w:p w14:paraId="0B6E005E" w14:textId="009BB522" w:rsidR="00F00FF2" w:rsidRDefault="00F00FF2" w:rsidP="0028467F">
      <w:pPr>
        <w:spacing w:after="0" w:line="240" w:lineRule="auto"/>
        <w:jc w:val="both"/>
        <w:rPr>
          <w:rFonts w:ascii="Times New Roman" w:hAnsi="Times New Roman" w:cs="Times New Roman"/>
          <w:sz w:val="24"/>
          <w:szCs w:val="24"/>
        </w:rPr>
      </w:pPr>
      <w:r w:rsidRPr="00F00FF2">
        <w:rPr>
          <w:rFonts w:ascii="Times New Roman" w:hAnsi="Times New Roman" w:cs="Times New Roman"/>
          <w:sz w:val="24"/>
          <w:szCs w:val="24"/>
        </w:rPr>
        <w:t xml:space="preserve">Using the increasing average </w:t>
      </w:r>
      <w:r>
        <w:rPr>
          <w:rFonts w:ascii="Times New Roman" w:hAnsi="Times New Roman" w:cs="Times New Roman"/>
          <w:sz w:val="24"/>
          <w:szCs w:val="24"/>
        </w:rPr>
        <w:t>T</w:t>
      </w:r>
      <w:r w:rsidRPr="00F00FF2">
        <w:rPr>
          <w:rFonts w:ascii="Times New Roman" w:hAnsi="Times New Roman" w:cs="Times New Roman"/>
          <w:sz w:val="24"/>
          <w:szCs w:val="24"/>
        </w:rPr>
        <w:t xml:space="preserve"> as a proxy for rising GHG concentrations is a valid approach [28], as GHGs are well-established contributors to global warming and local </w:t>
      </w:r>
      <w:r>
        <w:rPr>
          <w:rFonts w:ascii="Times New Roman" w:hAnsi="Times New Roman" w:cs="Times New Roman"/>
          <w:sz w:val="24"/>
          <w:szCs w:val="24"/>
        </w:rPr>
        <w:t>T</w:t>
      </w:r>
      <w:r w:rsidRPr="00F00FF2">
        <w:rPr>
          <w:rFonts w:ascii="Times New Roman" w:hAnsi="Times New Roman" w:cs="Times New Roman"/>
          <w:sz w:val="24"/>
          <w:szCs w:val="24"/>
        </w:rPr>
        <w:t xml:space="preserve"> changes. </w:t>
      </w:r>
      <w:r>
        <w:rPr>
          <w:rFonts w:ascii="Times New Roman" w:hAnsi="Times New Roman" w:cs="Times New Roman"/>
          <w:sz w:val="24"/>
          <w:szCs w:val="24"/>
        </w:rPr>
        <w:t>In this section, we</w:t>
      </w:r>
      <w:r w:rsidRPr="00F00FF2">
        <w:rPr>
          <w:rFonts w:ascii="Times New Roman" w:hAnsi="Times New Roman" w:cs="Times New Roman"/>
          <w:sz w:val="24"/>
          <w:szCs w:val="24"/>
        </w:rPr>
        <w:t xml:space="preserve"> examine the effects of population growth, </w:t>
      </w:r>
      <w:r>
        <w:rPr>
          <w:rFonts w:ascii="Times New Roman" w:hAnsi="Times New Roman" w:cs="Times New Roman"/>
          <w:sz w:val="24"/>
          <w:szCs w:val="24"/>
        </w:rPr>
        <w:t>T</w:t>
      </w:r>
      <w:r w:rsidRPr="00F00FF2">
        <w:rPr>
          <w:rFonts w:ascii="Times New Roman" w:hAnsi="Times New Roman" w:cs="Times New Roman"/>
          <w:sz w:val="24"/>
          <w:szCs w:val="24"/>
        </w:rPr>
        <w:t xml:space="preserve">, and other weather parameters. GHGs trap heat in the atmosphere, leading to increased global and regional </w:t>
      </w:r>
      <w:r>
        <w:rPr>
          <w:rFonts w:ascii="Times New Roman" w:hAnsi="Times New Roman" w:cs="Times New Roman"/>
          <w:sz w:val="24"/>
          <w:szCs w:val="24"/>
        </w:rPr>
        <w:t>T</w:t>
      </w:r>
      <w:r w:rsidRPr="00F00FF2">
        <w:rPr>
          <w:rFonts w:ascii="Times New Roman" w:hAnsi="Times New Roman" w:cs="Times New Roman"/>
          <w:sz w:val="24"/>
          <w:szCs w:val="24"/>
        </w:rPr>
        <w:t xml:space="preserve">s. As their concentration grows, </w:t>
      </w:r>
      <w:r>
        <w:rPr>
          <w:rFonts w:ascii="Times New Roman" w:hAnsi="Times New Roman" w:cs="Times New Roman"/>
          <w:sz w:val="24"/>
          <w:szCs w:val="24"/>
        </w:rPr>
        <w:t>T</w:t>
      </w:r>
      <w:r w:rsidRPr="00F00FF2">
        <w:rPr>
          <w:rFonts w:ascii="Times New Roman" w:hAnsi="Times New Roman" w:cs="Times New Roman"/>
          <w:sz w:val="24"/>
          <w:szCs w:val="24"/>
        </w:rPr>
        <w:t xml:space="preserve">s rise correspondingly. According to [28], analyzing the trend of increasing average </w:t>
      </w:r>
      <w:r>
        <w:rPr>
          <w:rFonts w:ascii="Times New Roman" w:hAnsi="Times New Roman" w:cs="Times New Roman"/>
          <w:sz w:val="24"/>
          <w:szCs w:val="24"/>
        </w:rPr>
        <w:t>T</w:t>
      </w:r>
      <w:r w:rsidRPr="00F00FF2">
        <w:rPr>
          <w:rFonts w:ascii="Times New Roman" w:hAnsi="Times New Roman" w:cs="Times New Roman"/>
          <w:sz w:val="24"/>
          <w:szCs w:val="24"/>
        </w:rPr>
        <w:t>s in a specific town can reveal potential correlations with rising GHG levels, particularly if the data demonstrates a consistent upward trajectory over time.</w:t>
      </w:r>
    </w:p>
    <w:p w14:paraId="7DA8AB0D" w14:textId="008D53E0" w:rsidR="00E857A9" w:rsidRPr="00C36E48" w:rsidRDefault="00F00FF2" w:rsidP="00E857A9">
      <w:pPr>
        <w:spacing w:after="0" w:line="240" w:lineRule="auto"/>
        <w:jc w:val="both"/>
        <w:rPr>
          <w:rFonts w:ascii="Times New Roman" w:eastAsiaTheme="minorEastAsia" w:hAnsi="Times New Roman" w:cs="Times New Roman"/>
          <w:sz w:val="24"/>
          <w:szCs w:val="24"/>
        </w:rPr>
      </w:pPr>
      <w:r w:rsidRPr="00F00FF2">
        <w:rPr>
          <w:rFonts w:ascii="Times New Roman" w:eastAsiaTheme="minorEastAsia" w:hAnsi="Times New Roman" w:cs="Times New Roman"/>
          <w:sz w:val="24"/>
          <w:szCs w:val="24"/>
        </w:rPr>
        <w:t xml:space="preserve">Fig 5 shows the relationship between </w:t>
      </w:r>
      <w:r>
        <w:rPr>
          <w:rFonts w:ascii="Times New Roman" w:eastAsiaTheme="minorEastAsia" w:hAnsi="Times New Roman" w:cs="Times New Roman"/>
          <w:sz w:val="24"/>
          <w:szCs w:val="24"/>
        </w:rPr>
        <w:t>T</w:t>
      </w:r>
      <w:r w:rsidRPr="00F00FF2">
        <w:rPr>
          <w:rFonts w:ascii="Times New Roman" w:eastAsiaTheme="minorEastAsia" w:hAnsi="Times New Roman" w:cs="Times New Roman"/>
          <w:sz w:val="24"/>
          <w:szCs w:val="24"/>
        </w:rPr>
        <w:t xml:space="preserve"> and population in Onitsha and Nnewi, revealing a steady rise in </w:t>
      </w:r>
      <w:r>
        <w:rPr>
          <w:rFonts w:ascii="Times New Roman" w:eastAsiaTheme="minorEastAsia" w:hAnsi="Times New Roman" w:cs="Times New Roman"/>
          <w:sz w:val="24"/>
          <w:szCs w:val="24"/>
        </w:rPr>
        <w:t>T</w:t>
      </w:r>
      <w:r w:rsidRPr="00F00FF2">
        <w:rPr>
          <w:rFonts w:ascii="Times New Roman" w:eastAsiaTheme="minorEastAsia" w:hAnsi="Times New Roman" w:cs="Times New Roman"/>
          <w:sz w:val="24"/>
          <w:szCs w:val="24"/>
        </w:rPr>
        <w:t xml:space="preserve"> with population growth. The slope of the </w:t>
      </w:r>
      <w:r>
        <w:rPr>
          <w:rFonts w:ascii="Times New Roman" w:eastAsiaTheme="minorEastAsia" w:hAnsi="Times New Roman" w:cs="Times New Roman"/>
          <w:sz w:val="24"/>
          <w:szCs w:val="24"/>
        </w:rPr>
        <w:t>T</w:t>
      </w:r>
      <w:r w:rsidRPr="00F00FF2">
        <w:rPr>
          <w:rFonts w:ascii="Times New Roman" w:eastAsiaTheme="minorEastAsia" w:hAnsi="Times New Roman" w:cs="Times New Roman"/>
          <w:sz w:val="24"/>
          <w:szCs w:val="24"/>
        </w:rPr>
        <w:t xml:space="preserve"> increase is steeper in Onitsha, likely due to heightened GHG emissions from human activities associated with larger populations. Key contributors include transportation (vehicles burning gasoline and diesel</w:t>
      </w:r>
      <w:r w:rsidR="007E6BE6">
        <w:rPr>
          <w:rFonts w:ascii="Times New Roman" w:eastAsiaTheme="minorEastAsia" w:hAnsi="Times New Roman" w:cs="Times New Roman"/>
          <w:sz w:val="24"/>
          <w:szCs w:val="24"/>
        </w:rPr>
        <w:t xml:space="preserve"> [25]</w:t>
      </w:r>
      <w:r w:rsidRPr="00F00FF2">
        <w:rPr>
          <w:rFonts w:ascii="Times New Roman" w:eastAsiaTheme="minorEastAsia" w:hAnsi="Times New Roman" w:cs="Times New Roman"/>
          <w:sz w:val="24"/>
          <w:szCs w:val="24"/>
        </w:rPr>
        <w:t>), industrial processes (fossil fuel combustion and chemical production</w:t>
      </w:r>
      <w:r w:rsidR="007E6BE6">
        <w:rPr>
          <w:rFonts w:ascii="Times New Roman" w:eastAsiaTheme="minorEastAsia" w:hAnsi="Times New Roman" w:cs="Times New Roman"/>
          <w:sz w:val="24"/>
          <w:szCs w:val="24"/>
        </w:rPr>
        <w:t xml:space="preserve"> [25]</w:t>
      </w:r>
      <w:r w:rsidRPr="00F00FF2">
        <w:rPr>
          <w:rFonts w:ascii="Times New Roman" w:eastAsiaTheme="minorEastAsia" w:hAnsi="Times New Roman" w:cs="Times New Roman"/>
          <w:sz w:val="24"/>
          <w:szCs w:val="24"/>
        </w:rPr>
        <w:t xml:space="preserve">), and agricultural practices (livestock emitting </w:t>
      </w:r>
      <w:r>
        <w:rPr>
          <w:rFonts w:ascii="Times New Roman" w:eastAsiaTheme="minorEastAsia" w:hAnsi="Times New Roman" w:cs="Times New Roman"/>
          <w:sz w:val="24"/>
          <w:szCs w:val="24"/>
        </w:rPr>
        <w:t>CH</w:t>
      </w:r>
      <w:r w:rsidRPr="00F00FF2">
        <w:rPr>
          <w:rFonts w:ascii="Times New Roman" w:eastAsiaTheme="minorEastAsia" w:hAnsi="Times New Roman" w:cs="Times New Roman"/>
          <w:sz w:val="24"/>
          <w:szCs w:val="24"/>
          <w:vertAlign w:val="subscript"/>
        </w:rPr>
        <w:t>4</w:t>
      </w:r>
      <w:r w:rsidRPr="00F00FF2">
        <w:rPr>
          <w:rFonts w:ascii="Times New Roman" w:eastAsiaTheme="minorEastAsia" w:hAnsi="Times New Roman" w:cs="Times New Roman"/>
          <w:sz w:val="24"/>
          <w:szCs w:val="24"/>
        </w:rPr>
        <w:t xml:space="preserve"> and synthetic fertilizers releasing </w:t>
      </w:r>
      <w:r>
        <w:rPr>
          <w:rFonts w:ascii="Times New Roman" w:eastAsiaTheme="minorEastAsia" w:hAnsi="Times New Roman" w:cs="Times New Roman"/>
          <w:sz w:val="24"/>
          <w:szCs w:val="24"/>
        </w:rPr>
        <w:t>NO</w:t>
      </w:r>
      <w:r w:rsidR="007E6BE6">
        <w:rPr>
          <w:rFonts w:ascii="Times New Roman" w:eastAsiaTheme="minorEastAsia" w:hAnsi="Times New Roman" w:cs="Times New Roman"/>
          <w:sz w:val="24"/>
          <w:szCs w:val="24"/>
          <w:vertAlign w:val="subscript"/>
        </w:rPr>
        <w:t>x</w:t>
      </w:r>
      <w:r w:rsidR="007E6BE6">
        <w:rPr>
          <w:rFonts w:ascii="Times New Roman" w:eastAsiaTheme="minorEastAsia" w:hAnsi="Times New Roman" w:cs="Times New Roman"/>
          <w:sz w:val="24"/>
          <w:szCs w:val="24"/>
        </w:rPr>
        <w:t xml:space="preserve"> [18]</w:t>
      </w:r>
      <w:r w:rsidRPr="00F00FF2">
        <w:rPr>
          <w:rFonts w:ascii="Times New Roman" w:eastAsiaTheme="minorEastAsia" w:hAnsi="Times New Roman" w:cs="Times New Roman"/>
          <w:sz w:val="24"/>
          <w:szCs w:val="24"/>
        </w:rPr>
        <w:t>). Additional factors include deforestation, urbanization, and soil degradation, which reduce carbon sequestration and release CO₂</w:t>
      </w:r>
      <w:r w:rsidR="007E6BE6">
        <w:rPr>
          <w:rFonts w:ascii="Times New Roman" w:eastAsiaTheme="minorEastAsia" w:hAnsi="Times New Roman" w:cs="Times New Roman"/>
          <w:sz w:val="24"/>
          <w:szCs w:val="24"/>
        </w:rPr>
        <w:t xml:space="preserve"> [72-73]</w:t>
      </w:r>
      <w:r w:rsidRPr="00F00FF2">
        <w:rPr>
          <w:rFonts w:ascii="Times New Roman" w:eastAsiaTheme="minorEastAsia" w:hAnsi="Times New Roman" w:cs="Times New Roman"/>
          <w:sz w:val="24"/>
          <w:szCs w:val="24"/>
        </w:rPr>
        <w:t>. Organic waste decomposition in landfills and wastewater treatment also emit methane, while hydrofluorocarbons (HFCs) from refrigerants and industrial aerosols contribute significantly to GHG emissions</w:t>
      </w:r>
      <w:r w:rsidR="007E6BE6">
        <w:rPr>
          <w:rFonts w:ascii="Times New Roman" w:eastAsiaTheme="minorEastAsia" w:hAnsi="Times New Roman" w:cs="Times New Roman"/>
          <w:sz w:val="24"/>
          <w:szCs w:val="24"/>
        </w:rPr>
        <w:t xml:space="preserve"> [72-73]</w:t>
      </w:r>
      <w:r w:rsidR="007E6BE6" w:rsidRPr="00F00FF2">
        <w:rPr>
          <w:rFonts w:ascii="Times New Roman" w:eastAsiaTheme="minorEastAsia" w:hAnsi="Times New Roman" w:cs="Times New Roman"/>
          <w:sz w:val="24"/>
          <w:szCs w:val="24"/>
        </w:rPr>
        <w:t xml:space="preserve">. </w:t>
      </w:r>
      <w:r w:rsidR="00E857A9">
        <w:rPr>
          <w:rFonts w:ascii="Times New Roman" w:eastAsiaTheme="minorEastAsia" w:hAnsi="Times New Roman" w:cs="Times New Roman"/>
          <w:sz w:val="24"/>
          <w:szCs w:val="24"/>
        </w:rPr>
        <w:t xml:space="preserve">These activities increase with population – the demand for goods, services, energy needs, waste disposals/management, and control of flood water and erosions (which is endemic in Anambra </w:t>
      </w:r>
      <w:r w:rsidR="00E857A9" w:rsidRPr="000E4A27">
        <w:rPr>
          <w:rFonts w:ascii="Times New Roman" w:eastAsiaTheme="minorEastAsia" w:hAnsi="Times New Roman" w:cs="Times New Roman"/>
          <w:sz w:val="24"/>
          <w:szCs w:val="24"/>
        </w:rPr>
        <w:t>state</w:t>
      </w:r>
      <w:r w:rsidR="00E857A9">
        <w:rPr>
          <w:rFonts w:ascii="Times New Roman" w:eastAsiaTheme="minorEastAsia" w:hAnsi="Times New Roman" w:cs="Times New Roman"/>
          <w:sz w:val="24"/>
          <w:szCs w:val="24"/>
        </w:rPr>
        <w:t xml:space="preserve"> [54, 45]</w:t>
      </w:r>
      <w:r w:rsidR="00E857A9" w:rsidRPr="000E4A27">
        <w:rPr>
          <w:rFonts w:ascii="Times New Roman" w:eastAsiaTheme="minorEastAsia" w:hAnsi="Times New Roman" w:cs="Times New Roman"/>
          <w:sz w:val="24"/>
          <w:szCs w:val="24"/>
        </w:rPr>
        <w:t xml:space="preserve"> </w:t>
      </w:r>
      <w:r w:rsidR="00E857A9">
        <w:rPr>
          <w:rFonts w:ascii="Times New Roman" w:eastAsiaTheme="minorEastAsia" w:hAnsi="Times New Roman" w:cs="Times New Roman"/>
          <w:sz w:val="24"/>
          <w:szCs w:val="24"/>
        </w:rPr>
        <w:t xml:space="preserve"> and their effect are more prevalent in Onitsha than Nnewi as indicated by the steeper slope in Fig 5.</w:t>
      </w:r>
    </w:p>
    <w:p w14:paraId="47720EA5" w14:textId="77777777" w:rsidR="00E857A9" w:rsidRDefault="00E857A9" w:rsidP="00274A8A">
      <w:pPr>
        <w:spacing w:after="0" w:line="240" w:lineRule="auto"/>
        <w:jc w:val="both"/>
        <w:rPr>
          <w:rFonts w:ascii="Times New Roman" w:hAnsi="Times New Roman" w:cs="Times New Roman"/>
          <w:sz w:val="24"/>
          <w:szCs w:val="24"/>
        </w:rPr>
      </w:pPr>
    </w:p>
    <w:p w14:paraId="3038E7D8" w14:textId="77777777" w:rsidR="00274A8A" w:rsidRPr="00170F17" w:rsidRDefault="00274A8A" w:rsidP="00274A8A">
      <w:pPr>
        <w:spacing w:after="0" w:line="480" w:lineRule="auto"/>
        <w:jc w:val="both"/>
        <w:rPr>
          <w:rFonts w:ascii="Times New Roman" w:hAnsi="Times New Roman" w:cs="Times New Roman"/>
          <w:sz w:val="24"/>
          <w:szCs w:val="24"/>
        </w:rPr>
      </w:pPr>
      <w:r>
        <w:rPr>
          <w:noProof/>
        </w:rPr>
        <w:lastRenderedPageBreak/>
        <w:drawing>
          <wp:inline distT="0" distB="0" distL="0" distR="0" wp14:anchorId="189A843A" wp14:editId="60F322B8">
            <wp:extent cx="6153150" cy="4029075"/>
            <wp:effectExtent l="0" t="0" r="0" b="9525"/>
            <wp:docPr id="1755322981" name="Chart 1">
              <a:extLst xmlns:a="http://schemas.openxmlformats.org/drawingml/2006/main">
                <a:ext uri="{FF2B5EF4-FFF2-40B4-BE49-F238E27FC236}">
                  <a16:creationId xmlns:a16="http://schemas.microsoft.com/office/drawing/2014/main" id="{15ACA672-4EC1-1216-9C57-B19EC9ECD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CCC4E0" w14:textId="1AF8FD8E" w:rsidR="00274A8A" w:rsidRPr="00120D28" w:rsidRDefault="00274A8A" w:rsidP="00274A8A">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5</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Temperature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w:t>
      </w:r>
      <w:r w:rsidR="00E857A9">
        <w:rPr>
          <w:rFonts w:ascii="Times New Roman" w:eastAsiaTheme="minorEastAsia" w:hAnsi="Times New Roman" w:cs="Times New Roman"/>
          <w:b/>
          <w:bCs/>
          <w:sz w:val="24"/>
          <w:szCs w:val="24"/>
        </w:rPr>
        <w:t>i</w:t>
      </w:r>
    </w:p>
    <w:p w14:paraId="0964F257" w14:textId="77777777" w:rsidR="00274A8A" w:rsidRDefault="00274A8A" w:rsidP="00274A8A">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3.2.3 Dewpoint, Humidity, Precipitation and Population</w:t>
      </w:r>
    </w:p>
    <w:p w14:paraId="0D83BBE4" w14:textId="2DD3C045" w:rsidR="00187632" w:rsidRDefault="00187632" w:rsidP="00187632">
      <w:pPr>
        <w:spacing w:after="0" w:line="240" w:lineRule="auto"/>
        <w:jc w:val="both"/>
        <w:rPr>
          <w:rFonts w:ascii="Times New Roman" w:eastAsiaTheme="minorEastAsia" w:hAnsi="Times New Roman" w:cs="Times New Roman"/>
          <w:sz w:val="24"/>
          <w:szCs w:val="24"/>
        </w:rPr>
      </w:pPr>
      <w:r w:rsidRPr="00187632">
        <w:rPr>
          <w:rFonts w:ascii="Times New Roman" w:eastAsiaTheme="minorEastAsia" w:hAnsi="Times New Roman" w:cs="Times New Roman"/>
          <w:sz w:val="24"/>
          <w:szCs w:val="24"/>
        </w:rPr>
        <w:t xml:space="preserve">Figs 6, 7, and 8 illustrate the relationships between </w:t>
      </w:r>
      <w:r>
        <w:rPr>
          <w:rFonts w:ascii="Times New Roman" w:eastAsiaTheme="minorEastAsia" w:hAnsi="Times New Roman" w:cs="Times New Roman"/>
          <w:sz w:val="24"/>
          <w:szCs w:val="24"/>
        </w:rPr>
        <w:t>DP</w:t>
      </w:r>
      <w:r w:rsidRPr="0018763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H</w:t>
      </w:r>
      <w:r w:rsidRPr="00187632">
        <w:rPr>
          <w:rFonts w:ascii="Times New Roman" w:eastAsiaTheme="minorEastAsia" w:hAnsi="Times New Roman" w:cs="Times New Roman"/>
          <w:sz w:val="24"/>
          <w:szCs w:val="24"/>
        </w:rPr>
        <w:t>, precipitation, and population in Onitsha and Nnewi. Correlation coefficients in Table 3 indicate that population growth, representing increas</w:t>
      </w:r>
      <w:r>
        <w:rPr>
          <w:rFonts w:ascii="Times New Roman" w:eastAsiaTheme="minorEastAsia" w:hAnsi="Times New Roman" w:cs="Times New Roman"/>
          <w:sz w:val="24"/>
          <w:szCs w:val="24"/>
        </w:rPr>
        <w:t xml:space="preserve">ed </w:t>
      </w:r>
      <w:r w:rsidRPr="00187632">
        <w:rPr>
          <w:rFonts w:ascii="Times New Roman" w:eastAsiaTheme="minorEastAsia" w:hAnsi="Times New Roman" w:cs="Times New Roman"/>
          <w:sz w:val="24"/>
          <w:szCs w:val="24"/>
        </w:rPr>
        <w:t xml:space="preserve">GHG emissions from human activities, strongly impacts dewpoint (r ≈ -8.8) and humidity (r ≈ -0.9) negatively in both locations. In contrast, its effect on precipitation is minimal (r ≈ -0.2 for Onitsha and r ≈ 0.2 for Nnewi). The slopes of the linear </w:t>
      </w:r>
      <w:r>
        <w:rPr>
          <w:rFonts w:ascii="Times New Roman" w:eastAsiaTheme="minorEastAsia" w:hAnsi="Times New Roman" w:cs="Times New Roman"/>
          <w:sz w:val="24"/>
          <w:szCs w:val="24"/>
        </w:rPr>
        <w:t>fit</w:t>
      </w:r>
      <w:r w:rsidRPr="00187632">
        <w:rPr>
          <w:rFonts w:ascii="Times New Roman" w:eastAsiaTheme="minorEastAsia" w:hAnsi="Times New Roman" w:cs="Times New Roman"/>
          <w:sz w:val="24"/>
          <w:szCs w:val="24"/>
        </w:rPr>
        <w:t xml:space="preserve"> in Figs 7 and 8 suggest that population growth similarly influences </w:t>
      </w:r>
      <w:r>
        <w:rPr>
          <w:rFonts w:ascii="Times New Roman" w:eastAsiaTheme="minorEastAsia" w:hAnsi="Times New Roman" w:cs="Times New Roman"/>
          <w:sz w:val="24"/>
          <w:szCs w:val="24"/>
        </w:rPr>
        <w:t>DP</w:t>
      </w:r>
      <w:r w:rsidRPr="00187632">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H</w:t>
      </w:r>
      <w:r w:rsidRPr="00187632">
        <w:rPr>
          <w:rFonts w:ascii="Times New Roman" w:eastAsiaTheme="minorEastAsia" w:hAnsi="Times New Roman" w:cs="Times New Roman"/>
          <w:sz w:val="24"/>
          <w:szCs w:val="24"/>
        </w:rPr>
        <w:t xml:space="preserve"> in both towns.</w:t>
      </w:r>
      <w:r w:rsidR="003B7B5D">
        <w:rPr>
          <w:rFonts w:ascii="Times New Roman" w:eastAsiaTheme="minorEastAsia" w:hAnsi="Times New Roman" w:cs="Times New Roman"/>
          <w:sz w:val="24"/>
          <w:szCs w:val="24"/>
        </w:rPr>
        <w:t xml:space="preserve"> </w:t>
      </w:r>
      <w:r w:rsidRPr="00187632">
        <w:rPr>
          <w:rFonts w:ascii="Times New Roman" w:eastAsiaTheme="minorEastAsia" w:hAnsi="Times New Roman" w:cs="Times New Roman"/>
          <w:sz w:val="24"/>
          <w:szCs w:val="24"/>
        </w:rPr>
        <w:t xml:space="preserve">These effects are primarily driven by urbanization, deforestation, and broader anthropogenic climate changes, which disrupt local atmospheric conditions and moisture dynamics. Human activities in densely populated areas significantly alter the </w:t>
      </w:r>
      <w:r>
        <w:rPr>
          <w:rFonts w:ascii="Times New Roman" w:eastAsiaTheme="minorEastAsia" w:hAnsi="Times New Roman" w:cs="Times New Roman"/>
          <w:sz w:val="24"/>
          <w:szCs w:val="24"/>
        </w:rPr>
        <w:t>regional</w:t>
      </w:r>
      <w:r w:rsidRPr="00187632">
        <w:rPr>
          <w:rFonts w:ascii="Times New Roman" w:eastAsiaTheme="minorEastAsia" w:hAnsi="Times New Roman" w:cs="Times New Roman"/>
          <w:sz w:val="24"/>
          <w:szCs w:val="24"/>
        </w:rPr>
        <w:t xml:space="preserve"> climate through land-use changes, reduced vegetation, and increased </w:t>
      </w:r>
      <w:r>
        <w:rPr>
          <w:rFonts w:ascii="Times New Roman" w:eastAsiaTheme="minorEastAsia" w:hAnsi="Times New Roman" w:cs="Times New Roman"/>
          <w:sz w:val="24"/>
          <w:szCs w:val="24"/>
        </w:rPr>
        <w:t xml:space="preserve">GHG </w:t>
      </w:r>
      <w:r w:rsidRPr="00187632">
        <w:rPr>
          <w:rFonts w:ascii="Times New Roman" w:eastAsiaTheme="minorEastAsia" w:hAnsi="Times New Roman" w:cs="Times New Roman"/>
          <w:sz w:val="24"/>
          <w:szCs w:val="24"/>
        </w:rPr>
        <w:t xml:space="preserve">emissions, impacting atmospheric moisture behavior </w:t>
      </w:r>
      <w:r>
        <w:rPr>
          <w:rFonts w:ascii="Times New Roman" w:eastAsiaTheme="minorEastAsia" w:hAnsi="Times New Roman" w:cs="Times New Roman"/>
          <w:sz w:val="24"/>
          <w:szCs w:val="24"/>
        </w:rPr>
        <w:t xml:space="preserve">[51, </w:t>
      </w:r>
      <w:r w:rsidR="00DE5985">
        <w:rPr>
          <w:rFonts w:ascii="Times New Roman" w:eastAsiaTheme="minorEastAsia" w:hAnsi="Times New Roman" w:cs="Times New Roman"/>
          <w:sz w:val="24"/>
          <w:szCs w:val="24"/>
        </w:rPr>
        <w:t xml:space="preserve">52, </w:t>
      </w:r>
      <w:r>
        <w:rPr>
          <w:rFonts w:ascii="Times New Roman" w:eastAsiaTheme="minorEastAsia" w:hAnsi="Times New Roman" w:cs="Times New Roman"/>
          <w:sz w:val="24"/>
          <w:szCs w:val="24"/>
        </w:rPr>
        <w:t>32, 17, 73].</w:t>
      </w:r>
      <w:r w:rsidR="003B7B5D">
        <w:rPr>
          <w:rFonts w:ascii="Times New Roman" w:eastAsiaTheme="minorEastAsia" w:hAnsi="Times New Roman" w:cs="Times New Roman"/>
          <w:sz w:val="24"/>
          <w:szCs w:val="24"/>
        </w:rPr>
        <w:t xml:space="preserve"> </w:t>
      </w:r>
    </w:p>
    <w:p w14:paraId="6B1FCCED" w14:textId="500387AB" w:rsidR="003B7B5D" w:rsidRPr="00187632" w:rsidRDefault="003B7B5D" w:rsidP="00187632">
      <w:pPr>
        <w:spacing w:after="0" w:line="240" w:lineRule="auto"/>
        <w:jc w:val="both"/>
        <w:rPr>
          <w:rFonts w:ascii="Times New Roman" w:eastAsiaTheme="minorEastAsia" w:hAnsi="Times New Roman" w:cs="Times New Roman"/>
          <w:sz w:val="24"/>
          <w:szCs w:val="24"/>
        </w:rPr>
      </w:pPr>
      <w:r w:rsidRPr="00C755F9">
        <w:rPr>
          <w:rFonts w:ascii="Times New Roman" w:hAnsi="Times New Roman" w:cs="Times New Roman"/>
          <w:sz w:val="24"/>
          <w:szCs w:val="24"/>
        </w:rPr>
        <w:t xml:space="preserve">Our results indicated that human activities and the production of </w:t>
      </w:r>
      <w:r>
        <w:rPr>
          <w:rFonts w:ascii="Times New Roman" w:hAnsi="Times New Roman" w:cs="Times New Roman"/>
          <w:sz w:val="24"/>
          <w:szCs w:val="24"/>
        </w:rPr>
        <w:t>GHG</w:t>
      </w:r>
      <w:r w:rsidRPr="00C755F9">
        <w:rPr>
          <w:rFonts w:ascii="Times New Roman" w:hAnsi="Times New Roman" w:cs="Times New Roman"/>
          <w:sz w:val="24"/>
          <w:szCs w:val="24"/>
        </w:rPr>
        <w:t xml:space="preserve">s impact </w:t>
      </w:r>
      <w:r>
        <w:rPr>
          <w:rFonts w:ascii="Times New Roman" w:hAnsi="Times New Roman" w:cs="Times New Roman"/>
          <w:sz w:val="24"/>
          <w:szCs w:val="24"/>
        </w:rPr>
        <w:t>DP</w:t>
      </w:r>
      <w:r w:rsidRPr="00C755F9">
        <w:rPr>
          <w:rFonts w:ascii="Times New Roman" w:hAnsi="Times New Roman" w:cs="Times New Roman"/>
          <w:sz w:val="24"/>
          <w:szCs w:val="24"/>
        </w:rPr>
        <w:t xml:space="preserve"> and humidity</w:t>
      </w:r>
      <w:r>
        <w:rPr>
          <w:rFonts w:ascii="Times New Roman" w:hAnsi="Times New Roman" w:cs="Times New Roman"/>
          <w:sz w:val="24"/>
          <w:szCs w:val="24"/>
        </w:rPr>
        <w:t xml:space="preserve"> </w:t>
      </w:r>
      <w:r w:rsidRPr="00C755F9">
        <w:rPr>
          <w:rFonts w:ascii="Times New Roman" w:hAnsi="Times New Roman" w:cs="Times New Roman"/>
          <w:sz w:val="24"/>
          <w:szCs w:val="24"/>
        </w:rPr>
        <w:t xml:space="preserve">negatively. The negligible impact of human activities results we obtained from </w:t>
      </w:r>
      <w:r>
        <w:rPr>
          <w:rFonts w:ascii="Times New Roman" w:hAnsi="Times New Roman" w:cs="Times New Roman"/>
          <w:sz w:val="24"/>
          <w:szCs w:val="24"/>
        </w:rPr>
        <w:t xml:space="preserve">the regression analysis on </w:t>
      </w:r>
      <w:r w:rsidRPr="00C755F9">
        <w:rPr>
          <w:rFonts w:ascii="Times New Roman" w:hAnsi="Times New Roman" w:cs="Times New Roman"/>
          <w:sz w:val="24"/>
          <w:szCs w:val="24"/>
        </w:rPr>
        <w:t>human activities/</w:t>
      </w:r>
      <w:r>
        <w:rPr>
          <w:rFonts w:ascii="Times New Roman" w:hAnsi="Times New Roman" w:cs="Times New Roman"/>
          <w:sz w:val="24"/>
          <w:szCs w:val="24"/>
        </w:rPr>
        <w:t>GHGs</w:t>
      </w:r>
      <w:r w:rsidRPr="00C755F9">
        <w:rPr>
          <w:rFonts w:ascii="Times New Roman" w:hAnsi="Times New Roman" w:cs="Times New Roman"/>
          <w:sz w:val="24"/>
          <w:szCs w:val="24"/>
        </w:rPr>
        <w:t xml:space="preserve"> on precipitation can be attributed to </w:t>
      </w:r>
      <w:r>
        <w:rPr>
          <w:rFonts w:ascii="Times New Roman" w:hAnsi="Times New Roman" w:cs="Times New Roman"/>
          <w:sz w:val="24"/>
          <w:szCs w:val="24"/>
        </w:rPr>
        <w:t>u</w:t>
      </w:r>
      <w:r w:rsidRPr="00C755F9">
        <w:rPr>
          <w:rFonts w:ascii="Times New Roman" w:hAnsi="Times New Roman" w:cs="Times New Roman"/>
          <w:sz w:val="24"/>
          <w:szCs w:val="24"/>
        </w:rPr>
        <w:t>rbanization which may increase precipitation and deforestation which can reduce precipitation.</w:t>
      </w:r>
    </w:p>
    <w:p w14:paraId="3907D1F3" w14:textId="77777777" w:rsidR="00274A8A" w:rsidRDefault="00274A8A" w:rsidP="00274A8A">
      <w:pPr>
        <w:spacing w:after="0" w:line="480" w:lineRule="auto"/>
        <w:jc w:val="both"/>
        <w:rPr>
          <w:rFonts w:ascii="Times New Roman" w:eastAsiaTheme="minorEastAsia" w:hAnsi="Times New Roman" w:cs="Times New Roman"/>
          <w:sz w:val="24"/>
          <w:szCs w:val="24"/>
        </w:rPr>
      </w:pPr>
      <w:r>
        <w:rPr>
          <w:noProof/>
        </w:rPr>
        <w:lastRenderedPageBreak/>
        <w:drawing>
          <wp:inline distT="0" distB="0" distL="0" distR="0" wp14:anchorId="00313CC7" wp14:editId="7BF54062">
            <wp:extent cx="5943600" cy="2318761"/>
            <wp:effectExtent l="0" t="0" r="0" b="5715"/>
            <wp:docPr id="178365802" name="Chart 1">
              <a:extLst xmlns:a="http://schemas.openxmlformats.org/drawingml/2006/main">
                <a:ext uri="{FF2B5EF4-FFF2-40B4-BE49-F238E27FC236}">
                  <a16:creationId xmlns:a16="http://schemas.microsoft.com/office/drawing/2014/main" id="{DA0E5612-FFD5-E27F-5712-3C3DBBE18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0E3097" w14:textId="77777777" w:rsidR="00274A8A" w:rsidRDefault="00274A8A" w:rsidP="00274A8A">
      <w:pPr>
        <w:spacing w:after="0" w:line="240" w:lineRule="auto"/>
        <w:jc w:val="both"/>
        <w:rPr>
          <w:rFonts w:ascii="Times New Roman" w:eastAsiaTheme="minorEastAsia" w:hAnsi="Times New Roman" w:cs="Times New Roman"/>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6</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Dewpoint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p>
    <w:p w14:paraId="476B09F1" w14:textId="77777777" w:rsidR="00274A8A" w:rsidRDefault="00274A8A" w:rsidP="00274A8A">
      <w:pPr>
        <w:spacing w:after="0" w:line="480" w:lineRule="auto"/>
        <w:jc w:val="both"/>
        <w:rPr>
          <w:rFonts w:ascii="Times New Roman" w:eastAsiaTheme="minorEastAsia" w:hAnsi="Times New Roman" w:cs="Times New Roman"/>
          <w:sz w:val="24"/>
          <w:szCs w:val="24"/>
        </w:rPr>
      </w:pPr>
      <w:r>
        <w:rPr>
          <w:noProof/>
        </w:rPr>
        <w:drawing>
          <wp:inline distT="0" distB="0" distL="0" distR="0" wp14:anchorId="0AB3E23F" wp14:editId="31FB494E">
            <wp:extent cx="5791200" cy="2047875"/>
            <wp:effectExtent l="0" t="0" r="0" b="9525"/>
            <wp:docPr id="873428878" name="Chart 1">
              <a:extLst xmlns:a="http://schemas.openxmlformats.org/drawingml/2006/main">
                <a:ext uri="{FF2B5EF4-FFF2-40B4-BE49-F238E27FC236}">
                  <a16:creationId xmlns:a16="http://schemas.microsoft.com/office/drawing/2014/main" id="{FB2C5E5E-3676-6CB8-1ABA-2E72E6CB5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692A68" w14:textId="77777777" w:rsidR="00274A8A" w:rsidRDefault="00274A8A" w:rsidP="00274A8A">
      <w:pPr>
        <w:spacing w:after="0" w:line="240" w:lineRule="auto"/>
        <w:jc w:val="both"/>
        <w:rPr>
          <w:rFonts w:ascii="Times New Roman" w:eastAsiaTheme="minorEastAsia" w:hAnsi="Times New Roman" w:cs="Times New Roman"/>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7</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Humidity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p>
    <w:p w14:paraId="0D8CB90B" w14:textId="77777777" w:rsidR="00274A8A" w:rsidRDefault="00274A8A" w:rsidP="00274A8A">
      <w:pPr>
        <w:spacing w:after="0" w:line="480" w:lineRule="auto"/>
        <w:jc w:val="both"/>
        <w:rPr>
          <w:rFonts w:ascii="Times New Roman" w:eastAsiaTheme="minorEastAsia" w:hAnsi="Times New Roman" w:cs="Times New Roman"/>
          <w:sz w:val="24"/>
          <w:szCs w:val="24"/>
        </w:rPr>
      </w:pPr>
      <w:r>
        <w:rPr>
          <w:noProof/>
        </w:rPr>
        <w:drawing>
          <wp:inline distT="0" distB="0" distL="0" distR="0" wp14:anchorId="1037F494" wp14:editId="452BD681">
            <wp:extent cx="5676900" cy="1876425"/>
            <wp:effectExtent l="0" t="0" r="0" b="9525"/>
            <wp:docPr id="2078678625" name="Chart 1">
              <a:extLst xmlns:a="http://schemas.openxmlformats.org/drawingml/2006/main">
                <a:ext uri="{FF2B5EF4-FFF2-40B4-BE49-F238E27FC236}">
                  <a16:creationId xmlns:a16="http://schemas.microsoft.com/office/drawing/2014/main" id="{8D9B1F07-EDDE-252A-6A24-1EEFF545C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A385C7" w14:textId="77777777" w:rsidR="00274A8A" w:rsidRDefault="00274A8A" w:rsidP="00274A8A">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8</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Amount of Precipitation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p>
    <w:p w14:paraId="5F86ADDF" w14:textId="77777777" w:rsidR="00120D28" w:rsidRDefault="00120D28" w:rsidP="00274A8A">
      <w:pPr>
        <w:spacing w:after="0" w:line="240" w:lineRule="auto"/>
        <w:jc w:val="both"/>
        <w:rPr>
          <w:rFonts w:ascii="Times New Roman" w:eastAsiaTheme="minorEastAsia" w:hAnsi="Times New Roman" w:cs="Times New Roman"/>
          <w:sz w:val="24"/>
          <w:szCs w:val="24"/>
        </w:rPr>
      </w:pPr>
    </w:p>
    <w:p w14:paraId="556C1936" w14:textId="77777777" w:rsidR="003B7B5D" w:rsidRDefault="003B7B5D" w:rsidP="00CD2C73">
      <w:pPr>
        <w:spacing w:after="0" w:line="480" w:lineRule="auto"/>
        <w:jc w:val="both"/>
        <w:rPr>
          <w:rFonts w:ascii="Times New Roman" w:eastAsiaTheme="minorEastAsia" w:hAnsi="Times New Roman" w:cs="Times New Roman"/>
          <w:b/>
          <w:bCs/>
          <w:sz w:val="24"/>
          <w:szCs w:val="24"/>
        </w:rPr>
      </w:pPr>
    </w:p>
    <w:p w14:paraId="77096605" w14:textId="13D1D3D1" w:rsidR="00CD2C73" w:rsidRDefault="003B7B5D" w:rsidP="00CD2C73">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4</w:t>
      </w:r>
      <w:r w:rsidR="00CD2C73">
        <w:rPr>
          <w:rFonts w:ascii="Times New Roman" w:eastAsiaTheme="minorEastAsia" w:hAnsi="Times New Roman" w:cs="Times New Roman"/>
          <w:b/>
          <w:bCs/>
          <w:sz w:val="24"/>
          <w:szCs w:val="24"/>
        </w:rPr>
        <w:t>.2.4 Wind Speed, Cloud Cover, and Population.</w:t>
      </w:r>
    </w:p>
    <w:p w14:paraId="7288FC03" w14:textId="3D812110" w:rsidR="00551D80" w:rsidRPr="00551D80" w:rsidRDefault="0028467F" w:rsidP="00551D80">
      <w:pPr>
        <w:spacing w:after="0"/>
        <w:jc w:val="both"/>
        <w:rPr>
          <w:rFonts w:ascii="Times New Roman" w:eastAsiaTheme="minorEastAsia" w:hAnsi="Times New Roman" w:cs="Times New Roman"/>
          <w:sz w:val="24"/>
          <w:szCs w:val="24"/>
        </w:rPr>
      </w:pPr>
      <w:r w:rsidRPr="00B41578">
        <w:rPr>
          <w:rFonts w:ascii="Times New Roman" w:eastAsiaTheme="minorEastAsia" w:hAnsi="Times New Roman" w:cs="Times New Roman"/>
          <w:sz w:val="24"/>
          <w:szCs w:val="24"/>
        </w:rPr>
        <w:t xml:space="preserve">Fig </w:t>
      </w:r>
      <w:r>
        <w:rPr>
          <w:rFonts w:ascii="Times New Roman" w:eastAsiaTheme="minorEastAsia" w:hAnsi="Times New Roman" w:cs="Times New Roman"/>
          <w:sz w:val="24"/>
          <w:szCs w:val="24"/>
        </w:rPr>
        <w:t>9-10</w:t>
      </w:r>
      <w:r w:rsidRPr="00B41578">
        <w:rPr>
          <w:rFonts w:ascii="Times New Roman" w:eastAsiaTheme="minorEastAsia" w:hAnsi="Times New Roman" w:cs="Times New Roman"/>
          <w:sz w:val="24"/>
          <w:szCs w:val="24"/>
        </w:rPr>
        <w:t xml:space="preserve"> are the scatter plots of the </w:t>
      </w:r>
      <w:r w:rsidR="003B7B5D">
        <w:rPr>
          <w:rFonts w:ascii="Times New Roman" w:eastAsiaTheme="minorEastAsia" w:hAnsi="Times New Roman" w:cs="Times New Roman"/>
          <w:sz w:val="24"/>
          <w:szCs w:val="24"/>
        </w:rPr>
        <w:t>WS</w:t>
      </w:r>
      <w:r w:rsidRPr="00B41578">
        <w:rPr>
          <w:rFonts w:ascii="Times New Roman" w:eastAsiaTheme="minorEastAsia" w:hAnsi="Times New Roman" w:cs="Times New Roman"/>
          <w:sz w:val="24"/>
          <w:szCs w:val="24"/>
        </w:rPr>
        <w:t xml:space="preserve">, </w:t>
      </w:r>
      <w:r w:rsidR="003B7B5D">
        <w:rPr>
          <w:rFonts w:ascii="Times New Roman" w:eastAsiaTheme="minorEastAsia" w:hAnsi="Times New Roman" w:cs="Times New Roman"/>
          <w:sz w:val="24"/>
          <w:szCs w:val="24"/>
        </w:rPr>
        <w:t>CC</w:t>
      </w:r>
      <w:r w:rsidRPr="00B41578">
        <w:rPr>
          <w:rFonts w:ascii="Times New Roman" w:eastAsiaTheme="minorEastAsia" w:hAnsi="Times New Roman" w:cs="Times New Roman"/>
          <w:sz w:val="24"/>
          <w:szCs w:val="24"/>
        </w:rPr>
        <w:t>, and population</w:t>
      </w:r>
      <w:r>
        <w:rPr>
          <w:rFonts w:ascii="Times New Roman" w:eastAsiaTheme="minorEastAsia" w:hAnsi="Times New Roman" w:cs="Times New Roman"/>
          <w:sz w:val="24"/>
          <w:szCs w:val="24"/>
        </w:rPr>
        <w:t xml:space="preserve">. The correlation coefficients in Table 3 indicate that population affects </w:t>
      </w:r>
      <w:r w:rsidR="003B7B5D">
        <w:rPr>
          <w:rFonts w:ascii="Times New Roman" w:eastAsiaTheme="minorEastAsia" w:hAnsi="Times New Roman" w:cs="Times New Roman"/>
          <w:sz w:val="24"/>
          <w:szCs w:val="24"/>
        </w:rPr>
        <w:t>WS</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 ~0.5</m:t>
        </m:r>
      </m:oMath>
      <w:r>
        <w:rPr>
          <w:rFonts w:ascii="Times New Roman" w:eastAsiaTheme="minorEastAsia" w:hAnsi="Times New Roman" w:cs="Times New Roman"/>
          <w:sz w:val="24"/>
          <w:szCs w:val="24"/>
        </w:rPr>
        <w:t xml:space="preserve">), and </w:t>
      </w:r>
      <w:r w:rsidR="003B7B5D">
        <w:rPr>
          <w:rFonts w:ascii="Times New Roman" w:eastAsiaTheme="minorEastAsia" w:hAnsi="Times New Roman" w:cs="Times New Roman"/>
          <w:sz w:val="24"/>
          <w:szCs w:val="24"/>
        </w:rPr>
        <w:t>CC</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 ≤0.2</m:t>
        </m:r>
      </m:oMath>
      <w:r>
        <w:rPr>
          <w:rFonts w:ascii="Times New Roman" w:eastAsiaTheme="minorEastAsia" w:hAnsi="Times New Roman" w:cs="Times New Roman"/>
          <w:sz w:val="24"/>
          <w:szCs w:val="24"/>
        </w:rPr>
        <w:t xml:space="preserve">). Fig 9 </w:t>
      </w:r>
      <w:r w:rsidR="003B7B5D">
        <w:rPr>
          <w:rFonts w:ascii="Times New Roman" w:eastAsiaTheme="minorEastAsia" w:hAnsi="Times New Roman" w:cs="Times New Roman"/>
          <w:sz w:val="24"/>
          <w:szCs w:val="24"/>
        </w:rPr>
        <w:t>plots WS against the population at Onitsha and Nnewi. The simple linear regression shows that human activities' influence on WS is similar in both towns and is a direct relation,</w:t>
      </w:r>
      <w:r>
        <w:rPr>
          <w:rFonts w:ascii="Times New Roman" w:eastAsiaTheme="minorEastAsia" w:hAnsi="Times New Roman" w:cs="Times New Roman"/>
          <w:sz w:val="24"/>
          <w:szCs w:val="24"/>
        </w:rPr>
        <w:t xml:space="preserve"> as indicated by the slope</w:t>
      </w:r>
      <w:r w:rsidRPr="00551D80">
        <w:rPr>
          <w:rFonts w:ascii="Times New Roman" w:eastAsiaTheme="minorEastAsia" w:hAnsi="Times New Roman" w:cs="Times New Roman"/>
          <w:sz w:val="24"/>
          <w:szCs w:val="24"/>
        </w:rPr>
        <w:t xml:space="preserve">. </w:t>
      </w:r>
      <w:r w:rsidR="00551D80" w:rsidRPr="00551D80">
        <w:rPr>
          <w:rFonts w:ascii="Times New Roman" w:eastAsiaTheme="minorEastAsia" w:hAnsi="Times New Roman" w:cs="Times New Roman"/>
          <w:sz w:val="24"/>
          <w:szCs w:val="24"/>
        </w:rPr>
        <w:t xml:space="preserve">Human activities, as reflected in population growth, urbanization, and industrialization, contribute to increased </w:t>
      </w:r>
      <w:r w:rsidR="00551D80">
        <w:rPr>
          <w:rFonts w:ascii="Times New Roman" w:eastAsiaTheme="minorEastAsia" w:hAnsi="Times New Roman" w:cs="Times New Roman"/>
          <w:sz w:val="24"/>
          <w:szCs w:val="24"/>
        </w:rPr>
        <w:t>GHG</w:t>
      </w:r>
      <w:r w:rsidR="00551D80" w:rsidRPr="00551D80">
        <w:rPr>
          <w:rFonts w:ascii="Times New Roman" w:eastAsiaTheme="minorEastAsia" w:hAnsi="Times New Roman" w:cs="Times New Roman"/>
          <w:sz w:val="24"/>
          <w:szCs w:val="24"/>
        </w:rPr>
        <w:t xml:space="preserve"> emissions and significantly impact </w:t>
      </w:r>
      <w:r w:rsidR="00551D80">
        <w:rPr>
          <w:rFonts w:ascii="Times New Roman" w:eastAsiaTheme="minorEastAsia" w:hAnsi="Times New Roman" w:cs="Times New Roman"/>
          <w:sz w:val="24"/>
          <w:szCs w:val="24"/>
        </w:rPr>
        <w:t>WS</w:t>
      </w:r>
      <w:r w:rsidR="00551D80" w:rsidRPr="00551D80">
        <w:rPr>
          <w:rFonts w:ascii="Times New Roman" w:eastAsiaTheme="minorEastAsia" w:hAnsi="Times New Roman" w:cs="Times New Roman"/>
          <w:sz w:val="24"/>
          <w:szCs w:val="24"/>
        </w:rPr>
        <w:t xml:space="preserve"> hrough mechanisms such as the urban heat island effect, land-use changes, and pollution. In large cities, tall buildings and dense infrastructure create rough surfaces that increase surface friction, disrupting natural wind patterns and often reducing </w:t>
      </w:r>
      <w:r w:rsidR="00551D80">
        <w:rPr>
          <w:rFonts w:ascii="Times New Roman" w:eastAsiaTheme="minorEastAsia" w:hAnsi="Times New Roman" w:cs="Times New Roman"/>
          <w:sz w:val="24"/>
          <w:szCs w:val="24"/>
        </w:rPr>
        <w:t>WSs</w:t>
      </w:r>
      <w:r w:rsidR="00551D80" w:rsidRPr="00551D80">
        <w:rPr>
          <w:rFonts w:ascii="Times New Roman" w:eastAsiaTheme="minorEastAsia" w:hAnsi="Times New Roman" w:cs="Times New Roman"/>
          <w:sz w:val="24"/>
          <w:szCs w:val="24"/>
        </w:rPr>
        <w:t xml:space="preserve"> at ground level. This phenomenon is particularly evident in dense urban centers, where elevated </w:t>
      </w:r>
      <w:r w:rsidR="00551D80">
        <w:rPr>
          <w:rFonts w:ascii="Times New Roman" w:eastAsiaTheme="minorEastAsia" w:hAnsi="Times New Roman" w:cs="Times New Roman"/>
          <w:sz w:val="24"/>
          <w:szCs w:val="24"/>
        </w:rPr>
        <w:t>T</w:t>
      </w:r>
      <w:r w:rsidR="00551D80" w:rsidRPr="00551D80">
        <w:rPr>
          <w:rFonts w:ascii="Times New Roman" w:eastAsiaTheme="minorEastAsia" w:hAnsi="Times New Roman" w:cs="Times New Roman"/>
          <w:sz w:val="24"/>
          <w:szCs w:val="24"/>
        </w:rPr>
        <w:t xml:space="preserve">s generate thermal gradients that may induce localized wind systems, such as urban breezes, but simultaneously disrupt broader wind flows </w:t>
      </w:r>
      <w:r w:rsidR="00551D80">
        <w:rPr>
          <w:rFonts w:ascii="Times New Roman" w:eastAsiaTheme="minorEastAsia" w:hAnsi="Times New Roman" w:cs="Times New Roman"/>
          <w:sz w:val="24"/>
          <w:szCs w:val="24"/>
        </w:rPr>
        <w:t xml:space="preserve">[51]. </w:t>
      </w:r>
      <w:r w:rsidR="00551D80" w:rsidRPr="00551D80">
        <w:rPr>
          <w:rFonts w:ascii="Times New Roman" w:eastAsiaTheme="minorEastAsia" w:hAnsi="Times New Roman" w:cs="Times New Roman"/>
          <w:sz w:val="24"/>
          <w:szCs w:val="24"/>
        </w:rPr>
        <w:t xml:space="preserve">Additionally, tall structures modify natural wind flow by channeling winds in specific directions, resulting in microclimates where winds are funneled between buildings, creating strong localized gusts while weakening wind strength in other areas. Urban heat islands further alter wind direction, as </w:t>
      </w:r>
      <w:r w:rsidR="00551D80">
        <w:rPr>
          <w:rFonts w:ascii="Times New Roman" w:eastAsiaTheme="minorEastAsia" w:hAnsi="Times New Roman" w:cs="Times New Roman"/>
          <w:sz w:val="24"/>
          <w:szCs w:val="24"/>
        </w:rPr>
        <w:t>T</w:t>
      </w:r>
      <w:r w:rsidR="00551D80" w:rsidRPr="00551D80">
        <w:rPr>
          <w:rFonts w:ascii="Times New Roman" w:eastAsiaTheme="minorEastAsia" w:hAnsi="Times New Roman" w:cs="Times New Roman"/>
          <w:sz w:val="24"/>
          <w:szCs w:val="24"/>
        </w:rPr>
        <w:t xml:space="preserve"> differences between urban and rural areas drive localized wind circulations that affect broader atmospheric patterns around cities </w:t>
      </w:r>
      <w:r w:rsidR="00551D80">
        <w:rPr>
          <w:rFonts w:ascii="Times New Roman" w:eastAsiaTheme="minorEastAsia" w:hAnsi="Times New Roman" w:cs="Times New Roman"/>
          <w:sz w:val="24"/>
          <w:szCs w:val="24"/>
        </w:rPr>
        <w:t>[92].</w:t>
      </w:r>
    </w:p>
    <w:p w14:paraId="0C38F1E2" w14:textId="77777777" w:rsidR="00551D80" w:rsidRPr="00551D80" w:rsidRDefault="00551D80" w:rsidP="00551D80">
      <w:pPr>
        <w:spacing w:after="0" w:line="240" w:lineRule="auto"/>
        <w:jc w:val="both"/>
        <w:rPr>
          <w:rFonts w:ascii="Times New Roman" w:eastAsiaTheme="minorEastAsia" w:hAnsi="Times New Roman" w:cs="Times New Roman"/>
          <w:vanish/>
          <w:sz w:val="24"/>
          <w:szCs w:val="24"/>
        </w:rPr>
      </w:pPr>
      <w:r w:rsidRPr="00551D80">
        <w:rPr>
          <w:rFonts w:ascii="Times New Roman" w:eastAsiaTheme="minorEastAsia" w:hAnsi="Times New Roman" w:cs="Times New Roman"/>
          <w:vanish/>
          <w:sz w:val="24"/>
          <w:szCs w:val="24"/>
        </w:rPr>
        <w:t>Top of Form</w:t>
      </w:r>
    </w:p>
    <w:p w14:paraId="7FA42910" w14:textId="566EE28C" w:rsidR="00551D80" w:rsidRPr="00551D80" w:rsidRDefault="00551D80" w:rsidP="00551D80">
      <w:pPr>
        <w:spacing w:after="0" w:line="240" w:lineRule="auto"/>
        <w:jc w:val="both"/>
        <w:rPr>
          <w:rFonts w:ascii="Times New Roman" w:eastAsiaTheme="minorEastAsia" w:hAnsi="Times New Roman" w:cs="Times New Roman"/>
          <w:sz w:val="24"/>
          <w:szCs w:val="24"/>
        </w:rPr>
      </w:pPr>
    </w:p>
    <w:p w14:paraId="57C85355" w14:textId="77777777" w:rsidR="00551D80" w:rsidRPr="00551D80" w:rsidRDefault="00551D80" w:rsidP="00551D80">
      <w:pPr>
        <w:spacing w:after="0" w:line="240" w:lineRule="auto"/>
        <w:jc w:val="both"/>
        <w:rPr>
          <w:rFonts w:ascii="Times New Roman" w:eastAsiaTheme="minorEastAsia" w:hAnsi="Times New Roman" w:cs="Times New Roman"/>
          <w:vanish/>
          <w:sz w:val="24"/>
          <w:szCs w:val="24"/>
        </w:rPr>
      </w:pPr>
      <w:r w:rsidRPr="00551D80">
        <w:rPr>
          <w:rFonts w:ascii="Times New Roman" w:eastAsiaTheme="minorEastAsia" w:hAnsi="Times New Roman" w:cs="Times New Roman"/>
          <w:vanish/>
          <w:sz w:val="24"/>
          <w:szCs w:val="24"/>
        </w:rPr>
        <w:t>Bottom of Form</w:t>
      </w:r>
    </w:p>
    <w:p w14:paraId="232C49C1" w14:textId="3B31BBEC" w:rsidR="00551D80" w:rsidRPr="00551D80" w:rsidRDefault="00551D80" w:rsidP="0028467F">
      <w:pPr>
        <w:spacing w:after="0" w:line="240" w:lineRule="auto"/>
        <w:jc w:val="both"/>
        <w:rPr>
          <w:rFonts w:ascii="Times New Roman" w:eastAsiaTheme="minorEastAsia" w:hAnsi="Times New Roman" w:cs="Times New Roman"/>
          <w:sz w:val="24"/>
          <w:szCs w:val="24"/>
        </w:rPr>
      </w:pPr>
    </w:p>
    <w:p w14:paraId="3E9BCA59" w14:textId="77777777" w:rsidR="00CD2C73" w:rsidRDefault="00CD2C73" w:rsidP="00CD2C73">
      <w:pPr>
        <w:tabs>
          <w:tab w:val="left" w:pos="900"/>
        </w:tabs>
        <w:spacing w:after="0" w:line="480" w:lineRule="auto"/>
        <w:jc w:val="both"/>
        <w:rPr>
          <w:rFonts w:ascii="Times New Roman" w:eastAsiaTheme="minorEastAsia" w:hAnsi="Times New Roman" w:cs="Times New Roman"/>
          <w:sz w:val="24"/>
          <w:szCs w:val="24"/>
        </w:rPr>
      </w:pPr>
      <w:r>
        <w:rPr>
          <w:noProof/>
        </w:rPr>
        <w:drawing>
          <wp:inline distT="0" distB="0" distL="0" distR="0" wp14:anchorId="3035FE4C" wp14:editId="2269725E">
            <wp:extent cx="5838825" cy="2143125"/>
            <wp:effectExtent l="0" t="0" r="9525" b="9525"/>
            <wp:docPr id="88290852" name="Chart 1">
              <a:extLst xmlns:a="http://schemas.openxmlformats.org/drawingml/2006/main">
                <a:ext uri="{FF2B5EF4-FFF2-40B4-BE49-F238E27FC236}">
                  <a16:creationId xmlns:a16="http://schemas.microsoft.com/office/drawing/2014/main" id="{0CEFDEF0-ECAA-8CD7-7909-07ADE5375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AE8DF9" w14:textId="77777777" w:rsidR="00CD2C73" w:rsidRPr="0032621F" w:rsidRDefault="00CD2C73" w:rsidP="00CD2C73">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9</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Amount of Wind Speed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p>
    <w:p w14:paraId="7B38339D" w14:textId="710BB5F7" w:rsidR="00551D80" w:rsidRPr="00551D80" w:rsidRDefault="00551D80" w:rsidP="00551D80">
      <w:pPr>
        <w:spacing w:after="0" w:line="240" w:lineRule="auto"/>
        <w:jc w:val="both"/>
        <w:rPr>
          <w:rFonts w:ascii="Times New Roman" w:eastAsiaTheme="minorEastAsia" w:hAnsi="Times New Roman" w:cs="Times New Roman"/>
          <w:sz w:val="24"/>
          <w:szCs w:val="24"/>
        </w:rPr>
      </w:pPr>
      <w:r w:rsidRPr="00551D80">
        <w:rPr>
          <w:rFonts w:ascii="Times New Roman" w:eastAsiaTheme="minorEastAsia" w:hAnsi="Times New Roman" w:cs="Times New Roman"/>
          <w:sz w:val="24"/>
          <w:szCs w:val="24"/>
        </w:rPr>
        <w:t>Figure 10 illustrates the relationship between CC and population in Onitsha and Nnewi. Human activities such as transportation, industrial emissions, and agriculture release aerosols that act as cloud condensation nuclei, increasing cloud formation, particularly in urban areas. This is more evident in densely populated cities, where low-level clouds trap heat, influencing local weather patterns. Urban heat enhances convection, lifting moist air and promoting cloud development</w:t>
      </w:r>
      <w:r>
        <w:rPr>
          <w:rFonts w:ascii="Times New Roman" w:eastAsiaTheme="minorEastAsia" w:hAnsi="Times New Roman" w:cs="Times New Roman"/>
          <w:sz w:val="24"/>
          <w:szCs w:val="24"/>
        </w:rPr>
        <w:t xml:space="preserve"> [61]</w:t>
      </w:r>
      <w:r w:rsidRPr="00551D80">
        <w:rPr>
          <w:rFonts w:ascii="Times New Roman" w:eastAsiaTheme="minorEastAsia" w:hAnsi="Times New Roman" w:cs="Times New Roman"/>
          <w:sz w:val="24"/>
          <w:szCs w:val="24"/>
        </w:rPr>
        <w:t>.</w:t>
      </w:r>
    </w:p>
    <w:p w14:paraId="3621180E" w14:textId="20566BC0" w:rsidR="00551D80" w:rsidRPr="00551D80" w:rsidRDefault="00551D80" w:rsidP="00551D80">
      <w:pPr>
        <w:spacing w:after="0" w:line="240" w:lineRule="auto"/>
        <w:jc w:val="both"/>
        <w:rPr>
          <w:rFonts w:ascii="Times New Roman" w:eastAsiaTheme="minorEastAsia" w:hAnsi="Times New Roman" w:cs="Times New Roman"/>
          <w:sz w:val="24"/>
          <w:szCs w:val="24"/>
        </w:rPr>
      </w:pPr>
      <w:r w:rsidRPr="00551D80">
        <w:rPr>
          <w:rFonts w:ascii="Times New Roman" w:eastAsiaTheme="minorEastAsia" w:hAnsi="Times New Roman" w:cs="Times New Roman"/>
          <w:sz w:val="24"/>
          <w:szCs w:val="24"/>
        </w:rPr>
        <w:t xml:space="preserve">Urbanization affects wind dynamics by altering surface friction and thermal gradients, leading to changes in </w:t>
      </w:r>
      <w:r>
        <w:rPr>
          <w:rFonts w:ascii="Times New Roman" w:eastAsiaTheme="minorEastAsia" w:hAnsi="Times New Roman" w:cs="Times New Roman"/>
          <w:sz w:val="24"/>
          <w:szCs w:val="24"/>
        </w:rPr>
        <w:t>WS</w:t>
      </w:r>
      <w:r w:rsidRPr="00551D80">
        <w:rPr>
          <w:rFonts w:ascii="Times New Roman" w:eastAsiaTheme="minorEastAsia" w:hAnsi="Times New Roman" w:cs="Times New Roman"/>
          <w:sz w:val="24"/>
          <w:szCs w:val="24"/>
        </w:rPr>
        <w:t xml:space="preserve"> and direction. Buildings and localized </w:t>
      </w:r>
      <w:r>
        <w:rPr>
          <w:rFonts w:ascii="Times New Roman" w:eastAsiaTheme="minorEastAsia" w:hAnsi="Times New Roman" w:cs="Times New Roman"/>
          <w:sz w:val="24"/>
          <w:szCs w:val="24"/>
        </w:rPr>
        <w:t>T</w:t>
      </w:r>
      <w:r w:rsidRPr="00551D80">
        <w:rPr>
          <w:rFonts w:ascii="Times New Roman" w:eastAsiaTheme="minorEastAsia" w:hAnsi="Times New Roman" w:cs="Times New Roman"/>
          <w:sz w:val="24"/>
          <w:szCs w:val="24"/>
        </w:rPr>
        <w:t xml:space="preserve"> variations further modify wind circulations. Additionally, the urban heat island effect and climate change influence localized and global pressure patterns. These findings align with our observations, especially regarding the impact of human activities on </w:t>
      </w:r>
      <w:r>
        <w:rPr>
          <w:rFonts w:ascii="Times New Roman" w:eastAsiaTheme="minorEastAsia" w:hAnsi="Times New Roman" w:cs="Times New Roman"/>
          <w:sz w:val="24"/>
          <w:szCs w:val="24"/>
        </w:rPr>
        <w:t>WS</w:t>
      </w:r>
      <w:r w:rsidRPr="00551D80">
        <w:rPr>
          <w:rFonts w:ascii="Times New Roman" w:eastAsiaTheme="minorEastAsia" w:hAnsi="Times New Roman" w:cs="Times New Roman"/>
          <w:sz w:val="24"/>
          <w:szCs w:val="24"/>
        </w:rPr>
        <w:t>, direction, and cloud formation.</w:t>
      </w:r>
    </w:p>
    <w:p w14:paraId="5F384A8F" w14:textId="77777777" w:rsidR="0028467F" w:rsidRDefault="0028467F" w:rsidP="00CD2C73">
      <w:pPr>
        <w:spacing w:after="0" w:line="240" w:lineRule="auto"/>
        <w:jc w:val="both"/>
        <w:rPr>
          <w:rFonts w:ascii="Times New Roman" w:hAnsi="Times New Roman" w:cs="Times New Roman"/>
          <w:sz w:val="24"/>
          <w:szCs w:val="24"/>
        </w:rPr>
      </w:pPr>
    </w:p>
    <w:p w14:paraId="1A8C9B86" w14:textId="50D89601" w:rsidR="00CD2C73" w:rsidRPr="00D567B6" w:rsidRDefault="00CD2C73" w:rsidP="00CD2C73">
      <w:pPr>
        <w:spacing w:after="0" w:line="240" w:lineRule="auto"/>
        <w:jc w:val="both"/>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242BF568" wp14:editId="53DDE9E1">
            <wp:simplePos x="0" y="0"/>
            <wp:positionH relativeFrom="margin">
              <wp:posOffset>85725</wp:posOffset>
            </wp:positionH>
            <wp:positionV relativeFrom="paragraph">
              <wp:posOffset>128905</wp:posOffset>
            </wp:positionV>
            <wp:extent cx="6124575" cy="2362200"/>
            <wp:effectExtent l="0" t="0" r="9525" b="0"/>
            <wp:wrapTight wrapText="bothSides">
              <wp:wrapPolygon edited="0">
                <wp:start x="0" y="0"/>
                <wp:lineTo x="0" y="21426"/>
                <wp:lineTo x="21566" y="21426"/>
                <wp:lineTo x="21566" y="0"/>
                <wp:lineTo x="0" y="0"/>
              </wp:wrapPolygon>
            </wp:wrapTight>
            <wp:docPr id="191478416" name="Chart 1">
              <a:extLst xmlns:a="http://schemas.openxmlformats.org/drawingml/2006/main">
                <a:ext uri="{FF2B5EF4-FFF2-40B4-BE49-F238E27FC236}">
                  <a16:creationId xmlns:a16="http://schemas.microsoft.com/office/drawing/2014/main" id="{000E5707-8E41-E243-0E53-A72484E15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D3CA3B2" w14:textId="1335DEBA" w:rsidR="00CD2C73" w:rsidRDefault="00CD2C73" w:rsidP="00CD2C73">
      <w:pPr>
        <w:spacing w:after="0" w:line="240" w:lineRule="auto"/>
        <w:jc w:val="both"/>
        <w:rPr>
          <w:rFonts w:ascii="Times New Roman" w:eastAsiaTheme="minorEastAsia" w:hAnsi="Times New Roman" w:cs="Times New Roman"/>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10</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Cloud Cover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r>
        <w:rPr>
          <w:rFonts w:ascii="Times New Roman" w:eastAsiaTheme="minorEastAsia" w:hAnsi="Times New Roman" w:cs="Times New Roman"/>
          <w:sz w:val="24"/>
          <w:szCs w:val="24"/>
        </w:rPr>
        <w:t>.</w:t>
      </w:r>
    </w:p>
    <w:p w14:paraId="6A60AAD8" w14:textId="7A8C0344" w:rsidR="00CD2C73" w:rsidRDefault="00CD2C73" w:rsidP="00CD2C73">
      <w:pPr>
        <w:spacing w:after="0" w:line="240" w:lineRule="auto"/>
        <w:jc w:val="both"/>
        <w:rPr>
          <w:rFonts w:ascii="Times New Roman" w:eastAsiaTheme="minorEastAsia" w:hAnsi="Times New Roman" w:cs="Times New Roman"/>
          <w:sz w:val="24"/>
          <w:szCs w:val="24"/>
        </w:rPr>
      </w:pPr>
    </w:p>
    <w:p w14:paraId="7BBC7135" w14:textId="77777777" w:rsidR="00CD2C73" w:rsidRDefault="00CD2C73" w:rsidP="00CD2C73">
      <w:pPr>
        <w:spacing w:after="0" w:line="48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3.2.5 Solar Radiation, UV Index, and Population.</w:t>
      </w:r>
    </w:p>
    <w:p w14:paraId="5683B340" w14:textId="255CA678" w:rsidR="00D21E99" w:rsidRPr="00D21E99" w:rsidRDefault="00D21E99" w:rsidP="00D21E99">
      <w:pPr>
        <w:spacing w:after="0" w:line="240" w:lineRule="auto"/>
        <w:jc w:val="both"/>
        <w:rPr>
          <w:rFonts w:ascii="Times New Roman" w:eastAsiaTheme="minorEastAsia" w:hAnsi="Times New Roman" w:cs="Times New Roman"/>
          <w:sz w:val="24"/>
          <w:szCs w:val="24"/>
        </w:rPr>
      </w:pPr>
      <w:r w:rsidRPr="00D21E99">
        <w:rPr>
          <w:rFonts w:ascii="Times New Roman" w:eastAsiaTheme="minorEastAsia" w:hAnsi="Times New Roman" w:cs="Times New Roman"/>
          <w:sz w:val="24"/>
          <w:szCs w:val="24"/>
        </w:rPr>
        <w:t xml:space="preserve">Figs 11–12 present the annual average values of </w:t>
      </w:r>
      <w:r>
        <w:rPr>
          <w:rFonts w:ascii="Times New Roman" w:eastAsiaTheme="minorEastAsia" w:hAnsi="Times New Roman" w:cs="Times New Roman"/>
          <w:sz w:val="24"/>
          <w:szCs w:val="24"/>
        </w:rPr>
        <w:t>SR</w:t>
      </w:r>
      <w:r w:rsidRPr="00D21E99">
        <w:rPr>
          <w:rFonts w:ascii="Times New Roman" w:eastAsiaTheme="minorEastAsia" w:hAnsi="Times New Roman" w:cs="Times New Roman"/>
          <w:sz w:val="24"/>
          <w:szCs w:val="24"/>
        </w:rPr>
        <w:t>, and the UV</w:t>
      </w:r>
      <w:r>
        <w:rPr>
          <w:rFonts w:ascii="Times New Roman" w:eastAsiaTheme="minorEastAsia" w:hAnsi="Times New Roman" w:cs="Times New Roman"/>
          <w:sz w:val="24"/>
          <w:szCs w:val="24"/>
        </w:rPr>
        <w:t>I</w:t>
      </w:r>
      <w:r w:rsidRPr="00D21E99">
        <w:rPr>
          <w:rFonts w:ascii="Times New Roman" w:eastAsiaTheme="minorEastAsia" w:hAnsi="Times New Roman" w:cs="Times New Roman"/>
          <w:sz w:val="24"/>
          <w:szCs w:val="24"/>
        </w:rPr>
        <w:t xml:space="preserve"> in relation to the population of Onitsha and Nnewi. The high correlation coefficient (r ~ 0.9) from Table 3 indicates that human activities and GHG emissions, as represented by population size, significantly influence these parameters in both towns. The similar slopes of the linear fits suggest that the impact of human activities on </w:t>
      </w:r>
      <w:r>
        <w:rPr>
          <w:rFonts w:ascii="Times New Roman" w:eastAsiaTheme="minorEastAsia" w:hAnsi="Times New Roman" w:cs="Times New Roman"/>
          <w:sz w:val="24"/>
          <w:szCs w:val="24"/>
        </w:rPr>
        <w:t>SR</w:t>
      </w:r>
      <w:r w:rsidRPr="00D21E99">
        <w:rPr>
          <w:rFonts w:ascii="Times New Roman" w:eastAsiaTheme="minorEastAsia" w:hAnsi="Times New Roman" w:cs="Times New Roman"/>
          <w:sz w:val="24"/>
          <w:szCs w:val="24"/>
        </w:rPr>
        <w:t xml:space="preserve"> and UV</w:t>
      </w:r>
      <w:r>
        <w:rPr>
          <w:rFonts w:ascii="Times New Roman" w:eastAsiaTheme="minorEastAsia" w:hAnsi="Times New Roman" w:cs="Times New Roman"/>
          <w:sz w:val="24"/>
          <w:szCs w:val="24"/>
        </w:rPr>
        <w:t>I</w:t>
      </w:r>
      <w:r w:rsidRPr="00D21E99">
        <w:rPr>
          <w:rFonts w:ascii="Times New Roman" w:eastAsiaTheme="minorEastAsia" w:hAnsi="Times New Roman" w:cs="Times New Roman"/>
          <w:sz w:val="24"/>
          <w:szCs w:val="24"/>
        </w:rPr>
        <w:t xml:space="preserve"> is comparable in both locations.</w:t>
      </w:r>
    </w:p>
    <w:p w14:paraId="15807BB0" w14:textId="3B36E2A0" w:rsidR="00D21E99" w:rsidRPr="00D21E99" w:rsidRDefault="00D21E99" w:rsidP="00D21E99">
      <w:pPr>
        <w:spacing w:after="0" w:line="240" w:lineRule="auto"/>
        <w:jc w:val="both"/>
        <w:rPr>
          <w:rFonts w:ascii="Times New Roman" w:eastAsiaTheme="minorEastAsia" w:hAnsi="Times New Roman" w:cs="Times New Roman"/>
          <w:sz w:val="24"/>
          <w:szCs w:val="24"/>
        </w:rPr>
      </w:pPr>
      <w:r w:rsidRPr="00D21E99">
        <w:rPr>
          <w:rFonts w:ascii="Times New Roman" w:eastAsiaTheme="minorEastAsia" w:hAnsi="Times New Roman" w:cs="Times New Roman"/>
          <w:sz w:val="24"/>
          <w:szCs w:val="24"/>
        </w:rPr>
        <w:t xml:space="preserve">Literature, including reports by </w:t>
      </w:r>
      <w:r>
        <w:rPr>
          <w:rFonts w:ascii="Times New Roman" w:eastAsiaTheme="minorEastAsia" w:hAnsi="Times New Roman" w:cs="Times New Roman"/>
          <w:sz w:val="24"/>
          <w:szCs w:val="24"/>
        </w:rPr>
        <w:t>[67, 80, 70]</w:t>
      </w:r>
      <w:r w:rsidRPr="00D21E99">
        <w:rPr>
          <w:rFonts w:ascii="Times New Roman" w:eastAsiaTheme="minorEastAsia" w:hAnsi="Times New Roman" w:cs="Times New Roman"/>
          <w:sz w:val="24"/>
          <w:szCs w:val="24"/>
        </w:rPr>
        <w:t>, supports these findings. Population growth, urbanization, and industrialization increase air pollution through aerosols, particulate matter, and GHGs. These pollutants scatter, absorb, and reflect solar radiation, reducing the amount of direct solar radiation and UV exposure in urban areas. Urban haze, caused by high vehicular and industrial emissions, significantly reduces solar irradiance, sometimes by 20-30%. Additionally, air pollution and land-use changes linked to population growth diminish solar radiation energy, impacting the potential for solar energy collection in densely populated areas.</w:t>
      </w:r>
    </w:p>
    <w:p w14:paraId="3E9EFBEA" w14:textId="16A8F5CD" w:rsidR="00D21E99" w:rsidRPr="00D21E99" w:rsidRDefault="00D21E99" w:rsidP="00D21E99">
      <w:pPr>
        <w:spacing w:after="0" w:line="240" w:lineRule="auto"/>
        <w:jc w:val="both"/>
        <w:rPr>
          <w:rFonts w:ascii="Times New Roman" w:hAnsi="Times New Roman" w:cs="Times New Roman"/>
          <w:sz w:val="24"/>
          <w:szCs w:val="24"/>
        </w:rPr>
      </w:pPr>
      <w:r w:rsidRPr="00D21E99">
        <w:rPr>
          <w:rFonts w:ascii="Times New Roman" w:hAnsi="Times New Roman" w:cs="Times New Roman"/>
          <w:sz w:val="24"/>
          <w:szCs w:val="24"/>
        </w:rPr>
        <w:t xml:space="preserve">Population growth drives increased land demand, leading to significant land-use changes. Agricultural land and forests are often converted into urban or industrial areas, reducing the natural albedo of the land, which affects the balance between solar radiation absorption and reflection. Urban sprawl also constrains the availability of land for large-scale solar energy systems, hindering the deployment of solar farms that require extensive space </w:t>
      </w:r>
      <w:r>
        <w:rPr>
          <w:rFonts w:ascii="Times New Roman" w:eastAsiaTheme="minorEastAsia" w:hAnsi="Times New Roman" w:cs="Times New Roman"/>
          <w:sz w:val="24"/>
          <w:szCs w:val="24"/>
        </w:rPr>
        <w:t>[67, 80, 70]</w:t>
      </w:r>
      <w:r w:rsidRPr="00D21E99">
        <w:rPr>
          <w:rFonts w:ascii="Times New Roman" w:hAnsi="Times New Roman" w:cs="Times New Roman"/>
          <w:sz w:val="24"/>
          <w:szCs w:val="24"/>
        </w:rPr>
        <w:t>.</w:t>
      </w:r>
      <w:r>
        <w:rPr>
          <w:rFonts w:ascii="Times New Roman" w:hAnsi="Times New Roman" w:cs="Times New Roman"/>
          <w:sz w:val="24"/>
          <w:szCs w:val="24"/>
        </w:rPr>
        <w:t xml:space="preserve"> </w:t>
      </w:r>
      <w:r w:rsidRPr="00D21E99">
        <w:rPr>
          <w:rFonts w:ascii="Times New Roman" w:hAnsi="Times New Roman" w:cs="Times New Roman"/>
          <w:sz w:val="24"/>
          <w:szCs w:val="24"/>
        </w:rPr>
        <w:t xml:space="preserve">In conclusion, the rising population in cities like Onitsha and Nnewi amplifies human activities and </w:t>
      </w:r>
      <w:r>
        <w:rPr>
          <w:rFonts w:ascii="Times New Roman" w:hAnsi="Times New Roman" w:cs="Times New Roman"/>
          <w:sz w:val="24"/>
          <w:szCs w:val="24"/>
        </w:rPr>
        <w:t>GHG</w:t>
      </w:r>
      <w:r w:rsidRPr="00D21E99">
        <w:rPr>
          <w:rFonts w:ascii="Times New Roman" w:hAnsi="Times New Roman" w:cs="Times New Roman"/>
          <w:sz w:val="24"/>
          <w:szCs w:val="24"/>
        </w:rPr>
        <w:t xml:space="preserve"> emissions, adversely affecting meteorological parameters. These changes have detrimental impacts on the climate and the well-being of local populations. These findings align with conclusions from existing literature.</w:t>
      </w:r>
    </w:p>
    <w:p w14:paraId="5BF3121D" w14:textId="12D770EE" w:rsidR="0028467F" w:rsidRPr="000C6C3C" w:rsidRDefault="0028467F" w:rsidP="0028467F">
      <w:pPr>
        <w:spacing w:after="0" w:line="240" w:lineRule="auto"/>
        <w:jc w:val="both"/>
        <w:rPr>
          <w:rFonts w:ascii="Times New Roman" w:hAnsi="Times New Roman" w:cs="Times New Roman"/>
          <w:sz w:val="24"/>
          <w:szCs w:val="24"/>
        </w:rPr>
      </w:pPr>
    </w:p>
    <w:p w14:paraId="7A428A0D" w14:textId="77777777" w:rsidR="00CD2C73" w:rsidRDefault="00CD2C73" w:rsidP="00CD2C73">
      <w:pPr>
        <w:spacing w:after="0" w:line="480" w:lineRule="auto"/>
        <w:jc w:val="both"/>
        <w:rPr>
          <w:rFonts w:ascii="Times New Roman" w:eastAsiaTheme="minorEastAsia" w:hAnsi="Times New Roman" w:cs="Times New Roman"/>
          <w:b/>
          <w:bCs/>
          <w:sz w:val="24"/>
          <w:szCs w:val="24"/>
        </w:rPr>
      </w:pPr>
    </w:p>
    <w:p w14:paraId="074FED9A" w14:textId="77777777" w:rsidR="00CD2C73" w:rsidRDefault="00CD2C73" w:rsidP="00CD2C73">
      <w:pPr>
        <w:spacing w:after="0" w:line="480" w:lineRule="auto"/>
        <w:jc w:val="both"/>
        <w:rPr>
          <w:rFonts w:ascii="Times New Roman" w:eastAsiaTheme="minorEastAsia" w:hAnsi="Times New Roman" w:cs="Times New Roman"/>
          <w:sz w:val="24"/>
          <w:szCs w:val="24"/>
        </w:rPr>
      </w:pPr>
      <w:r>
        <w:rPr>
          <w:noProof/>
        </w:rPr>
        <w:lastRenderedPageBreak/>
        <w:drawing>
          <wp:inline distT="0" distB="0" distL="0" distR="0" wp14:anchorId="3CC0369E" wp14:editId="40518C26">
            <wp:extent cx="6438900" cy="2857500"/>
            <wp:effectExtent l="0" t="0" r="0" b="0"/>
            <wp:docPr id="1969024271" name="Chart 1">
              <a:extLst xmlns:a="http://schemas.openxmlformats.org/drawingml/2006/main">
                <a:ext uri="{FF2B5EF4-FFF2-40B4-BE49-F238E27FC236}">
                  <a16:creationId xmlns:a16="http://schemas.microsoft.com/office/drawing/2014/main" id="{671EB015-F733-92E0-88E6-C9E93739A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2F541B" w14:textId="137A5344" w:rsidR="00CD2C73" w:rsidRPr="00CD2C73" w:rsidRDefault="00CD2C73" w:rsidP="00CD2C73">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Figure</w:t>
      </w:r>
      <w:r>
        <w:rPr>
          <w:rFonts w:ascii="Times New Roman" w:eastAsiaTheme="minorEastAsia" w:hAnsi="Times New Roman" w:cs="Times New Roman"/>
          <w:b/>
          <w:bCs/>
          <w:sz w:val="24"/>
          <w:szCs w:val="24"/>
        </w:rPr>
        <w:t xml:space="preserve"> 11</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Solar Radiation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r>
        <w:rPr>
          <w:rFonts w:ascii="Times New Roman" w:eastAsiaTheme="minorEastAsia" w:hAnsi="Times New Roman" w:cs="Times New Roman"/>
          <w:b/>
          <w:bCs/>
          <w:sz w:val="24"/>
          <w:szCs w:val="24"/>
        </w:rPr>
        <w:t>.</w:t>
      </w:r>
    </w:p>
    <w:p w14:paraId="33BA94CF" w14:textId="77777777" w:rsidR="00CD2C73" w:rsidRDefault="00CD2C73" w:rsidP="00CD2C73">
      <w:pPr>
        <w:spacing w:after="0" w:line="480" w:lineRule="auto"/>
        <w:jc w:val="both"/>
        <w:rPr>
          <w:rFonts w:ascii="Times New Roman" w:eastAsiaTheme="minorEastAsia" w:hAnsi="Times New Roman" w:cs="Times New Roman"/>
          <w:sz w:val="24"/>
          <w:szCs w:val="24"/>
        </w:rPr>
      </w:pPr>
      <w:r>
        <w:rPr>
          <w:noProof/>
        </w:rPr>
        <w:drawing>
          <wp:inline distT="0" distB="0" distL="0" distR="0" wp14:anchorId="45A983CD" wp14:editId="13322B43">
            <wp:extent cx="6000750" cy="2400300"/>
            <wp:effectExtent l="0" t="0" r="0" b="0"/>
            <wp:docPr id="182288586" name="Chart 1">
              <a:extLst xmlns:a="http://schemas.openxmlformats.org/drawingml/2006/main">
                <a:ext uri="{FF2B5EF4-FFF2-40B4-BE49-F238E27FC236}">
                  <a16:creationId xmlns:a16="http://schemas.microsoft.com/office/drawing/2014/main" id="{9C0DD4B7-457F-AC1C-FA18-51B9D6112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EB8C90" w14:textId="4920CCB4" w:rsidR="00CD2C73" w:rsidRPr="00337E75" w:rsidRDefault="00CD2C73" w:rsidP="00CD2C73">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w:t>
      </w:r>
      <w:r w:rsidR="00D11BE9">
        <w:rPr>
          <w:rFonts w:ascii="Times New Roman" w:eastAsiaTheme="minorEastAsia" w:hAnsi="Times New Roman" w:cs="Times New Roman"/>
          <w:b/>
          <w:bCs/>
          <w:sz w:val="24"/>
          <w:szCs w:val="24"/>
        </w:rPr>
        <w:t>2</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UV Index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w:t>
      </w:r>
      <w:r w:rsidRPr="000A1493">
        <w:rPr>
          <w:rFonts w:ascii="Times New Roman" w:eastAsiaTheme="minorEastAsia" w:hAnsi="Times New Roman" w:cs="Times New Roman"/>
          <w:b/>
          <w:bCs/>
          <w:sz w:val="24"/>
          <w:szCs w:val="24"/>
        </w:rPr>
        <w:t>Population at Onitsha and Nnewi</w:t>
      </w:r>
      <w:r>
        <w:rPr>
          <w:rFonts w:ascii="Times New Roman" w:eastAsiaTheme="minorEastAsia" w:hAnsi="Times New Roman" w:cs="Times New Roman"/>
          <w:b/>
          <w:bCs/>
          <w:sz w:val="24"/>
          <w:szCs w:val="24"/>
        </w:rPr>
        <w:t>.</w:t>
      </w:r>
    </w:p>
    <w:p w14:paraId="24887CAC" w14:textId="77777777" w:rsidR="0028467F" w:rsidRDefault="0028467F" w:rsidP="00642C41">
      <w:pPr>
        <w:spacing w:after="0" w:line="240" w:lineRule="auto"/>
        <w:jc w:val="both"/>
        <w:rPr>
          <w:rFonts w:ascii="Times New Roman" w:eastAsiaTheme="minorEastAsia" w:hAnsi="Times New Roman" w:cs="Times New Roman"/>
          <w:b/>
          <w:bCs/>
          <w:sz w:val="24"/>
          <w:szCs w:val="24"/>
        </w:rPr>
      </w:pPr>
    </w:p>
    <w:p w14:paraId="054D97D6" w14:textId="3D402503" w:rsidR="00642C41" w:rsidRDefault="00D21E99" w:rsidP="00642C41">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4</w:t>
      </w:r>
      <w:r w:rsidR="00642C41">
        <w:rPr>
          <w:rFonts w:ascii="Times New Roman" w:eastAsiaTheme="minorEastAsia" w:hAnsi="Times New Roman" w:cs="Times New Roman"/>
          <w:b/>
          <w:bCs/>
          <w:sz w:val="24"/>
          <w:szCs w:val="24"/>
        </w:rPr>
        <w:t xml:space="preserve">.2.6 Temperature Effect on Dewpoint, Humidity, Precipitation, Wind Speed, Cloud Cover, Solar Radiation, and UV Index </w:t>
      </w:r>
    </w:p>
    <w:p w14:paraId="0CC6A265" w14:textId="77777777" w:rsidR="00642C41" w:rsidRPr="00EF33C5" w:rsidRDefault="00642C41" w:rsidP="00642C41">
      <w:pPr>
        <w:spacing w:after="0" w:line="240" w:lineRule="auto"/>
        <w:jc w:val="both"/>
        <w:rPr>
          <w:rFonts w:ascii="Times New Roman" w:eastAsiaTheme="minorEastAsia" w:hAnsi="Times New Roman" w:cs="Times New Roman"/>
          <w:b/>
          <w:bCs/>
          <w:sz w:val="24"/>
          <w:szCs w:val="24"/>
        </w:rPr>
      </w:pPr>
    </w:p>
    <w:p w14:paraId="6311D2B9" w14:textId="1CCC98E7" w:rsidR="00D21E99" w:rsidRPr="00D21E99" w:rsidRDefault="00D21E99" w:rsidP="00D21E99">
      <w:pPr>
        <w:spacing w:after="0" w:line="240" w:lineRule="auto"/>
        <w:jc w:val="both"/>
        <w:rPr>
          <w:rFonts w:ascii="Times New Roman" w:hAnsi="Times New Roman" w:cs="Times New Roman"/>
          <w:sz w:val="24"/>
          <w:szCs w:val="24"/>
        </w:rPr>
      </w:pPr>
      <w:r w:rsidRPr="00D21E99">
        <w:rPr>
          <w:rFonts w:ascii="Times New Roman" w:hAnsi="Times New Roman" w:cs="Times New Roman"/>
          <w:sz w:val="24"/>
          <w:szCs w:val="24"/>
        </w:rPr>
        <w:t xml:space="preserve">Rising </w:t>
      </w:r>
      <w:r w:rsidR="004236C0">
        <w:rPr>
          <w:rFonts w:ascii="Times New Roman" w:hAnsi="Times New Roman" w:cs="Times New Roman"/>
          <w:sz w:val="24"/>
          <w:szCs w:val="24"/>
        </w:rPr>
        <w:t>T</w:t>
      </w:r>
      <w:r w:rsidRPr="00D21E99">
        <w:rPr>
          <w:rFonts w:ascii="Times New Roman" w:hAnsi="Times New Roman" w:cs="Times New Roman"/>
          <w:sz w:val="24"/>
          <w:szCs w:val="24"/>
        </w:rPr>
        <w:t xml:space="preserve">s are closely linked to increasing levels of GHGs in the atmosphere, a relationship well-documented in climate science. GHGs like CO₂, CH₄, and N₂O trap heat through the greenhouse effect by absorbing and re-radiating infrared radiation emitted by the Earth's surface, reducing heat loss to space. This process contributes to global warming. Human activities such as fossil fuel combustion, deforestation, and industrial processes have significantly increased the concentration of these gases, driving temperature rises </w:t>
      </w:r>
      <w:r>
        <w:rPr>
          <w:rFonts w:ascii="Times New Roman" w:hAnsi="Times New Roman" w:cs="Times New Roman"/>
          <w:sz w:val="24"/>
          <w:szCs w:val="24"/>
        </w:rPr>
        <w:t>[26].</w:t>
      </w:r>
    </w:p>
    <w:p w14:paraId="3DCDF433" w14:textId="148B0523" w:rsidR="00D21E99" w:rsidRPr="00D21E99" w:rsidRDefault="00D21E99" w:rsidP="00D21E99">
      <w:pPr>
        <w:spacing w:after="0" w:line="240" w:lineRule="auto"/>
        <w:jc w:val="both"/>
        <w:rPr>
          <w:rFonts w:ascii="Times New Roman" w:hAnsi="Times New Roman" w:cs="Times New Roman"/>
          <w:sz w:val="24"/>
          <w:szCs w:val="24"/>
        </w:rPr>
      </w:pPr>
      <w:r w:rsidRPr="00D21E99">
        <w:rPr>
          <w:rFonts w:ascii="Times New Roman" w:hAnsi="Times New Roman" w:cs="Times New Roman"/>
          <w:sz w:val="24"/>
          <w:szCs w:val="24"/>
        </w:rPr>
        <w:lastRenderedPageBreak/>
        <w:t xml:space="preserve">Data shows CO₂ levels have increased from approximately 280 ppm in the pre-industrial era to over 410 ppm recently, correlating with a global </w:t>
      </w:r>
      <w:r w:rsidR="004236C0">
        <w:rPr>
          <w:rFonts w:ascii="Times New Roman" w:hAnsi="Times New Roman" w:cs="Times New Roman"/>
          <w:sz w:val="24"/>
          <w:szCs w:val="24"/>
        </w:rPr>
        <w:t>T</w:t>
      </w:r>
      <w:r w:rsidRPr="00D21E99">
        <w:rPr>
          <w:rFonts w:ascii="Times New Roman" w:hAnsi="Times New Roman" w:cs="Times New Roman"/>
          <w:sz w:val="24"/>
          <w:szCs w:val="24"/>
        </w:rPr>
        <w:t xml:space="preserve"> rise of about 1.1°C above pre-industrial levels</w:t>
      </w:r>
      <w:r>
        <w:rPr>
          <w:rFonts w:ascii="Times New Roman" w:hAnsi="Times New Roman" w:cs="Times New Roman"/>
          <w:sz w:val="24"/>
          <w:szCs w:val="24"/>
        </w:rPr>
        <w:t xml:space="preserve"> [26</w:t>
      </w:r>
      <w:r w:rsidR="004236C0">
        <w:rPr>
          <w:rFonts w:ascii="Times New Roman" w:hAnsi="Times New Roman" w:cs="Times New Roman"/>
          <w:sz w:val="24"/>
          <w:szCs w:val="24"/>
        </w:rPr>
        <w:t>, 70</w:t>
      </w:r>
      <w:r>
        <w:rPr>
          <w:rFonts w:ascii="Times New Roman" w:hAnsi="Times New Roman" w:cs="Times New Roman"/>
          <w:sz w:val="24"/>
          <w:szCs w:val="24"/>
        </w:rPr>
        <w:t>]</w:t>
      </w:r>
      <w:r w:rsidRPr="00D21E99">
        <w:rPr>
          <w:rFonts w:ascii="Times New Roman" w:hAnsi="Times New Roman" w:cs="Times New Roman"/>
          <w:sz w:val="24"/>
          <w:szCs w:val="24"/>
        </w:rPr>
        <w:t xml:space="preserve">. CH₄, with over 25 times the global warming potential of CO₂ over 100 years, has also seen sharp concentration increases due to agriculture, livestock, and fossil fuel extraction </w:t>
      </w:r>
      <w:r w:rsidR="004236C0">
        <w:rPr>
          <w:rFonts w:ascii="Times New Roman" w:hAnsi="Times New Roman" w:cs="Times New Roman"/>
          <w:sz w:val="24"/>
          <w:szCs w:val="24"/>
        </w:rPr>
        <w:t>[70]</w:t>
      </w:r>
      <w:r w:rsidRPr="00D21E99">
        <w:rPr>
          <w:rFonts w:ascii="Times New Roman" w:hAnsi="Times New Roman" w:cs="Times New Roman"/>
          <w:sz w:val="24"/>
          <w:szCs w:val="24"/>
        </w:rPr>
        <w:t xml:space="preserve">. These findings emphasize the utility of </w:t>
      </w:r>
      <w:r w:rsidR="004236C0">
        <w:rPr>
          <w:rFonts w:ascii="Times New Roman" w:hAnsi="Times New Roman" w:cs="Times New Roman"/>
          <w:sz w:val="24"/>
          <w:szCs w:val="24"/>
        </w:rPr>
        <w:t>T</w:t>
      </w:r>
      <w:r w:rsidRPr="00D21E99">
        <w:rPr>
          <w:rFonts w:ascii="Times New Roman" w:hAnsi="Times New Roman" w:cs="Times New Roman"/>
          <w:sz w:val="24"/>
          <w:szCs w:val="24"/>
        </w:rPr>
        <w:t xml:space="preserve"> measurements in studying the impact of GHGs on a city's weather and meteorological parameters.</w:t>
      </w:r>
    </w:p>
    <w:tbl>
      <w:tblPr>
        <w:tblpPr w:leftFromText="180" w:rightFromText="180" w:vertAnchor="page" w:horzAnchor="page" w:tblpX="3361" w:tblpY="3421"/>
        <w:tblW w:w="2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3"/>
        <w:gridCol w:w="960"/>
      </w:tblGrid>
      <w:tr w:rsidR="004236C0" w:rsidRPr="008169F2" w14:paraId="4A0EE8CF" w14:textId="77777777" w:rsidTr="004236C0">
        <w:trPr>
          <w:trHeight w:val="20"/>
        </w:trPr>
        <w:tc>
          <w:tcPr>
            <w:tcW w:w="960" w:type="dxa"/>
            <w:shd w:val="clear" w:color="auto" w:fill="auto"/>
            <w:noWrap/>
            <w:vAlign w:val="bottom"/>
            <w:hideMark/>
          </w:tcPr>
          <w:p w14:paraId="216C9610" w14:textId="77777777" w:rsidR="004236C0" w:rsidRPr="008169F2" w:rsidRDefault="004236C0" w:rsidP="004236C0">
            <w:pPr>
              <w:spacing w:after="0" w:line="240" w:lineRule="auto"/>
              <w:rPr>
                <w:rFonts w:ascii="Times New Roman" w:eastAsia="Times New Roman" w:hAnsi="Times New Roman" w:cs="Times New Roman"/>
                <w:kern w:val="0"/>
                <w:sz w:val="24"/>
                <w:szCs w:val="24"/>
                <w14:ligatures w14:val="none"/>
              </w:rPr>
            </w:pPr>
          </w:p>
        </w:tc>
        <w:tc>
          <w:tcPr>
            <w:tcW w:w="963" w:type="dxa"/>
            <w:shd w:val="clear" w:color="auto" w:fill="auto"/>
            <w:noWrap/>
            <w:vAlign w:val="bottom"/>
            <w:hideMark/>
          </w:tcPr>
          <w:p w14:paraId="5DC5A30D"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Onitsha</w:t>
            </w:r>
          </w:p>
        </w:tc>
        <w:tc>
          <w:tcPr>
            <w:tcW w:w="960" w:type="dxa"/>
            <w:shd w:val="clear" w:color="auto" w:fill="auto"/>
            <w:noWrap/>
            <w:vAlign w:val="bottom"/>
            <w:hideMark/>
          </w:tcPr>
          <w:p w14:paraId="020D0F41"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Nnewi</w:t>
            </w:r>
          </w:p>
        </w:tc>
      </w:tr>
      <w:tr w:rsidR="004236C0" w:rsidRPr="008169F2" w14:paraId="2AA7C328" w14:textId="77777777" w:rsidTr="004236C0">
        <w:trPr>
          <w:trHeight w:val="20"/>
        </w:trPr>
        <w:tc>
          <w:tcPr>
            <w:tcW w:w="960" w:type="dxa"/>
            <w:shd w:val="clear" w:color="auto" w:fill="auto"/>
            <w:noWrap/>
            <w:vAlign w:val="bottom"/>
            <w:hideMark/>
          </w:tcPr>
          <w:p w14:paraId="39062FE2"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T/DP</w:t>
            </w:r>
          </w:p>
        </w:tc>
        <w:tc>
          <w:tcPr>
            <w:tcW w:w="963" w:type="dxa"/>
            <w:shd w:val="clear" w:color="auto" w:fill="auto"/>
            <w:noWrap/>
            <w:vAlign w:val="bottom"/>
            <w:hideMark/>
          </w:tcPr>
          <w:p w14:paraId="3D67C40C"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-0.44</w:t>
            </w:r>
          </w:p>
        </w:tc>
        <w:tc>
          <w:tcPr>
            <w:tcW w:w="960" w:type="dxa"/>
            <w:shd w:val="clear" w:color="auto" w:fill="auto"/>
            <w:noWrap/>
            <w:vAlign w:val="bottom"/>
            <w:hideMark/>
          </w:tcPr>
          <w:p w14:paraId="50D8DD1F"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-0.51</w:t>
            </w:r>
          </w:p>
        </w:tc>
      </w:tr>
      <w:tr w:rsidR="004236C0" w:rsidRPr="008169F2" w14:paraId="3F99A713" w14:textId="77777777" w:rsidTr="004236C0">
        <w:trPr>
          <w:trHeight w:val="20"/>
        </w:trPr>
        <w:tc>
          <w:tcPr>
            <w:tcW w:w="960" w:type="dxa"/>
            <w:shd w:val="clear" w:color="auto" w:fill="auto"/>
            <w:noWrap/>
            <w:vAlign w:val="bottom"/>
            <w:hideMark/>
          </w:tcPr>
          <w:p w14:paraId="00F6A7A8"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T/H</w:t>
            </w:r>
          </w:p>
        </w:tc>
        <w:tc>
          <w:tcPr>
            <w:tcW w:w="963" w:type="dxa"/>
            <w:shd w:val="clear" w:color="auto" w:fill="auto"/>
            <w:noWrap/>
            <w:vAlign w:val="bottom"/>
            <w:hideMark/>
          </w:tcPr>
          <w:p w14:paraId="118A8E82"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-0.89</w:t>
            </w:r>
          </w:p>
        </w:tc>
        <w:tc>
          <w:tcPr>
            <w:tcW w:w="960" w:type="dxa"/>
            <w:shd w:val="clear" w:color="auto" w:fill="auto"/>
            <w:noWrap/>
            <w:vAlign w:val="bottom"/>
            <w:hideMark/>
          </w:tcPr>
          <w:p w14:paraId="0B89C6BB"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-0.81</w:t>
            </w:r>
          </w:p>
        </w:tc>
      </w:tr>
      <w:tr w:rsidR="004236C0" w:rsidRPr="008169F2" w14:paraId="03CA3C52" w14:textId="77777777" w:rsidTr="004236C0">
        <w:trPr>
          <w:trHeight w:val="20"/>
        </w:trPr>
        <w:tc>
          <w:tcPr>
            <w:tcW w:w="960" w:type="dxa"/>
            <w:shd w:val="clear" w:color="auto" w:fill="auto"/>
            <w:noWrap/>
            <w:vAlign w:val="bottom"/>
            <w:hideMark/>
          </w:tcPr>
          <w:p w14:paraId="04AB4967"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T/PP</w:t>
            </w:r>
          </w:p>
        </w:tc>
        <w:tc>
          <w:tcPr>
            <w:tcW w:w="963" w:type="dxa"/>
            <w:shd w:val="clear" w:color="auto" w:fill="auto"/>
            <w:noWrap/>
            <w:vAlign w:val="bottom"/>
            <w:hideMark/>
          </w:tcPr>
          <w:p w14:paraId="3A2BA6C5"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-0.41</w:t>
            </w:r>
          </w:p>
        </w:tc>
        <w:tc>
          <w:tcPr>
            <w:tcW w:w="960" w:type="dxa"/>
            <w:shd w:val="clear" w:color="auto" w:fill="auto"/>
            <w:noWrap/>
            <w:vAlign w:val="bottom"/>
            <w:hideMark/>
          </w:tcPr>
          <w:p w14:paraId="37A9AFCE"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0.25</w:t>
            </w:r>
          </w:p>
        </w:tc>
      </w:tr>
      <w:tr w:rsidR="004236C0" w:rsidRPr="008169F2" w14:paraId="524246CB" w14:textId="77777777" w:rsidTr="004236C0">
        <w:trPr>
          <w:trHeight w:val="20"/>
        </w:trPr>
        <w:tc>
          <w:tcPr>
            <w:tcW w:w="960" w:type="dxa"/>
            <w:shd w:val="clear" w:color="auto" w:fill="auto"/>
            <w:noWrap/>
            <w:vAlign w:val="bottom"/>
            <w:hideMark/>
          </w:tcPr>
          <w:p w14:paraId="0078B809"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T/WS</w:t>
            </w:r>
          </w:p>
        </w:tc>
        <w:tc>
          <w:tcPr>
            <w:tcW w:w="963" w:type="dxa"/>
            <w:shd w:val="clear" w:color="auto" w:fill="auto"/>
            <w:noWrap/>
            <w:vAlign w:val="bottom"/>
            <w:hideMark/>
          </w:tcPr>
          <w:p w14:paraId="3238E51F"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0.46</w:t>
            </w:r>
          </w:p>
        </w:tc>
        <w:tc>
          <w:tcPr>
            <w:tcW w:w="960" w:type="dxa"/>
            <w:shd w:val="clear" w:color="auto" w:fill="auto"/>
            <w:noWrap/>
            <w:vAlign w:val="bottom"/>
            <w:hideMark/>
          </w:tcPr>
          <w:p w14:paraId="4BBAA46A"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0.53</w:t>
            </w:r>
          </w:p>
        </w:tc>
      </w:tr>
      <w:tr w:rsidR="004236C0" w:rsidRPr="008169F2" w14:paraId="77AA4AB5" w14:textId="77777777" w:rsidTr="004236C0">
        <w:trPr>
          <w:trHeight w:val="20"/>
        </w:trPr>
        <w:tc>
          <w:tcPr>
            <w:tcW w:w="960" w:type="dxa"/>
            <w:shd w:val="clear" w:color="auto" w:fill="auto"/>
            <w:noWrap/>
            <w:vAlign w:val="bottom"/>
            <w:hideMark/>
          </w:tcPr>
          <w:p w14:paraId="53A2B874"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T/CC</w:t>
            </w:r>
          </w:p>
        </w:tc>
        <w:tc>
          <w:tcPr>
            <w:tcW w:w="963" w:type="dxa"/>
            <w:shd w:val="clear" w:color="auto" w:fill="auto"/>
            <w:noWrap/>
            <w:vAlign w:val="bottom"/>
            <w:hideMark/>
          </w:tcPr>
          <w:p w14:paraId="248B2AC3"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0.19</w:t>
            </w:r>
          </w:p>
        </w:tc>
        <w:tc>
          <w:tcPr>
            <w:tcW w:w="960" w:type="dxa"/>
            <w:shd w:val="clear" w:color="auto" w:fill="auto"/>
            <w:noWrap/>
            <w:vAlign w:val="bottom"/>
            <w:hideMark/>
          </w:tcPr>
          <w:p w14:paraId="09F42E8B"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0.31</w:t>
            </w:r>
          </w:p>
        </w:tc>
      </w:tr>
      <w:tr w:rsidR="004236C0" w:rsidRPr="008169F2" w14:paraId="4BAF1AB6" w14:textId="77777777" w:rsidTr="004236C0">
        <w:trPr>
          <w:trHeight w:val="20"/>
        </w:trPr>
        <w:tc>
          <w:tcPr>
            <w:tcW w:w="960" w:type="dxa"/>
            <w:shd w:val="clear" w:color="auto" w:fill="auto"/>
            <w:noWrap/>
            <w:vAlign w:val="bottom"/>
            <w:hideMark/>
          </w:tcPr>
          <w:p w14:paraId="5B00F524"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T/SR</w:t>
            </w:r>
          </w:p>
        </w:tc>
        <w:tc>
          <w:tcPr>
            <w:tcW w:w="963" w:type="dxa"/>
            <w:shd w:val="clear" w:color="auto" w:fill="auto"/>
            <w:noWrap/>
            <w:vAlign w:val="bottom"/>
            <w:hideMark/>
          </w:tcPr>
          <w:p w14:paraId="4EC95BCA"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0.69</w:t>
            </w:r>
          </w:p>
        </w:tc>
        <w:tc>
          <w:tcPr>
            <w:tcW w:w="960" w:type="dxa"/>
            <w:shd w:val="clear" w:color="auto" w:fill="auto"/>
            <w:noWrap/>
            <w:vAlign w:val="bottom"/>
            <w:hideMark/>
          </w:tcPr>
          <w:p w14:paraId="1DD33BF0"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0.76</w:t>
            </w:r>
          </w:p>
        </w:tc>
      </w:tr>
      <w:tr w:rsidR="004236C0" w:rsidRPr="008169F2" w14:paraId="34A76FA7" w14:textId="77777777" w:rsidTr="004236C0">
        <w:trPr>
          <w:trHeight w:val="20"/>
        </w:trPr>
        <w:tc>
          <w:tcPr>
            <w:tcW w:w="960" w:type="dxa"/>
            <w:shd w:val="clear" w:color="auto" w:fill="auto"/>
            <w:noWrap/>
            <w:vAlign w:val="bottom"/>
            <w:hideMark/>
          </w:tcPr>
          <w:p w14:paraId="17A09E9F" w14:textId="77777777" w:rsidR="004236C0" w:rsidRPr="008169F2" w:rsidRDefault="004236C0" w:rsidP="004236C0">
            <w:pPr>
              <w:spacing w:after="0" w:line="240" w:lineRule="auto"/>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T/UVI</w:t>
            </w:r>
          </w:p>
        </w:tc>
        <w:tc>
          <w:tcPr>
            <w:tcW w:w="963" w:type="dxa"/>
            <w:shd w:val="clear" w:color="auto" w:fill="auto"/>
            <w:noWrap/>
            <w:vAlign w:val="bottom"/>
            <w:hideMark/>
          </w:tcPr>
          <w:p w14:paraId="07F1FFD3"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0.72</w:t>
            </w:r>
          </w:p>
        </w:tc>
        <w:tc>
          <w:tcPr>
            <w:tcW w:w="960" w:type="dxa"/>
            <w:shd w:val="clear" w:color="auto" w:fill="auto"/>
            <w:noWrap/>
            <w:vAlign w:val="bottom"/>
            <w:hideMark/>
          </w:tcPr>
          <w:p w14:paraId="69EFEEC2" w14:textId="77777777" w:rsidR="004236C0" w:rsidRPr="008169F2" w:rsidRDefault="004236C0" w:rsidP="004236C0">
            <w:pPr>
              <w:spacing w:after="0" w:line="240" w:lineRule="auto"/>
              <w:jc w:val="right"/>
              <w:rPr>
                <w:rFonts w:ascii="Times New Roman" w:eastAsia="Times New Roman" w:hAnsi="Times New Roman" w:cs="Times New Roman"/>
                <w:color w:val="000000"/>
                <w:kern w:val="0"/>
                <w:sz w:val="24"/>
                <w:szCs w:val="24"/>
                <w14:ligatures w14:val="none"/>
              </w:rPr>
            </w:pPr>
            <w:r w:rsidRPr="008169F2">
              <w:rPr>
                <w:rFonts w:ascii="Times New Roman" w:eastAsia="Times New Roman" w:hAnsi="Times New Roman" w:cs="Times New Roman"/>
                <w:color w:val="000000"/>
                <w:kern w:val="0"/>
                <w:sz w:val="24"/>
                <w:szCs w:val="24"/>
                <w14:ligatures w14:val="none"/>
              </w:rPr>
              <w:t>0.80</w:t>
            </w:r>
          </w:p>
        </w:tc>
      </w:tr>
    </w:tbl>
    <w:p w14:paraId="51073293" w14:textId="77777777" w:rsidR="00642C41" w:rsidRDefault="00642C41" w:rsidP="00642C41">
      <w:pPr>
        <w:spacing w:after="0" w:line="240" w:lineRule="auto"/>
        <w:jc w:val="both"/>
        <w:rPr>
          <w:rFonts w:ascii="Times New Roman" w:hAnsi="Times New Roman" w:cs="Times New Roman"/>
          <w:b/>
          <w:bCs/>
          <w:sz w:val="24"/>
          <w:szCs w:val="24"/>
        </w:rPr>
      </w:pPr>
      <w:r w:rsidRPr="008169F2">
        <w:rPr>
          <w:rFonts w:ascii="Times New Roman" w:hAnsi="Times New Roman" w:cs="Times New Roman"/>
          <w:b/>
          <w:bCs/>
          <w:sz w:val="24"/>
          <w:szCs w:val="24"/>
        </w:rPr>
        <w:t xml:space="preserve">Table 4. Correlation Coefficient between Temperature and other Weather/Metrological Parameters </w:t>
      </w:r>
    </w:p>
    <w:p w14:paraId="5D3B2C02"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1BFFE983"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04900DA7"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3404B961"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60696427"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54EB6B7E"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7C9F1B0E"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2216D15A" w14:textId="77777777" w:rsidR="004236C0" w:rsidRDefault="004236C0" w:rsidP="00642C41">
      <w:pPr>
        <w:tabs>
          <w:tab w:val="left" w:pos="1125"/>
        </w:tabs>
        <w:spacing w:after="0" w:line="240" w:lineRule="auto"/>
        <w:jc w:val="both"/>
        <w:rPr>
          <w:rFonts w:ascii="Times New Roman" w:hAnsi="Times New Roman" w:cs="Times New Roman"/>
          <w:sz w:val="24"/>
          <w:szCs w:val="24"/>
        </w:rPr>
      </w:pPr>
    </w:p>
    <w:p w14:paraId="418B81C9" w14:textId="17C7B5B4" w:rsidR="004236C0" w:rsidRPr="004236C0" w:rsidRDefault="004236C0" w:rsidP="004236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4236C0">
        <w:rPr>
          <w:rFonts w:ascii="Times New Roman" w:hAnsi="Times New Roman" w:cs="Times New Roman"/>
          <w:sz w:val="24"/>
          <w:szCs w:val="24"/>
        </w:rPr>
        <w:t xml:space="preserve">able 4 presents the correlation between local </w:t>
      </w:r>
      <w:r>
        <w:rPr>
          <w:rFonts w:ascii="Times New Roman" w:hAnsi="Times New Roman" w:cs="Times New Roman"/>
          <w:sz w:val="24"/>
          <w:szCs w:val="24"/>
        </w:rPr>
        <w:t>T</w:t>
      </w:r>
      <w:r w:rsidRPr="004236C0">
        <w:rPr>
          <w:rFonts w:ascii="Times New Roman" w:hAnsi="Times New Roman" w:cs="Times New Roman"/>
          <w:sz w:val="24"/>
          <w:szCs w:val="24"/>
        </w:rPr>
        <w:t xml:space="preserve"> and various meteorological parameters in Nnewi and Onitsha. A notable finding is the negative correlation between </w:t>
      </w:r>
      <w:r>
        <w:rPr>
          <w:rFonts w:ascii="Times New Roman" w:hAnsi="Times New Roman" w:cs="Times New Roman"/>
          <w:sz w:val="24"/>
          <w:szCs w:val="24"/>
        </w:rPr>
        <w:t>T</w:t>
      </w:r>
      <w:r w:rsidRPr="004236C0">
        <w:rPr>
          <w:rFonts w:ascii="Times New Roman" w:hAnsi="Times New Roman" w:cs="Times New Roman"/>
          <w:sz w:val="24"/>
          <w:szCs w:val="24"/>
        </w:rPr>
        <w:t xml:space="preserve"> and </w:t>
      </w:r>
      <w:r>
        <w:rPr>
          <w:rFonts w:ascii="Times New Roman" w:hAnsi="Times New Roman" w:cs="Times New Roman"/>
          <w:sz w:val="24"/>
          <w:szCs w:val="24"/>
        </w:rPr>
        <w:t>DP</w:t>
      </w:r>
      <w:r w:rsidRPr="004236C0">
        <w:rPr>
          <w:rFonts w:ascii="Times New Roman" w:hAnsi="Times New Roman" w:cs="Times New Roman"/>
          <w:sz w:val="24"/>
          <w:szCs w:val="24"/>
        </w:rPr>
        <w:t xml:space="preserve">, which is moderate for Onitsha (r ~ -0.4) and stronger for Nnewi (r ~ -0.5). The </w:t>
      </w:r>
      <w:r>
        <w:rPr>
          <w:rFonts w:ascii="Times New Roman" w:hAnsi="Times New Roman" w:cs="Times New Roman"/>
          <w:sz w:val="24"/>
          <w:szCs w:val="24"/>
        </w:rPr>
        <w:t>DP</w:t>
      </w:r>
      <w:r w:rsidRPr="004236C0">
        <w:rPr>
          <w:rFonts w:ascii="Times New Roman" w:hAnsi="Times New Roman" w:cs="Times New Roman"/>
          <w:sz w:val="24"/>
          <w:szCs w:val="24"/>
        </w:rPr>
        <w:t xml:space="preserve">, representing the </w:t>
      </w:r>
      <w:r>
        <w:rPr>
          <w:rFonts w:ascii="Times New Roman" w:hAnsi="Times New Roman" w:cs="Times New Roman"/>
          <w:sz w:val="24"/>
          <w:szCs w:val="24"/>
        </w:rPr>
        <w:t>T</w:t>
      </w:r>
      <w:r w:rsidRPr="004236C0">
        <w:rPr>
          <w:rFonts w:ascii="Times New Roman" w:hAnsi="Times New Roman" w:cs="Times New Roman"/>
          <w:sz w:val="24"/>
          <w:szCs w:val="24"/>
        </w:rPr>
        <w:t xml:space="preserve"> at which water vapor condenses, decreases as the air's moisture content reduces. Factors such as dry air masses, cold fronts, or strong winds from desert regions contribute to this reduction </w:t>
      </w:r>
      <w:r>
        <w:rPr>
          <w:rFonts w:ascii="Times New Roman" w:hAnsi="Times New Roman" w:cs="Times New Roman"/>
          <w:sz w:val="24"/>
          <w:szCs w:val="24"/>
        </w:rPr>
        <w:t>[</w:t>
      </w:r>
      <w:r w:rsidR="0056564B">
        <w:rPr>
          <w:rFonts w:ascii="Times New Roman" w:hAnsi="Times New Roman" w:cs="Times New Roman"/>
          <w:sz w:val="24"/>
          <w:szCs w:val="24"/>
        </w:rPr>
        <w:t xml:space="preserve">21, </w:t>
      </w:r>
      <w:r>
        <w:rPr>
          <w:rFonts w:ascii="Times New Roman" w:hAnsi="Times New Roman" w:cs="Times New Roman"/>
          <w:sz w:val="24"/>
          <w:szCs w:val="24"/>
        </w:rPr>
        <w:t xml:space="preserve">43, </w:t>
      </w:r>
      <w:r w:rsidR="00FD6725">
        <w:rPr>
          <w:rFonts w:ascii="Times New Roman" w:hAnsi="Times New Roman" w:cs="Times New Roman"/>
          <w:sz w:val="24"/>
          <w:szCs w:val="24"/>
        </w:rPr>
        <w:t xml:space="preserve">44, </w:t>
      </w:r>
      <w:r>
        <w:rPr>
          <w:rFonts w:ascii="Times New Roman" w:hAnsi="Times New Roman" w:cs="Times New Roman"/>
          <w:sz w:val="24"/>
          <w:szCs w:val="24"/>
        </w:rPr>
        <w:t xml:space="preserve">80]. </w:t>
      </w:r>
      <w:r w:rsidRPr="004236C0">
        <w:rPr>
          <w:rFonts w:ascii="Times New Roman" w:hAnsi="Times New Roman" w:cs="Times New Roman"/>
          <w:sz w:val="24"/>
          <w:szCs w:val="24"/>
        </w:rPr>
        <w:t xml:space="preserve">Figure 13 shows the relationship between </w:t>
      </w:r>
      <w:r>
        <w:rPr>
          <w:rFonts w:ascii="Times New Roman" w:hAnsi="Times New Roman" w:cs="Times New Roman"/>
          <w:sz w:val="24"/>
          <w:szCs w:val="24"/>
        </w:rPr>
        <w:t>DP</w:t>
      </w:r>
      <w:r w:rsidRPr="004236C0">
        <w:rPr>
          <w:rFonts w:ascii="Times New Roman" w:hAnsi="Times New Roman" w:cs="Times New Roman"/>
          <w:sz w:val="24"/>
          <w:szCs w:val="24"/>
        </w:rPr>
        <w:t xml:space="preserve"> and </w:t>
      </w:r>
      <w:r>
        <w:rPr>
          <w:rFonts w:ascii="Times New Roman" w:hAnsi="Times New Roman" w:cs="Times New Roman"/>
          <w:sz w:val="24"/>
          <w:szCs w:val="24"/>
        </w:rPr>
        <w:t>T</w:t>
      </w:r>
      <w:r w:rsidRPr="004236C0">
        <w:rPr>
          <w:rFonts w:ascii="Times New Roman" w:hAnsi="Times New Roman" w:cs="Times New Roman"/>
          <w:sz w:val="24"/>
          <w:szCs w:val="24"/>
        </w:rPr>
        <w:t>, with a steeper rate of decline in Nnewi (slope: -0.83) compared to Onitsha (slope: -0.42). Onitsha's proximity to the River Niger likely moderates the decline, as the river contributes to local humidity levels. While lower dewpoints may bring clearer skies, the adverse effects on human health, agriculture, and wildfire risks outweigh the benefits, especially in areas with persistently low moisture levels</w:t>
      </w:r>
    </w:p>
    <w:p w14:paraId="13C93E45" w14:textId="77777777" w:rsidR="004179BC" w:rsidRDefault="004236C0" w:rsidP="004179BC">
      <w:pPr>
        <w:spacing w:after="0" w:line="240" w:lineRule="auto"/>
        <w:jc w:val="both"/>
        <w:rPr>
          <w:rFonts w:ascii="Times New Roman" w:hAnsi="Times New Roman" w:cs="Times New Roman"/>
          <w:sz w:val="24"/>
          <w:szCs w:val="24"/>
        </w:rPr>
      </w:pPr>
      <w:r w:rsidRPr="004236C0">
        <w:rPr>
          <w:rFonts w:ascii="Times New Roman" w:hAnsi="Times New Roman" w:cs="Times New Roman"/>
          <w:sz w:val="24"/>
          <w:szCs w:val="24"/>
        </w:rPr>
        <w:t xml:space="preserve">Climate change, driven by increased GHG emissions, influences </w:t>
      </w:r>
      <w:r>
        <w:rPr>
          <w:rFonts w:ascii="Times New Roman" w:hAnsi="Times New Roman" w:cs="Times New Roman"/>
          <w:sz w:val="24"/>
          <w:szCs w:val="24"/>
        </w:rPr>
        <w:t>DP</w:t>
      </w:r>
      <w:r w:rsidRPr="004236C0">
        <w:rPr>
          <w:rFonts w:ascii="Times New Roman" w:hAnsi="Times New Roman" w:cs="Times New Roman"/>
          <w:sz w:val="24"/>
          <w:szCs w:val="24"/>
        </w:rPr>
        <w:t xml:space="preserve"> by raising </w:t>
      </w:r>
      <w:r>
        <w:rPr>
          <w:rFonts w:ascii="Times New Roman" w:hAnsi="Times New Roman" w:cs="Times New Roman"/>
          <w:sz w:val="24"/>
          <w:szCs w:val="24"/>
        </w:rPr>
        <w:t>T</w:t>
      </w:r>
      <w:r w:rsidRPr="004236C0">
        <w:rPr>
          <w:rFonts w:ascii="Times New Roman" w:hAnsi="Times New Roman" w:cs="Times New Roman"/>
          <w:sz w:val="24"/>
          <w:szCs w:val="24"/>
        </w:rPr>
        <w:t xml:space="preserve">s and evaporation rates, potentially increasing absolute humidity. However, in areas with dry air masses or reduced moisture, </w:t>
      </w:r>
      <w:r>
        <w:rPr>
          <w:rFonts w:ascii="Times New Roman" w:hAnsi="Times New Roman" w:cs="Times New Roman"/>
          <w:sz w:val="24"/>
          <w:szCs w:val="24"/>
        </w:rPr>
        <w:t>DP</w:t>
      </w:r>
      <w:r w:rsidRPr="004236C0">
        <w:rPr>
          <w:rFonts w:ascii="Times New Roman" w:hAnsi="Times New Roman" w:cs="Times New Roman"/>
          <w:sz w:val="24"/>
          <w:szCs w:val="24"/>
        </w:rPr>
        <w:t xml:space="preserve"> declines, leading to environmental and health impacts. Lower </w:t>
      </w:r>
      <w:r>
        <w:rPr>
          <w:rFonts w:ascii="Times New Roman" w:hAnsi="Times New Roman" w:cs="Times New Roman"/>
          <w:sz w:val="24"/>
          <w:szCs w:val="24"/>
        </w:rPr>
        <w:t>DP</w:t>
      </w:r>
      <w:r w:rsidRPr="004236C0">
        <w:rPr>
          <w:rFonts w:ascii="Times New Roman" w:hAnsi="Times New Roman" w:cs="Times New Roman"/>
          <w:sz w:val="24"/>
          <w:szCs w:val="24"/>
        </w:rPr>
        <w:t xml:space="preserve">s are associated with dry air, which can increase wildfire risks, respiratory issues, dry skin, and dehydration. Dry conditions also negatively affect agriculture by reducing soil moisture, limiting crop growth, and increasing irrigation needs. </w:t>
      </w:r>
    </w:p>
    <w:p w14:paraId="2AF73177" w14:textId="09541646" w:rsidR="004179BC" w:rsidRPr="004179BC" w:rsidRDefault="004179BC" w:rsidP="004179BC">
      <w:pPr>
        <w:spacing w:after="0" w:line="240" w:lineRule="auto"/>
        <w:jc w:val="both"/>
        <w:rPr>
          <w:rFonts w:ascii="Times New Roman" w:hAnsi="Times New Roman" w:cs="Times New Roman"/>
          <w:sz w:val="24"/>
          <w:szCs w:val="24"/>
        </w:rPr>
      </w:pPr>
      <w:r w:rsidRPr="004179BC">
        <w:rPr>
          <w:rFonts w:ascii="Times New Roman" w:hAnsi="Times New Roman" w:cs="Times New Roman"/>
          <w:sz w:val="24"/>
          <w:szCs w:val="24"/>
        </w:rPr>
        <w:t xml:space="preserve">Fig 14 illustrates the annual average values of </w:t>
      </w:r>
      <w:r>
        <w:rPr>
          <w:rFonts w:ascii="Times New Roman" w:hAnsi="Times New Roman" w:cs="Times New Roman"/>
          <w:sz w:val="24"/>
          <w:szCs w:val="24"/>
        </w:rPr>
        <w:t>H</w:t>
      </w:r>
      <w:r w:rsidRPr="004179BC">
        <w:rPr>
          <w:rFonts w:ascii="Times New Roman" w:hAnsi="Times New Roman" w:cs="Times New Roman"/>
          <w:sz w:val="24"/>
          <w:szCs w:val="24"/>
        </w:rPr>
        <w:t xml:space="preserve"> plotted against </w:t>
      </w:r>
      <w:r>
        <w:rPr>
          <w:rFonts w:ascii="Times New Roman" w:hAnsi="Times New Roman" w:cs="Times New Roman"/>
          <w:sz w:val="24"/>
          <w:szCs w:val="24"/>
        </w:rPr>
        <w:t>T</w:t>
      </w:r>
      <w:r w:rsidRPr="004179BC">
        <w:rPr>
          <w:rFonts w:ascii="Times New Roman" w:hAnsi="Times New Roman" w:cs="Times New Roman"/>
          <w:sz w:val="24"/>
          <w:szCs w:val="24"/>
        </w:rPr>
        <w:t xml:space="preserve"> for Onitsha and Nnewi, showing a strong negative correlation (r ~ -0.8), as confirmed in Table 4.2, with increasing </w:t>
      </w:r>
      <w:r>
        <w:rPr>
          <w:rFonts w:ascii="Times New Roman" w:hAnsi="Times New Roman" w:cs="Times New Roman"/>
          <w:sz w:val="24"/>
          <w:szCs w:val="24"/>
        </w:rPr>
        <w:t>T</w:t>
      </w:r>
      <w:r w:rsidRPr="004179BC">
        <w:rPr>
          <w:rFonts w:ascii="Times New Roman" w:hAnsi="Times New Roman" w:cs="Times New Roman"/>
          <w:sz w:val="24"/>
          <w:szCs w:val="24"/>
        </w:rPr>
        <w:t xml:space="preserve">s resulting in declining </w:t>
      </w:r>
      <w:r>
        <w:rPr>
          <w:rFonts w:ascii="Times New Roman" w:hAnsi="Times New Roman" w:cs="Times New Roman"/>
          <w:sz w:val="24"/>
          <w:szCs w:val="24"/>
        </w:rPr>
        <w:t>T</w:t>
      </w:r>
      <w:r w:rsidRPr="004179BC">
        <w:rPr>
          <w:rFonts w:ascii="Times New Roman" w:hAnsi="Times New Roman" w:cs="Times New Roman"/>
          <w:sz w:val="24"/>
          <w:szCs w:val="24"/>
        </w:rPr>
        <w:t xml:space="preserve"> levels. The rate of this decline is steeper in Nnewi (slope: -6.47) compared to Onitsha (slope: -5.14), likely reflecting regional variations in environmental factors. The combination of rising </w:t>
      </w:r>
      <w:r>
        <w:rPr>
          <w:rFonts w:ascii="Times New Roman" w:hAnsi="Times New Roman" w:cs="Times New Roman"/>
          <w:sz w:val="24"/>
          <w:szCs w:val="24"/>
        </w:rPr>
        <w:t>T</w:t>
      </w:r>
      <w:r w:rsidRPr="004179BC">
        <w:rPr>
          <w:rFonts w:ascii="Times New Roman" w:hAnsi="Times New Roman" w:cs="Times New Roman"/>
          <w:sz w:val="24"/>
          <w:szCs w:val="24"/>
        </w:rPr>
        <w:t xml:space="preserve">s and falling </w:t>
      </w:r>
      <w:r>
        <w:rPr>
          <w:rFonts w:ascii="Times New Roman" w:hAnsi="Times New Roman" w:cs="Times New Roman"/>
          <w:sz w:val="24"/>
          <w:szCs w:val="24"/>
        </w:rPr>
        <w:t>H</w:t>
      </w:r>
      <w:r w:rsidRPr="004179BC">
        <w:rPr>
          <w:rFonts w:ascii="Times New Roman" w:hAnsi="Times New Roman" w:cs="Times New Roman"/>
          <w:sz w:val="24"/>
          <w:szCs w:val="24"/>
        </w:rPr>
        <w:t xml:space="preserve"> levels triggers a cascade of adverse environmental and health effects, as documented by the </w:t>
      </w:r>
      <w:r>
        <w:rPr>
          <w:rFonts w:ascii="Times New Roman" w:hAnsi="Times New Roman" w:cs="Times New Roman"/>
          <w:sz w:val="24"/>
          <w:szCs w:val="24"/>
        </w:rPr>
        <w:t>[43, 80]</w:t>
      </w:r>
    </w:p>
    <w:p w14:paraId="104EFCC5" w14:textId="6CEB8856" w:rsidR="0028467F" w:rsidRPr="004179BC" w:rsidRDefault="004179BC" w:rsidP="00642C41">
      <w:pPr>
        <w:spacing w:after="0" w:line="240" w:lineRule="auto"/>
        <w:jc w:val="both"/>
        <w:rPr>
          <w:rFonts w:ascii="Times New Roman" w:hAnsi="Times New Roman" w:cs="Times New Roman"/>
          <w:sz w:val="24"/>
          <w:szCs w:val="24"/>
        </w:rPr>
      </w:pPr>
      <w:r w:rsidRPr="004179BC">
        <w:rPr>
          <w:rFonts w:ascii="Times New Roman" w:hAnsi="Times New Roman" w:cs="Times New Roman"/>
          <w:sz w:val="24"/>
          <w:szCs w:val="24"/>
        </w:rPr>
        <w:t xml:space="preserve">Low </w:t>
      </w:r>
      <w:r>
        <w:rPr>
          <w:rFonts w:ascii="Times New Roman" w:hAnsi="Times New Roman" w:cs="Times New Roman"/>
          <w:sz w:val="24"/>
          <w:szCs w:val="24"/>
        </w:rPr>
        <w:t>H</w:t>
      </w:r>
      <w:r w:rsidRPr="004179BC">
        <w:rPr>
          <w:rFonts w:ascii="Times New Roman" w:hAnsi="Times New Roman" w:cs="Times New Roman"/>
          <w:sz w:val="24"/>
          <w:szCs w:val="24"/>
        </w:rPr>
        <w:t xml:space="preserve"> and high </w:t>
      </w:r>
      <w:r>
        <w:rPr>
          <w:rFonts w:ascii="Times New Roman" w:hAnsi="Times New Roman" w:cs="Times New Roman"/>
          <w:sz w:val="24"/>
          <w:szCs w:val="24"/>
        </w:rPr>
        <w:t>T</w:t>
      </w:r>
      <w:r w:rsidRPr="004179BC">
        <w:rPr>
          <w:rFonts w:ascii="Times New Roman" w:hAnsi="Times New Roman" w:cs="Times New Roman"/>
          <w:sz w:val="24"/>
          <w:szCs w:val="24"/>
        </w:rPr>
        <w:t xml:space="preserve">s significantly impact the heat index, which combines air temperature and humidity to gauge how hot it feels. While low </w:t>
      </w:r>
      <w:r>
        <w:rPr>
          <w:rFonts w:ascii="Times New Roman" w:hAnsi="Times New Roman" w:cs="Times New Roman"/>
          <w:sz w:val="24"/>
          <w:szCs w:val="24"/>
        </w:rPr>
        <w:t>H</w:t>
      </w:r>
      <w:r w:rsidRPr="004179BC">
        <w:rPr>
          <w:rFonts w:ascii="Times New Roman" w:hAnsi="Times New Roman" w:cs="Times New Roman"/>
          <w:sz w:val="24"/>
          <w:szCs w:val="24"/>
        </w:rPr>
        <w:t xml:space="preserve"> can initially enhance the body’s ability to cool itself through sweating and evaporation, sustained high </w:t>
      </w:r>
      <w:r>
        <w:rPr>
          <w:rFonts w:ascii="Times New Roman" w:hAnsi="Times New Roman" w:cs="Times New Roman"/>
          <w:sz w:val="24"/>
          <w:szCs w:val="24"/>
        </w:rPr>
        <w:t>T</w:t>
      </w:r>
      <w:r w:rsidRPr="004179BC">
        <w:rPr>
          <w:rFonts w:ascii="Times New Roman" w:hAnsi="Times New Roman" w:cs="Times New Roman"/>
          <w:sz w:val="24"/>
          <w:szCs w:val="24"/>
        </w:rPr>
        <w:t xml:space="preserve">s with insufficient </w:t>
      </w:r>
      <w:r>
        <w:rPr>
          <w:rFonts w:ascii="Times New Roman" w:hAnsi="Times New Roman" w:cs="Times New Roman"/>
          <w:sz w:val="24"/>
          <w:szCs w:val="24"/>
        </w:rPr>
        <w:t>H</w:t>
      </w:r>
      <w:r w:rsidRPr="004179BC">
        <w:rPr>
          <w:rFonts w:ascii="Times New Roman" w:hAnsi="Times New Roman" w:cs="Times New Roman"/>
          <w:sz w:val="24"/>
          <w:szCs w:val="24"/>
        </w:rPr>
        <w:t xml:space="preserve"> can overwhelm these cooling mechanisms, leading to heat stress and heat exhaustion, particularly in areas experiencing extreme heat. Furthermore, the drop in humidity, coupled with rising temperatures, accelerates evaporation from soil and water bodies, intensifying water stress on crops and plants. This results in poor agricultural yields, exacerbates drought conditions, and increases reliance on irrigation systems, particularly in rain-dependent regions</w:t>
      </w:r>
      <w:r>
        <w:rPr>
          <w:rFonts w:ascii="Times New Roman" w:hAnsi="Times New Roman" w:cs="Times New Roman"/>
          <w:sz w:val="24"/>
          <w:szCs w:val="24"/>
        </w:rPr>
        <w:t xml:space="preserve"> [80]</w:t>
      </w:r>
      <w:r w:rsidRPr="004179BC">
        <w:rPr>
          <w:rFonts w:ascii="Times New Roman" w:hAnsi="Times New Roman" w:cs="Times New Roman"/>
          <w:sz w:val="24"/>
          <w:szCs w:val="24"/>
        </w:rPr>
        <w:t>.</w:t>
      </w:r>
    </w:p>
    <w:p w14:paraId="5BC45F83" w14:textId="77777777" w:rsidR="00642C41" w:rsidRPr="007419DC" w:rsidRDefault="00642C41" w:rsidP="00642C41">
      <w:pPr>
        <w:spacing w:after="0" w:line="480" w:lineRule="auto"/>
        <w:jc w:val="both"/>
        <w:rPr>
          <w:rFonts w:ascii="Times New Roman" w:hAnsi="Times New Roman" w:cs="Times New Roman"/>
          <w:sz w:val="24"/>
          <w:szCs w:val="24"/>
        </w:rPr>
      </w:pPr>
      <w:r>
        <w:rPr>
          <w:noProof/>
        </w:rPr>
        <w:lastRenderedPageBreak/>
        <w:drawing>
          <wp:inline distT="0" distB="0" distL="0" distR="0" wp14:anchorId="5A446567" wp14:editId="0CF3055A">
            <wp:extent cx="6038850" cy="2133600"/>
            <wp:effectExtent l="0" t="0" r="0" b="0"/>
            <wp:docPr id="550524576" name="Chart 1">
              <a:extLst xmlns:a="http://schemas.openxmlformats.org/drawingml/2006/main">
                <a:ext uri="{FF2B5EF4-FFF2-40B4-BE49-F238E27FC236}">
                  <a16:creationId xmlns:a16="http://schemas.microsoft.com/office/drawing/2014/main" id="{47FAA32B-C1E7-6DEE-4AD3-4A4FB10FD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91095F" w14:textId="77777777" w:rsidR="00642C41" w:rsidRDefault="00642C41" w:rsidP="00642C41">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13</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Dewpoint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40BDEB47" w14:textId="77777777" w:rsidR="00642C41" w:rsidRDefault="00642C41" w:rsidP="00642C41">
      <w:pPr>
        <w:spacing w:after="0" w:line="480" w:lineRule="auto"/>
        <w:jc w:val="both"/>
        <w:rPr>
          <w:rFonts w:ascii="Times New Roman" w:hAnsi="Times New Roman" w:cs="Times New Roman"/>
          <w:b/>
          <w:bCs/>
          <w:sz w:val="24"/>
          <w:szCs w:val="24"/>
        </w:rPr>
      </w:pPr>
      <w:r>
        <w:rPr>
          <w:noProof/>
        </w:rPr>
        <w:drawing>
          <wp:inline distT="0" distB="0" distL="0" distR="0" wp14:anchorId="6220F482" wp14:editId="2550FC84">
            <wp:extent cx="5972175" cy="2209800"/>
            <wp:effectExtent l="0" t="0" r="9525" b="0"/>
            <wp:docPr id="1477168579" name="Chart 1">
              <a:extLst xmlns:a="http://schemas.openxmlformats.org/drawingml/2006/main">
                <a:ext uri="{FF2B5EF4-FFF2-40B4-BE49-F238E27FC236}">
                  <a16:creationId xmlns:a16="http://schemas.microsoft.com/office/drawing/2014/main" id="{8FFE8B73-ECF0-366D-EB7D-191070EC3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F7E15A" w14:textId="77777777" w:rsidR="00642C41" w:rsidRDefault="00642C41" w:rsidP="00642C41">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14</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Humidity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1627B5B6" w14:textId="77777777" w:rsidR="004179BC" w:rsidRPr="004179BC" w:rsidRDefault="004179BC" w:rsidP="004179BC">
      <w:pPr>
        <w:spacing w:after="0" w:line="240" w:lineRule="auto"/>
        <w:jc w:val="both"/>
        <w:rPr>
          <w:rFonts w:ascii="Times New Roman" w:hAnsi="Times New Roman" w:cs="Times New Roman"/>
          <w:sz w:val="24"/>
          <w:szCs w:val="24"/>
        </w:rPr>
      </w:pPr>
      <w:r w:rsidRPr="004179BC">
        <w:rPr>
          <w:rFonts w:ascii="Times New Roman" w:hAnsi="Times New Roman" w:cs="Times New Roman"/>
          <w:sz w:val="24"/>
          <w:szCs w:val="24"/>
        </w:rPr>
        <w:t xml:space="preserve">The interplay of low </w:t>
      </w:r>
      <w:r>
        <w:rPr>
          <w:rFonts w:ascii="Times New Roman" w:hAnsi="Times New Roman" w:cs="Times New Roman"/>
          <w:sz w:val="24"/>
          <w:szCs w:val="24"/>
        </w:rPr>
        <w:t>H</w:t>
      </w:r>
      <w:r w:rsidRPr="004179BC">
        <w:rPr>
          <w:rFonts w:ascii="Times New Roman" w:hAnsi="Times New Roman" w:cs="Times New Roman"/>
          <w:sz w:val="24"/>
          <w:szCs w:val="24"/>
        </w:rPr>
        <w:t xml:space="preserve"> and high </w:t>
      </w:r>
      <w:r>
        <w:rPr>
          <w:rFonts w:ascii="Times New Roman" w:hAnsi="Times New Roman" w:cs="Times New Roman"/>
          <w:sz w:val="24"/>
          <w:szCs w:val="24"/>
        </w:rPr>
        <w:t>T</w:t>
      </w:r>
      <w:r w:rsidRPr="004179BC">
        <w:rPr>
          <w:rFonts w:ascii="Times New Roman" w:hAnsi="Times New Roman" w:cs="Times New Roman"/>
          <w:sz w:val="24"/>
          <w:szCs w:val="24"/>
        </w:rPr>
        <w:t xml:space="preserve">s also drives desertification, as ecosystems struggle to sustain vegetation under these harsh conditions. Vegetation becomes increasingly dry and flammable, reducing its moisture content and heightening the risk of wildfires. These conditions create a dangerous feedback loop, where declining </w:t>
      </w:r>
      <w:r>
        <w:rPr>
          <w:rFonts w:ascii="Times New Roman" w:hAnsi="Times New Roman" w:cs="Times New Roman"/>
          <w:sz w:val="24"/>
          <w:szCs w:val="24"/>
        </w:rPr>
        <w:t>H</w:t>
      </w:r>
      <w:r w:rsidRPr="004179BC">
        <w:rPr>
          <w:rFonts w:ascii="Times New Roman" w:hAnsi="Times New Roman" w:cs="Times New Roman"/>
          <w:sz w:val="24"/>
          <w:szCs w:val="24"/>
        </w:rPr>
        <w:t xml:space="preserve"> and rising </w:t>
      </w:r>
      <w:r>
        <w:rPr>
          <w:rFonts w:ascii="Times New Roman" w:hAnsi="Times New Roman" w:cs="Times New Roman"/>
          <w:sz w:val="24"/>
          <w:szCs w:val="24"/>
        </w:rPr>
        <w:t>T</w:t>
      </w:r>
      <w:r w:rsidRPr="004179BC">
        <w:rPr>
          <w:rFonts w:ascii="Times New Roman" w:hAnsi="Times New Roman" w:cs="Times New Roman"/>
          <w:sz w:val="24"/>
          <w:szCs w:val="24"/>
        </w:rPr>
        <w:t>s perpetuate environmental degradation, threaten human health, and compromise agricultural sustainability.</w:t>
      </w:r>
    </w:p>
    <w:p w14:paraId="2B84867A" w14:textId="21060916" w:rsidR="004179BC" w:rsidRPr="004179BC" w:rsidRDefault="004179BC" w:rsidP="00642C41">
      <w:pPr>
        <w:spacing w:after="0" w:line="240" w:lineRule="auto"/>
        <w:jc w:val="both"/>
        <w:rPr>
          <w:rFonts w:ascii="Times New Roman" w:eastAsiaTheme="minorEastAsia" w:hAnsi="Times New Roman" w:cs="Times New Roman"/>
          <w:sz w:val="24"/>
          <w:szCs w:val="24"/>
        </w:rPr>
      </w:pPr>
      <w:r w:rsidRPr="004179BC">
        <w:rPr>
          <w:rFonts w:ascii="Times New Roman" w:eastAsiaTheme="minorEastAsia" w:hAnsi="Times New Roman" w:cs="Times New Roman"/>
          <w:sz w:val="24"/>
          <w:szCs w:val="24"/>
        </w:rPr>
        <w:t xml:space="preserve">Fig 15 presents the plot of annual average values of </w:t>
      </w:r>
      <w:r>
        <w:rPr>
          <w:rFonts w:ascii="Times New Roman" w:eastAsiaTheme="minorEastAsia" w:hAnsi="Times New Roman" w:cs="Times New Roman"/>
          <w:sz w:val="24"/>
          <w:szCs w:val="24"/>
        </w:rPr>
        <w:t>WS</w:t>
      </w:r>
      <w:r w:rsidRPr="004179BC">
        <w:rPr>
          <w:rFonts w:ascii="Times New Roman" w:eastAsiaTheme="minorEastAsia" w:hAnsi="Times New Roman" w:cs="Times New Roman"/>
          <w:sz w:val="24"/>
          <w:szCs w:val="24"/>
        </w:rPr>
        <w:t xml:space="preserve"> against </w:t>
      </w:r>
      <w:r>
        <w:rPr>
          <w:rFonts w:ascii="Times New Roman" w:eastAsiaTheme="minorEastAsia" w:hAnsi="Times New Roman" w:cs="Times New Roman"/>
          <w:sz w:val="24"/>
          <w:szCs w:val="24"/>
        </w:rPr>
        <w:t>T</w:t>
      </w:r>
      <w:r w:rsidRPr="004179BC">
        <w:rPr>
          <w:rFonts w:ascii="Times New Roman" w:eastAsiaTheme="minorEastAsia" w:hAnsi="Times New Roman" w:cs="Times New Roman"/>
          <w:sz w:val="24"/>
          <w:szCs w:val="24"/>
        </w:rPr>
        <w:t xml:space="preserve"> for Onitsha and Nnewi, showing that rising </w:t>
      </w:r>
      <w:r>
        <w:rPr>
          <w:rFonts w:ascii="Times New Roman" w:eastAsiaTheme="minorEastAsia" w:hAnsi="Times New Roman" w:cs="Times New Roman"/>
          <w:sz w:val="24"/>
          <w:szCs w:val="24"/>
        </w:rPr>
        <w:t>T</w:t>
      </w:r>
      <w:r w:rsidRPr="004179BC">
        <w:rPr>
          <w:rFonts w:ascii="Times New Roman" w:eastAsiaTheme="minorEastAsia" w:hAnsi="Times New Roman" w:cs="Times New Roman"/>
          <w:sz w:val="24"/>
          <w:szCs w:val="24"/>
        </w:rPr>
        <w:t xml:space="preserve">s increase </w:t>
      </w:r>
      <w:r>
        <w:rPr>
          <w:rFonts w:ascii="Times New Roman" w:eastAsiaTheme="minorEastAsia" w:hAnsi="Times New Roman" w:cs="Times New Roman"/>
          <w:sz w:val="24"/>
          <w:szCs w:val="24"/>
        </w:rPr>
        <w:t>WS</w:t>
      </w:r>
      <w:r w:rsidRPr="004179BC">
        <w:rPr>
          <w:rFonts w:ascii="Times New Roman" w:eastAsiaTheme="minorEastAsia" w:hAnsi="Times New Roman" w:cs="Times New Roman"/>
          <w:sz w:val="24"/>
          <w:szCs w:val="24"/>
        </w:rPr>
        <w:t xml:space="preserve"> in both towns. The slope of the linear fit is steeper in Nnewi (3.39, r ~ 0.5) compared to Onitsha (1.75, r ~ 0.5), indicating that </w:t>
      </w:r>
      <w:r>
        <w:rPr>
          <w:rFonts w:ascii="Times New Roman" w:eastAsiaTheme="minorEastAsia" w:hAnsi="Times New Roman" w:cs="Times New Roman"/>
          <w:sz w:val="24"/>
          <w:szCs w:val="24"/>
        </w:rPr>
        <w:t>T</w:t>
      </w:r>
      <w:r w:rsidRPr="004179BC">
        <w:rPr>
          <w:rFonts w:ascii="Times New Roman" w:eastAsiaTheme="minorEastAsia" w:hAnsi="Times New Roman" w:cs="Times New Roman"/>
          <w:sz w:val="24"/>
          <w:szCs w:val="24"/>
        </w:rPr>
        <w:t xml:space="preserve"> has a more significant impact on wind speed in Nnewi. Increasing </w:t>
      </w:r>
      <w:r>
        <w:rPr>
          <w:rFonts w:ascii="Times New Roman" w:eastAsiaTheme="minorEastAsia" w:hAnsi="Times New Roman" w:cs="Times New Roman"/>
          <w:sz w:val="24"/>
          <w:szCs w:val="24"/>
        </w:rPr>
        <w:t>T</w:t>
      </w:r>
      <w:r w:rsidRPr="004179BC">
        <w:rPr>
          <w:rFonts w:ascii="Times New Roman" w:eastAsiaTheme="minorEastAsia" w:hAnsi="Times New Roman" w:cs="Times New Roman"/>
          <w:sz w:val="24"/>
          <w:szCs w:val="24"/>
        </w:rPr>
        <w:t xml:space="preserve">s affect </w:t>
      </w:r>
      <w:r>
        <w:rPr>
          <w:rFonts w:ascii="Times New Roman" w:eastAsiaTheme="minorEastAsia" w:hAnsi="Times New Roman" w:cs="Times New Roman"/>
          <w:sz w:val="24"/>
          <w:szCs w:val="24"/>
        </w:rPr>
        <w:t>WS</w:t>
      </w:r>
      <w:r w:rsidRPr="004179BC">
        <w:rPr>
          <w:rFonts w:ascii="Times New Roman" w:eastAsiaTheme="minorEastAsia" w:hAnsi="Times New Roman" w:cs="Times New Roman"/>
          <w:sz w:val="24"/>
          <w:szCs w:val="24"/>
        </w:rPr>
        <w:t xml:space="preserve"> and direction through changes in atmospheric pressure patterns, heat distribution, and large-scale climate processes, as noted by </w:t>
      </w:r>
      <w:r>
        <w:rPr>
          <w:rFonts w:ascii="Times New Roman" w:eastAsiaTheme="minorEastAsia" w:hAnsi="Times New Roman" w:cs="Times New Roman"/>
          <w:sz w:val="24"/>
          <w:szCs w:val="24"/>
        </w:rPr>
        <w:t xml:space="preserve">[59, 74, 75]. </w:t>
      </w:r>
      <w:r w:rsidRPr="004179BC">
        <w:rPr>
          <w:rFonts w:ascii="Times New Roman" w:eastAsiaTheme="minorEastAsia" w:hAnsi="Times New Roman" w:cs="Times New Roman"/>
          <w:sz w:val="24"/>
          <w:szCs w:val="24"/>
        </w:rPr>
        <w:t>These processes influence wind speed and direction by altering the pressure gradients and thermal differences between regions, which drive wind circulation patterns.</w:t>
      </w:r>
    </w:p>
    <w:p w14:paraId="508D1C60" w14:textId="77777777" w:rsidR="00642C41" w:rsidRPr="004179BC" w:rsidRDefault="00642C41" w:rsidP="00642C41">
      <w:pPr>
        <w:spacing w:after="0" w:line="240" w:lineRule="auto"/>
        <w:jc w:val="both"/>
        <w:rPr>
          <w:rFonts w:ascii="Times New Roman" w:eastAsiaTheme="minorEastAsia" w:hAnsi="Times New Roman" w:cs="Times New Roman"/>
          <w:sz w:val="24"/>
          <w:szCs w:val="24"/>
        </w:rPr>
      </w:pPr>
    </w:p>
    <w:p w14:paraId="2B499D34" w14:textId="77777777" w:rsidR="00642C41" w:rsidRDefault="00642C41" w:rsidP="00642C41">
      <w:pPr>
        <w:spacing w:after="0" w:line="480" w:lineRule="auto"/>
        <w:jc w:val="both"/>
        <w:rPr>
          <w:rFonts w:ascii="Times New Roman" w:eastAsiaTheme="minorEastAsia" w:hAnsi="Times New Roman" w:cs="Times New Roman"/>
          <w:sz w:val="24"/>
          <w:szCs w:val="24"/>
        </w:rPr>
      </w:pPr>
      <w:r>
        <w:rPr>
          <w:noProof/>
        </w:rPr>
        <w:lastRenderedPageBreak/>
        <w:drawing>
          <wp:inline distT="0" distB="0" distL="0" distR="0" wp14:anchorId="2EF40CE6" wp14:editId="639FAF31">
            <wp:extent cx="5648325" cy="2085975"/>
            <wp:effectExtent l="0" t="0" r="9525" b="9525"/>
            <wp:docPr id="1376493384" name="Chart 1">
              <a:extLst xmlns:a="http://schemas.openxmlformats.org/drawingml/2006/main">
                <a:ext uri="{FF2B5EF4-FFF2-40B4-BE49-F238E27FC236}">
                  <a16:creationId xmlns:a16="http://schemas.microsoft.com/office/drawing/2014/main" id="{26AA445B-3E42-D18D-918F-68186BF4F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20A616" w14:textId="77777777" w:rsidR="00642C41" w:rsidRDefault="00642C41" w:rsidP="00642C41">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15</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Wind Speed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771B8B50" w14:textId="77777777" w:rsidR="00920BF1" w:rsidRDefault="004179BC" w:rsidP="004179BC">
      <w:pPr>
        <w:spacing w:after="0" w:line="240" w:lineRule="auto"/>
        <w:jc w:val="both"/>
        <w:rPr>
          <w:rFonts w:ascii="Times New Roman" w:hAnsi="Times New Roman" w:cs="Times New Roman"/>
          <w:sz w:val="24"/>
          <w:szCs w:val="24"/>
        </w:rPr>
      </w:pPr>
      <w:r w:rsidRPr="004179BC">
        <w:rPr>
          <w:rFonts w:ascii="Times New Roman" w:hAnsi="Times New Roman" w:cs="Times New Roman"/>
          <w:sz w:val="24"/>
          <w:szCs w:val="24"/>
        </w:rPr>
        <w:t xml:space="preserve">Wind is driven by atmospheric pressure differences, typically caused by </w:t>
      </w:r>
      <w:r w:rsidR="00920BF1">
        <w:rPr>
          <w:rFonts w:ascii="Times New Roman" w:hAnsi="Times New Roman" w:cs="Times New Roman"/>
          <w:sz w:val="24"/>
          <w:szCs w:val="24"/>
        </w:rPr>
        <w:t>T</w:t>
      </w:r>
      <w:r w:rsidRPr="004179BC">
        <w:rPr>
          <w:rFonts w:ascii="Times New Roman" w:hAnsi="Times New Roman" w:cs="Times New Roman"/>
          <w:sz w:val="24"/>
          <w:szCs w:val="24"/>
        </w:rPr>
        <w:t xml:space="preserve"> contrasts between regions. </w:t>
      </w:r>
      <w:r w:rsidR="00920BF1">
        <w:rPr>
          <w:rFonts w:ascii="Times New Roman" w:hAnsi="Times New Roman" w:cs="Times New Roman"/>
          <w:sz w:val="24"/>
          <w:szCs w:val="24"/>
        </w:rPr>
        <w:t>The</w:t>
      </w:r>
      <w:r w:rsidRPr="004179BC">
        <w:rPr>
          <w:rFonts w:ascii="Times New Roman" w:hAnsi="Times New Roman" w:cs="Times New Roman"/>
          <w:sz w:val="24"/>
          <w:szCs w:val="24"/>
        </w:rPr>
        <w:t xml:space="preserve"> rising temperatures can lead to localized increases in </w:t>
      </w:r>
      <w:r w:rsidR="00920BF1">
        <w:rPr>
          <w:rFonts w:ascii="Times New Roman" w:hAnsi="Times New Roman" w:cs="Times New Roman"/>
          <w:sz w:val="24"/>
          <w:szCs w:val="24"/>
        </w:rPr>
        <w:t>WS</w:t>
      </w:r>
      <w:r w:rsidRPr="004179BC">
        <w:rPr>
          <w:rFonts w:ascii="Times New Roman" w:hAnsi="Times New Roman" w:cs="Times New Roman"/>
          <w:sz w:val="24"/>
          <w:szCs w:val="24"/>
        </w:rPr>
        <w:t xml:space="preserve">. For instance, urban heat islands, where cities are warmer than surrounding rural areas, create low-pressure zones that pull in cooler air, generating stronger winds. Similarly, the </w:t>
      </w:r>
      <w:r w:rsidR="00920BF1">
        <w:rPr>
          <w:rFonts w:ascii="Times New Roman" w:hAnsi="Times New Roman" w:cs="Times New Roman"/>
          <w:sz w:val="24"/>
          <w:szCs w:val="24"/>
        </w:rPr>
        <w:t>T</w:t>
      </w:r>
      <w:r w:rsidRPr="004179BC">
        <w:rPr>
          <w:rFonts w:ascii="Times New Roman" w:hAnsi="Times New Roman" w:cs="Times New Roman"/>
          <w:sz w:val="24"/>
          <w:szCs w:val="24"/>
        </w:rPr>
        <w:t xml:space="preserve"> contrast between land and sea in coastal regions can intensify sea breezes </w:t>
      </w:r>
      <w:r w:rsidR="00920BF1">
        <w:rPr>
          <w:rFonts w:ascii="Times New Roman" w:hAnsi="Times New Roman" w:cs="Times New Roman"/>
          <w:sz w:val="24"/>
          <w:szCs w:val="24"/>
        </w:rPr>
        <w:t xml:space="preserve">[30, 75]. </w:t>
      </w:r>
      <w:r w:rsidRPr="004179BC">
        <w:rPr>
          <w:rFonts w:ascii="Times New Roman" w:hAnsi="Times New Roman" w:cs="Times New Roman"/>
          <w:sz w:val="24"/>
          <w:szCs w:val="24"/>
        </w:rPr>
        <w:t xml:space="preserve">Temperature changes can also impact local wind patterns, such as mountain-valley and downhill winds, particularly in mountainous regions where temperature differences between valleys and higher elevations are crucial </w:t>
      </w:r>
      <w:r w:rsidR="00920BF1">
        <w:rPr>
          <w:rFonts w:ascii="Times New Roman" w:hAnsi="Times New Roman" w:cs="Times New Roman"/>
          <w:sz w:val="24"/>
          <w:szCs w:val="24"/>
        </w:rPr>
        <w:t xml:space="preserve">[59, 74]. </w:t>
      </w:r>
    </w:p>
    <w:p w14:paraId="4AE89642" w14:textId="473A21B5" w:rsidR="004179BC" w:rsidRPr="004179BC" w:rsidRDefault="004179BC" w:rsidP="004179BC">
      <w:pPr>
        <w:spacing w:after="0" w:line="240" w:lineRule="auto"/>
        <w:jc w:val="both"/>
        <w:rPr>
          <w:rFonts w:ascii="Times New Roman" w:hAnsi="Times New Roman" w:cs="Times New Roman"/>
          <w:sz w:val="24"/>
          <w:szCs w:val="24"/>
        </w:rPr>
      </w:pPr>
      <w:r w:rsidRPr="004179BC">
        <w:rPr>
          <w:rFonts w:ascii="Times New Roman" w:hAnsi="Times New Roman" w:cs="Times New Roman"/>
          <w:sz w:val="24"/>
          <w:szCs w:val="24"/>
        </w:rPr>
        <w:t xml:space="preserve">In conclusion, rising global </w:t>
      </w:r>
      <w:r w:rsidR="00920BF1">
        <w:rPr>
          <w:rFonts w:ascii="Times New Roman" w:hAnsi="Times New Roman" w:cs="Times New Roman"/>
          <w:sz w:val="24"/>
          <w:szCs w:val="24"/>
        </w:rPr>
        <w:t>T</w:t>
      </w:r>
      <w:r w:rsidRPr="004179BC">
        <w:rPr>
          <w:rFonts w:ascii="Times New Roman" w:hAnsi="Times New Roman" w:cs="Times New Roman"/>
          <w:sz w:val="24"/>
          <w:szCs w:val="24"/>
        </w:rPr>
        <w:t xml:space="preserve">s have complex effects on </w:t>
      </w:r>
      <w:r w:rsidR="00920BF1">
        <w:rPr>
          <w:rFonts w:ascii="Times New Roman" w:hAnsi="Times New Roman" w:cs="Times New Roman"/>
          <w:sz w:val="24"/>
          <w:szCs w:val="24"/>
        </w:rPr>
        <w:t>WS</w:t>
      </w:r>
      <w:r w:rsidRPr="004179BC">
        <w:rPr>
          <w:rFonts w:ascii="Times New Roman" w:hAnsi="Times New Roman" w:cs="Times New Roman"/>
          <w:sz w:val="24"/>
          <w:szCs w:val="24"/>
        </w:rPr>
        <w:t xml:space="preserve"> and direction. While some areas may experience weakened winds due to reduced thermal gradients, others may witness increased localized </w:t>
      </w:r>
      <w:r w:rsidR="00920BF1">
        <w:rPr>
          <w:rFonts w:ascii="Times New Roman" w:hAnsi="Times New Roman" w:cs="Times New Roman"/>
          <w:sz w:val="24"/>
          <w:szCs w:val="24"/>
        </w:rPr>
        <w:t>WS</w:t>
      </w:r>
      <w:r w:rsidRPr="004179BC">
        <w:rPr>
          <w:rFonts w:ascii="Times New Roman" w:hAnsi="Times New Roman" w:cs="Times New Roman"/>
          <w:sz w:val="24"/>
          <w:szCs w:val="24"/>
        </w:rPr>
        <w:t xml:space="preserve">s or shifts in wind direction due to changing pressure patterns, jet stream behavior, and storm intensities. Based on these findings, the results suggest that the increasing temperatures in Nnewi and Onitsha are causing adverse effects on </w:t>
      </w:r>
      <w:r w:rsidR="00920BF1">
        <w:rPr>
          <w:rFonts w:ascii="Times New Roman" w:hAnsi="Times New Roman" w:cs="Times New Roman"/>
          <w:sz w:val="24"/>
          <w:szCs w:val="24"/>
        </w:rPr>
        <w:t>WS</w:t>
      </w:r>
      <w:r w:rsidRPr="004179BC">
        <w:rPr>
          <w:rFonts w:ascii="Times New Roman" w:hAnsi="Times New Roman" w:cs="Times New Roman"/>
          <w:sz w:val="24"/>
          <w:szCs w:val="24"/>
        </w:rPr>
        <w:t xml:space="preserve"> and direction, creating gusts that could impact the local environment, human health, and economies of the cities.</w:t>
      </w:r>
    </w:p>
    <w:p w14:paraId="49100CAD" w14:textId="40085B89" w:rsidR="00642C41" w:rsidRPr="00642C41" w:rsidRDefault="00642C41" w:rsidP="00642C41">
      <w:pPr>
        <w:spacing w:after="0" w:line="240" w:lineRule="auto"/>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0010CA43" wp14:editId="1F2C2F8E">
            <wp:simplePos x="0" y="0"/>
            <wp:positionH relativeFrom="margin">
              <wp:align>left</wp:align>
            </wp:positionH>
            <wp:positionV relativeFrom="paragraph">
              <wp:posOffset>89535</wp:posOffset>
            </wp:positionV>
            <wp:extent cx="5619750" cy="2724150"/>
            <wp:effectExtent l="0" t="0" r="0" b="0"/>
            <wp:wrapTight wrapText="bothSides">
              <wp:wrapPolygon edited="0">
                <wp:start x="0" y="0"/>
                <wp:lineTo x="0" y="21449"/>
                <wp:lineTo x="21527" y="21449"/>
                <wp:lineTo x="21527" y="0"/>
                <wp:lineTo x="0" y="0"/>
              </wp:wrapPolygon>
            </wp:wrapTight>
            <wp:docPr id="1440499335" name="Chart 1">
              <a:extLst xmlns:a="http://schemas.openxmlformats.org/drawingml/2006/main">
                <a:ext uri="{FF2B5EF4-FFF2-40B4-BE49-F238E27FC236}">
                  <a16:creationId xmlns:a16="http://schemas.microsoft.com/office/drawing/2014/main" id="{808E2E37-7FD5-36CF-BDF5-E0C3E58AF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16</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Cloud Cover Level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07C316A1" w14:textId="77777777" w:rsidR="00642C41" w:rsidRPr="00135899" w:rsidRDefault="00642C41" w:rsidP="00642C41">
      <w:pPr>
        <w:spacing w:after="0" w:line="240" w:lineRule="auto"/>
        <w:jc w:val="both"/>
        <w:rPr>
          <w:rFonts w:ascii="Times New Roman" w:eastAsiaTheme="minorEastAsia" w:hAnsi="Times New Roman" w:cs="Times New Roman"/>
          <w:b/>
          <w:bCs/>
          <w:sz w:val="24"/>
          <w:szCs w:val="24"/>
        </w:rPr>
      </w:pPr>
    </w:p>
    <w:p w14:paraId="5E57D534" w14:textId="7EA827AA" w:rsidR="00920BF1" w:rsidRPr="00920BF1" w:rsidRDefault="00920BF1" w:rsidP="00920BF1">
      <w:pPr>
        <w:spacing w:after="0" w:line="240" w:lineRule="auto"/>
        <w:jc w:val="both"/>
        <w:rPr>
          <w:rFonts w:ascii="Times New Roman" w:eastAsiaTheme="minorEastAsia" w:hAnsi="Times New Roman" w:cs="Times New Roman"/>
          <w:sz w:val="24"/>
          <w:szCs w:val="24"/>
        </w:rPr>
      </w:pPr>
      <w:r w:rsidRPr="00920BF1">
        <w:rPr>
          <w:rFonts w:ascii="Times New Roman" w:eastAsiaTheme="minorEastAsia" w:hAnsi="Times New Roman" w:cs="Times New Roman"/>
          <w:sz w:val="24"/>
          <w:szCs w:val="24"/>
        </w:rPr>
        <w:lastRenderedPageBreak/>
        <w:t xml:space="preserve">Fig 16 presents the plot of annual average values of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against </w:t>
      </w:r>
      <w:r>
        <w:rPr>
          <w:rFonts w:ascii="Times New Roman" w:eastAsiaTheme="minorEastAsia" w:hAnsi="Times New Roman" w:cs="Times New Roman"/>
          <w:sz w:val="24"/>
          <w:szCs w:val="24"/>
        </w:rPr>
        <w:t>T</w:t>
      </w:r>
      <w:r w:rsidRPr="00920BF1">
        <w:rPr>
          <w:rFonts w:ascii="Times New Roman" w:eastAsiaTheme="minorEastAsia" w:hAnsi="Times New Roman" w:cs="Times New Roman"/>
          <w:sz w:val="24"/>
          <w:szCs w:val="24"/>
        </w:rPr>
        <w:t xml:space="preserve"> for Onitsha and Nnewi. Rising </w:t>
      </w:r>
      <w:r>
        <w:rPr>
          <w:rFonts w:ascii="Times New Roman" w:eastAsiaTheme="minorEastAsia" w:hAnsi="Times New Roman" w:cs="Times New Roman"/>
          <w:sz w:val="24"/>
          <w:szCs w:val="24"/>
        </w:rPr>
        <w:t>T</w:t>
      </w:r>
      <w:r w:rsidRPr="00920BF1">
        <w:rPr>
          <w:rFonts w:ascii="Times New Roman" w:eastAsiaTheme="minorEastAsia" w:hAnsi="Times New Roman" w:cs="Times New Roman"/>
          <w:sz w:val="24"/>
          <w:szCs w:val="24"/>
        </w:rPr>
        <w:t xml:space="preserve">s significantly impact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typically leading to a decrease in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especially during the day. This reduction in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allows more </w:t>
      </w:r>
      <w:r>
        <w:rPr>
          <w:rFonts w:ascii="Times New Roman" w:eastAsiaTheme="minorEastAsia" w:hAnsi="Times New Roman" w:cs="Times New Roman"/>
          <w:sz w:val="24"/>
          <w:szCs w:val="24"/>
        </w:rPr>
        <w:t>SR</w:t>
      </w:r>
      <w:r w:rsidRPr="00920BF1">
        <w:rPr>
          <w:rFonts w:ascii="Times New Roman" w:eastAsiaTheme="minorEastAsia" w:hAnsi="Times New Roman" w:cs="Times New Roman"/>
          <w:sz w:val="24"/>
          <w:szCs w:val="24"/>
        </w:rPr>
        <w:t xml:space="preserve"> to reach the Earth's surface, intensifying warming, creating a positive feedback loop where less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results in more warming, which further suppresses cloud formation </w:t>
      </w:r>
      <w:r>
        <w:rPr>
          <w:rFonts w:ascii="Times New Roman" w:eastAsiaTheme="minorEastAsia" w:hAnsi="Times New Roman" w:cs="Times New Roman"/>
          <w:sz w:val="24"/>
          <w:szCs w:val="24"/>
        </w:rPr>
        <w:t>[39, 56]</w:t>
      </w:r>
      <w:r w:rsidRPr="00920BF1">
        <w:rPr>
          <w:rFonts w:ascii="Times New Roman" w:eastAsiaTheme="minorEastAsia" w:hAnsi="Times New Roman" w:cs="Times New Roman"/>
          <w:sz w:val="24"/>
          <w:szCs w:val="24"/>
        </w:rPr>
        <w:t xml:space="preserve">. Clouds have a dual effect on climate: they reflect sunlight during the day, cooling the surface, but at night, they trap heat, contributing to the greenhouse effect. As </w:t>
      </w:r>
      <w:r>
        <w:rPr>
          <w:rFonts w:ascii="Times New Roman" w:eastAsiaTheme="minorEastAsia" w:hAnsi="Times New Roman" w:cs="Times New Roman"/>
          <w:sz w:val="24"/>
          <w:szCs w:val="24"/>
        </w:rPr>
        <w:t>T</w:t>
      </w:r>
      <w:r w:rsidRPr="00920BF1">
        <w:rPr>
          <w:rFonts w:ascii="Times New Roman" w:eastAsiaTheme="minorEastAsia" w:hAnsi="Times New Roman" w:cs="Times New Roman"/>
          <w:sz w:val="24"/>
          <w:szCs w:val="24"/>
        </w:rPr>
        <w:t xml:space="preserve">s rise, studies show a decrease in daytime </w:t>
      </w:r>
      <w:r>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exacerbating warming, while nighttime cloud cover persists, enhancing heat retention. This leads to more erratic and variable cloud patterns, which affect both local weather and global climate trends.</w:t>
      </w:r>
    </w:p>
    <w:p w14:paraId="75AE20A9" w14:textId="3670DDB5" w:rsidR="00642C41" w:rsidRPr="00471828" w:rsidRDefault="00920BF1" w:rsidP="00642C41">
      <w:pPr>
        <w:spacing w:after="0" w:line="240" w:lineRule="auto"/>
        <w:jc w:val="both"/>
        <w:rPr>
          <w:rFonts w:ascii="Times New Roman" w:eastAsiaTheme="minorEastAsia" w:hAnsi="Times New Roman" w:cs="Times New Roman"/>
          <w:sz w:val="24"/>
          <w:szCs w:val="24"/>
        </w:rPr>
      </w:pPr>
      <w:r w:rsidRPr="00920BF1">
        <w:rPr>
          <w:rFonts w:ascii="Times New Roman" w:eastAsiaTheme="minorEastAsia" w:hAnsi="Times New Roman" w:cs="Times New Roman"/>
          <w:sz w:val="24"/>
          <w:szCs w:val="24"/>
        </w:rPr>
        <w:t xml:space="preserve">However, the results observed in Nnewi and Onitsha differ from those found by Qiuhong &amp; Guoyong </w:t>
      </w:r>
      <w:r w:rsidR="00471828">
        <w:rPr>
          <w:rFonts w:ascii="Times New Roman" w:eastAsiaTheme="minorEastAsia" w:hAnsi="Times New Roman" w:cs="Times New Roman"/>
          <w:sz w:val="24"/>
          <w:szCs w:val="24"/>
        </w:rPr>
        <w:t>[56]</w:t>
      </w:r>
      <w:r w:rsidRPr="00920BF1">
        <w:rPr>
          <w:rFonts w:ascii="Times New Roman" w:eastAsiaTheme="minorEastAsia" w:hAnsi="Times New Roman" w:cs="Times New Roman"/>
          <w:sz w:val="24"/>
          <w:szCs w:val="24"/>
        </w:rPr>
        <w:t xml:space="preserve"> and Mendoza et al. </w:t>
      </w:r>
      <w:r w:rsidR="00471828">
        <w:rPr>
          <w:rFonts w:ascii="Times New Roman" w:eastAsiaTheme="minorEastAsia" w:hAnsi="Times New Roman" w:cs="Times New Roman"/>
          <w:sz w:val="24"/>
          <w:szCs w:val="24"/>
        </w:rPr>
        <w:t>[39]</w:t>
      </w:r>
      <w:r w:rsidRPr="00920BF1">
        <w:rPr>
          <w:rFonts w:ascii="Times New Roman" w:eastAsiaTheme="minorEastAsia" w:hAnsi="Times New Roman" w:cs="Times New Roman"/>
          <w:sz w:val="24"/>
          <w:szCs w:val="24"/>
        </w:rPr>
        <w:t xml:space="preserve">, who studied </w:t>
      </w:r>
      <w:r w:rsidR="00471828">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variation with </w:t>
      </w:r>
      <w:r w:rsidR="00471828">
        <w:rPr>
          <w:rFonts w:ascii="Times New Roman" w:eastAsiaTheme="minorEastAsia" w:hAnsi="Times New Roman" w:cs="Times New Roman"/>
          <w:sz w:val="24"/>
          <w:szCs w:val="24"/>
        </w:rPr>
        <w:t>T</w:t>
      </w:r>
      <w:r w:rsidRPr="00920BF1">
        <w:rPr>
          <w:rFonts w:ascii="Times New Roman" w:eastAsiaTheme="minorEastAsia" w:hAnsi="Times New Roman" w:cs="Times New Roman"/>
          <w:sz w:val="24"/>
          <w:szCs w:val="24"/>
        </w:rPr>
        <w:t xml:space="preserve"> on a global scale, focusing on daytime and nighttime changes. In contrast, our analysis uses daily average values, leading to different patterns and conclusions regarding </w:t>
      </w:r>
      <w:r w:rsidR="00471828">
        <w:rPr>
          <w:rFonts w:ascii="Times New Roman" w:eastAsiaTheme="minorEastAsia" w:hAnsi="Times New Roman" w:cs="Times New Roman"/>
          <w:sz w:val="24"/>
          <w:szCs w:val="24"/>
        </w:rPr>
        <w:t>CC</w:t>
      </w:r>
      <w:r w:rsidRPr="00920BF1">
        <w:rPr>
          <w:rFonts w:ascii="Times New Roman" w:eastAsiaTheme="minorEastAsia" w:hAnsi="Times New Roman" w:cs="Times New Roman"/>
          <w:sz w:val="24"/>
          <w:szCs w:val="24"/>
        </w:rPr>
        <w:t xml:space="preserve"> and </w:t>
      </w:r>
      <w:r w:rsidR="00471828">
        <w:rPr>
          <w:rFonts w:ascii="Times New Roman" w:eastAsiaTheme="minorEastAsia" w:hAnsi="Times New Roman" w:cs="Times New Roman"/>
          <w:sz w:val="24"/>
          <w:szCs w:val="24"/>
        </w:rPr>
        <w:t>T</w:t>
      </w:r>
      <w:r w:rsidRPr="00920BF1">
        <w:rPr>
          <w:rFonts w:ascii="Times New Roman" w:eastAsiaTheme="minorEastAsia" w:hAnsi="Times New Roman" w:cs="Times New Roman"/>
          <w:sz w:val="24"/>
          <w:szCs w:val="24"/>
        </w:rPr>
        <w:t xml:space="preserve"> interactions in the two cities.</w:t>
      </w:r>
    </w:p>
    <w:p w14:paraId="0D507C7C" w14:textId="77777777" w:rsidR="00471828" w:rsidRDefault="00471828" w:rsidP="00471828">
      <w:pPr>
        <w:spacing w:after="0" w:line="240" w:lineRule="auto"/>
        <w:jc w:val="both"/>
        <w:rPr>
          <w:rFonts w:ascii="Times New Roman" w:eastAsia="MS Gothic" w:hAnsi="Times New Roman" w:cs="Times New Roman"/>
          <w:sz w:val="24"/>
          <w:szCs w:val="24"/>
        </w:rPr>
      </w:pPr>
      <w:r w:rsidRPr="00471828">
        <w:rPr>
          <w:rFonts w:ascii="Times New Roman" w:eastAsia="MS Gothic" w:hAnsi="Times New Roman" w:cs="Times New Roman"/>
          <w:sz w:val="24"/>
          <w:szCs w:val="24"/>
        </w:rPr>
        <w:t xml:space="preserve">Fig 17 shows the relationship between precipitation and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 in Onitsha and Nnewi. The plot indicates that rising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s negatively affect precipitation in Onitsha (r ~ 0.4, slope ~ -0.4), while in Nnewi, it has a positive effect (r ~ 0.5, slope ~ 0.4). </w:t>
      </w:r>
    </w:p>
    <w:p w14:paraId="244D6923" w14:textId="04B7F71A" w:rsidR="00471828" w:rsidRPr="00471828" w:rsidRDefault="00471828" w:rsidP="00471828">
      <w:pPr>
        <w:spacing w:after="0" w:line="240" w:lineRule="auto"/>
        <w:jc w:val="both"/>
        <w:rPr>
          <w:rFonts w:ascii="Times New Roman" w:eastAsia="MS Gothic" w:hAnsi="Times New Roman" w:cs="Times New Roman"/>
          <w:sz w:val="24"/>
          <w:szCs w:val="24"/>
        </w:rPr>
      </w:pPr>
      <w:r w:rsidRPr="00471828">
        <w:rPr>
          <w:rFonts w:ascii="Times New Roman" w:eastAsia="MS Gothic" w:hAnsi="Times New Roman" w:cs="Times New Roman"/>
          <w:sz w:val="24"/>
          <w:szCs w:val="24"/>
        </w:rPr>
        <w:t xml:space="preserve">Rising global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s significantly impact precipitation patterns by increasing the atmosphere's capacity to hold moisture, as described by the Clausius-Clapeyron equation, which states that atmospheric water vapor increases by approximately 7% for every 1°C rise in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 Higher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s accelerate the hydrological cycle, leading to more evaporation and consequently more precipitation, often resulting in heavier rainfall events. This has been observed in many regions, with increased frequency and intensity of heavy precipitation events </w:t>
      </w:r>
      <w:r>
        <w:rPr>
          <w:rFonts w:ascii="Times New Roman" w:eastAsia="MS Gothic" w:hAnsi="Times New Roman" w:cs="Times New Roman"/>
          <w:sz w:val="24"/>
          <w:szCs w:val="24"/>
        </w:rPr>
        <w:t xml:space="preserve">[69]. </w:t>
      </w:r>
      <w:r w:rsidRPr="00471828">
        <w:rPr>
          <w:rFonts w:ascii="Times New Roman" w:eastAsia="MS Gothic" w:hAnsi="Times New Roman" w:cs="Times New Roman"/>
          <w:sz w:val="24"/>
          <w:szCs w:val="24"/>
        </w:rPr>
        <w:t xml:space="preserve">Models suggest that extreme precipitation events are expected to become more frequent in the 21st century </w:t>
      </w:r>
      <w:r>
        <w:rPr>
          <w:rFonts w:ascii="Times New Roman" w:eastAsia="MS Gothic" w:hAnsi="Times New Roman" w:cs="Times New Roman"/>
          <w:sz w:val="24"/>
          <w:szCs w:val="24"/>
        </w:rPr>
        <w:t>[33]</w:t>
      </w:r>
      <w:r w:rsidRPr="00471828">
        <w:rPr>
          <w:rFonts w:ascii="Times New Roman" w:eastAsia="MS Gothic" w:hAnsi="Times New Roman" w:cs="Times New Roman"/>
          <w:sz w:val="24"/>
          <w:szCs w:val="24"/>
        </w:rPr>
        <w:t>, posing risks for flooding, soil erosion, and disruptions to agriculture and infrastructure.</w:t>
      </w:r>
    </w:p>
    <w:p w14:paraId="48C71E75" w14:textId="25CF2374" w:rsidR="00471828" w:rsidRPr="00471828" w:rsidRDefault="00471828" w:rsidP="00471828">
      <w:pPr>
        <w:spacing w:after="0" w:line="240" w:lineRule="auto"/>
        <w:jc w:val="both"/>
        <w:rPr>
          <w:rFonts w:ascii="Times New Roman" w:eastAsia="MS Gothic" w:hAnsi="Times New Roman" w:cs="Times New Roman"/>
          <w:sz w:val="24"/>
          <w:szCs w:val="24"/>
        </w:rPr>
      </w:pPr>
      <w:r w:rsidRPr="00471828">
        <w:rPr>
          <w:rFonts w:ascii="Times New Roman" w:eastAsia="MS Gothic" w:hAnsi="Times New Roman" w:cs="Times New Roman"/>
          <w:sz w:val="24"/>
          <w:szCs w:val="24"/>
        </w:rPr>
        <w:t xml:space="preserve">Our findings in Nnewi align with this global trend, where increasing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 correlates with higher precipitation. However, the results for Onitsha diverge, showing that as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 xml:space="preserve"> rises, the amount of precipitation seems to decrease. This contrasts with studies such as </w:t>
      </w:r>
      <w:r>
        <w:rPr>
          <w:rFonts w:ascii="Times New Roman" w:eastAsia="MS Gothic" w:hAnsi="Times New Roman" w:cs="Times New Roman"/>
          <w:sz w:val="24"/>
          <w:szCs w:val="24"/>
        </w:rPr>
        <w:t>[3]</w:t>
      </w:r>
      <w:r w:rsidRPr="00471828">
        <w:rPr>
          <w:rFonts w:ascii="Times New Roman" w:eastAsia="MS Gothic" w:hAnsi="Times New Roman" w:cs="Times New Roman"/>
          <w:sz w:val="24"/>
          <w:szCs w:val="24"/>
        </w:rPr>
        <w:t xml:space="preserve">, who observed global changes in precipitation with rising </w:t>
      </w:r>
      <w:r>
        <w:rPr>
          <w:rFonts w:ascii="Times New Roman" w:eastAsia="MS Gothic" w:hAnsi="Times New Roman" w:cs="Times New Roman"/>
          <w:sz w:val="24"/>
          <w:szCs w:val="24"/>
        </w:rPr>
        <w:t>T</w:t>
      </w:r>
      <w:r w:rsidRPr="00471828">
        <w:rPr>
          <w:rFonts w:ascii="Times New Roman" w:eastAsia="MS Gothic" w:hAnsi="Times New Roman" w:cs="Times New Roman"/>
          <w:sz w:val="24"/>
          <w:szCs w:val="24"/>
        </w:rPr>
        <w:t>s, but acknowledged regional variations, which could explain the differing trends between the two cities.</w:t>
      </w:r>
    </w:p>
    <w:p w14:paraId="7C70FE0C" w14:textId="1BC112AA" w:rsidR="00642C41" w:rsidRDefault="00471828" w:rsidP="00642C41">
      <w:pPr>
        <w:spacing w:after="0" w:line="480" w:lineRule="auto"/>
        <w:jc w:val="both"/>
        <w:rPr>
          <w:rFonts w:ascii="Times New Roman" w:eastAsiaTheme="minorEastAsia" w:hAnsi="Times New Roman" w:cs="Times New Roman"/>
          <w:sz w:val="24"/>
          <w:szCs w:val="24"/>
        </w:rPr>
      </w:pPr>
      <w:r>
        <w:rPr>
          <w:noProof/>
        </w:rPr>
        <w:drawing>
          <wp:inline distT="0" distB="0" distL="0" distR="0" wp14:anchorId="58F5B9DB" wp14:editId="65E7E5F1">
            <wp:extent cx="5610225" cy="2466975"/>
            <wp:effectExtent l="0" t="0" r="9525" b="9525"/>
            <wp:docPr id="736754374" name="Chart 1">
              <a:extLst xmlns:a="http://schemas.openxmlformats.org/drawingml/2006/main">
                <a:ext uri="{FF2B5EF4-FFF2-40B4-BE49-F238E27FC236}">
                  <a16:creationId xmlns:a16="http://schemas.microsoft.com/office/drawing/2014/main" id="{62F3DAFD-4566-8491-A3E6-24206363A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03A6DE" w14:textId="77777777" w:rsidR="00471828" w:rsidRDefault="00471828" w:rsidP="00471828">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17</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Amount of Precipitation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1AFAB572" w14:textId="77777777" w:rsidR="00642C41" w:rsidRPr="00DE1396" w:rsidRDefault="00642C41" w:rsidP="00642C41">
      <w:pPr>
        <w:spacing w:after="0" w:line="480" w:lineRule="auto"/>
        <w:jc w:val="both"/>
        <w:rPr>
          <w:rFonts w:ascii="Times New Roman" w:hAnsi="Times New Roman" w:cs="Times New Roman"/>
          <w:sz w:val="24"/>
          <w:szCs w:val="24"/>
        </w:rPr>
      </w:pPr>
      <w:r w:rsidRPr="00DE1396">
        <w:rPr>
          <w:noProof/>
          <w:sz w:val="24"/>
          <w:szCs w:val="24"/>
        </w:rPr>
        <w:lastRenderedPageBreak/>
        <w:drawing>
          <wp:inline distT="0" distB="0" distL="0" distR="0" wp14:anchorId="26CD15CD" wp14:editId="24CA32CA">
            <wp:extent cx="5934075" cy="2209800"/>
            <wp:effectExtent l="0" t="0" r="9525" b="0"/>
            <wp:docPr id="429103703" name="Chart 1">
              <a:extLst xmlns:a="http://schemas.openxmlformats.org/drawingml/2006/main">
                <a:ext uri="{FF2B5EF4-FFF2-40B4-BE49-F238E27FC236}">
                  <a16:creationId xmlns:a16="http://schemas.microsoft.com/office/drawing/2014/main" id="{76741217-B7AE-F2BA-D853-E8B3290EF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0FA2EB" w14:textId="77777777" w:rsidR="00642C41" w:rsidRDefault="00642C41" w:rsidP="00642C41">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18</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Solar Radiation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r>
        <w:rPr>
          <w:rFonts w:ascii="Times New Roman" w:eastAsiaTheme="minorEastAsia" w:hAnsi="Times New Roman" w:cs="Times New Roman"/>
          <w:b/>
          <w:bCs/>
          <w:sz w:val="24"/>
          <w:szCs w:val="24"/>
        </w:rPr>
        <w:t>.</w:t>
      </w:r>
    </w:p>
    <w:p w14:paraId="26CAE743" w14:textId="673A6676" w:rsidR="00471828" w:rsidRPr="00471828" w:rsidRDefault="00471828" w:rsidP="00471828">
      <w:pPr>
        <w:spacing w:after="0" w:line="240" w:lineRule="auto"/>
        <w:jc w:val="both"/>
        <w:rPr>
          <w:rFonts w:ascii="Times New Roman" w:eastAsiaTheme="minorEastAsia" w:hAnsi="Times New Roman" w:cs="Times New Roman"/>
          <w:sz w:val="24"/>
          <w:szCs w:val="24"/>
        </w:rPr>
      </w:pPr>
      <w:r w:rsidRPr="00471828">
        <w:rPr>
          <w:rFonts w:ascii="Times New Roman" w:eastAsiaTheme="minorEastAsia" w:hAnsi="Times New Roman" w:cs="Times New Roman"/>
          <w:sz w:val="24"/>
          <w:szCs w:val="24"/>
        </w:rPr>
        <w:t xml:space="preserve">Figures 18 and 19 show the annual average values of </w:t>
      </w:r>
      <w:r>
        <w:rPr>
          <w:rFonts w:ascii="Times New Roman" w:eastAsiaTheme="minorEastAsia" w:hAnsi="Times New Roman" w:cs="Times New Roman"/>
          <w:sz w:val="24"/>
          <w:szCs w:val="24"/>
        </w:rPr>
        <w:t>SR</w:t>
      </w:r>
      <w:r w:rsidRPr="00471828">
        <w:rPr>
          <w:rFonts w:ascii="Times New Roman" w:eastAsiaTheme="minorEastAsia" w:hAnsi="Times New Roman" w:cs="Times New Roman"/>
          <w:sz w:val="24"/>
          <w:szCs w:val="24"/>
        </w:rPr>
        <w:t xml:space="preserve"> and the UV</w:t>
      </w:r>
      <w:r>
        <w:rPr>
          <w:rFonts w:ascii="Times New Roman" w:eastAsiaTheme="minorEastAsia" w:hAnsi="Times New Roman" w:cs="Times New Roman"/>
          <w:sz w:val="24"/>
          <w:szCs w:val="24"/>
        </w:rPr>
        <w:t xml:space="preserve">I </w:t>
      </w:r>
      <w:r w:rsidRPr="00471828">
        <w:rPr>
          <w:rFonts w:ascii="Times New Roman" w:eastAsiaTheme="minorEastAsia" w:hAnsi="Times New Roman" w:cs="Times New Roman"/>
          <w:sz w:val="24"/>
          <w:szCs w:val="24"/>
        </w:rPr>
        <w:t xml:space="preserve">against </w:t>
      </w:r>
      <w:r>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 in Onitsha and Nnewi. The plots reveal that rising </w:t>
      </w:r>
      <w:r>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s lead to an increase in both </w:t>
      </w:r>
      <w:r>
        <w:rPr>
          <w:rFonts w:ascii="Times New Roman" w:eastAsiaTheme="minorEastAsia" w:hAnsi="Times New Roman" w:cs="Times New Roman"/>
          <w:sz w:val="24"/>
          <w:szCs w:val="24"/>
        </w:rPr>
        <w:t>SR</w:t>
      </w:r>
      <w:r w:rsidRPr="00471828">
        <w:rPr>
          <w:rFonts w:ascii="Times New Roman" w:eastAsiaTheme="minorEastAsia" w:hAnsi="Times New Roman" w:cs="Times New Roman"/>
          <w:sz w:val="24"/>
          <w:szCs w:val="24"/>
        </w:rPr>
        <w:t xml:space="preserve"> and the UV</w:t>
      </w:r>
      <w:r>
        <w:rPr>
          <w:rFonts w:ascii="Times New Roman" w:eastAsiaTheme="minorEastAsia" w:hAnsi="Times New Roman" w:cs="Times New Roman"/>
          <w:sz w:val="24"/>
          <w:szCs w:val="24"/>
        </w:rPr>
        <w:t>I</w:t>
      </w:r>
      <w:r w:rsidRPr="00471828">
        <w:rPr>
          <w:rFonts w:ascii="Times New Roman" w:eastAsiaTheme="minorEastAsia" w:hAnsi="Times New Roman" w:cs="Times New Roman"/>
          <w:sz w:val="24"/>
          <w:szCs w:val="24"/>
        </w:rPr>
        <w:t xml:space="preserve">, with a higher rate of increase observed in Nnewi compared to Onitsha, as indicated by the steeper slopes of the linear fits. The correlation between </w:t>
      </w:r>
      <w:r>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SR</w:t>
      </w:r>
      <w:r w:rsidRPr="00471828">
        <w:rPr>
          <w:rFonts w:ascii="Times New Roman" w:eastAsiaTheme="minorEastAsia" w:hAnsi="Times New Roman" w:cs="Times New Roman"/>
          <w:sz w:val="24"/>
          <w:szCs w:val="24"/>
        </w:rPr>
        <w:t>, as well as the UV</w:t>
      </w:r>
      <w:r>
        <w:rPr>
          <w:rFonts w:ascii="Times New Roman" w:eastAsiaTheme="minorEastAsia" w:hAnsi="Times New Roman" w:cs="Times New Roman"/>
          <w:sz w:val="24"/>
          <w:szCs w:val="24"/>
        </w:rPr>
        <w:t>I</w:t>
      </w:r>
      <w:r w:rsidRPr="00471828">
        <w:rPr>
          <w:rFonts w:ascii="Times New Roman" w:eastAsiaTheme="minorEastAsia" w:hAnsi="Times New Roman" w:cs="Times New Roman"/>
          <w:sz w:val="24"/>
          <w:szCs w:val="24"/>
        </w:rPr>
        <w:t>, is strong and positive, with r ~ 0.7 for Onitsha and r ~ 0.8 for Nnewi.</w:t>
      </w:r>
    </w:p>
    <w:p w14:paraId="5116AD03" w14:textId="239DFAB0" w:rsidR="00471828" w:rsidRPr="00471828" w:rsidRDefault="00471828" w:rsidP="00471828">
      <w:pPr>
        <w:spacing w:after="0" w:line="240" w:lineRule="auto"/>
        <w:jc w:val="both"/>
        <w:rPr>
          <w:rFonts w:ascii="Times New Roman" w:eastAsiaTheme="minorEastAsia" w:hAnsi="Times New Roman" w:cs="Times New Roman"/>
          <w:sz w:val="24"/>
          <w:szCs w:val="24"/>
        </w:rPr>
      </w:pPr>
      <w:r w:rsidRPr="00471828">
        <w:rPr>
          <w:rFonts w:ascii="Times New Roman" w:eastAsiaTheme="minorEastAsia" w:hAnsi="Times New Roman" w:cs="Times New Roman"/>
          <w:sz w:val="24"/>
          <w:szCs w:val="24"/>
        </w:rPr>
        <w:t xml:space="preserve">Rising </w:t>
      </w:r>
      <w:r>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s significantly affect </w:t>
      </w:r>
      <w:r>
        <w:rPr>
          <w:rFonts w:ascii="Times New Roman" w:eastAsiaTheme="minorEastAsia" w:hAnsi="Times New Roman" w:cs="Times New Roman"/>
          <w:sz w:val="24"/>
          <w:szCs w:val="24"/>
        </w:rPr>
        <w:t>SR</w:t>
      </w:r>
      <w:r w:rsidRPr="00471828">
        <w:rPr>
          <w:rFonts w:ascii="Times New Roman" w:eastAsiaTheme="minorEastAsia" w:hAnsi="Times New Roman" w:cs="Times New Roman"/>
          <w:sz w:val="24"/>
          <w:szCs w:val="24"/>
        </w:rPr>
        <w:t xml:space="preserve"> and UV exposure, which are critical for understanding climate change and public health risks. According to reports by </w:t>
      </w:r>
      <w:r>
        <w:rPr>
          <w:rFonts w:ascii="Times New Roman" w:eastAsiaTheme="minorEastAsia" w:hAnsi="Times New Roman" w:cs="Times New Roman"/>
          <w:sz w:val="24"/>
          <w:szCs w:val="24"/>
        </w:rPr>
        <w:t>[11, 39, 71, 84]</w:t>
      </w:r>
      <w:r w:rsidRPr="00471828">
        <w:rPr>
          <w:rFonts w:ascii="Times New Roman" w:eastAsiaTheme="minorEastAsia" w:hAnsi="Times New Roman" w:cs="Times New Roman"/>
          <w:sz w:val="24"/>
          <w:szCs w:val="24"/>
        </w:rPr>
        <w:t xml:space="preserve">, increased </w:t>
      </w:r>
      <w:r w:rsidR="009E7D59">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s alter </w:t>
      </w:r>
      <w:r w:rsidR="009E7D59">
        <w:rPr>
          <w:rFonts w:ascii="Times New Roman" w:eastAsiaTheme="minorEastAsia" w:hAnsi="Times New Roman" w:cs="Times New Roman"/>
          <w:sz w:val="24"/>
          <w:szCs w:val="24"/>
        </w:rPr>
        <w:t>CC</w:t>
      </w:r>
      <w:r w:rsidRPr="00471828">
        <w:rPr>
          <w:rFonts w:ascii="Times New Roman" w:eastAsiaTheme="minorEastAsia" w:hAnsi="Times New Roman" w:cs="Times New Roman"/>
          <w:sz w:val="24"/>
          <w:szCs w:val="24"/>
        </w:rPr>
        <w:t xml:space="preserve"> and aerosol concentrations, leading to fluctuations in </w:t>
      </w:r>
      <w:r w:rsidR="009E7D59">
        <w:rPr>
          <w:rFonts w:ascii="Times New Roman" w:eastAsiaTheme="minorEastAsia" w:hAnsi="Times New Roman" w:cs="Times New Roman"/>
          <w:sz w:val="24"/>
          <w:szCs w:val="24"/>
        </w:rPr>
        <w:t>SR</w:t>
      </w:r>
      <w:r w:rsidRPr="00471828">
        <w:rPr>
          <w:rFonts w:ascii="Times New Roman" w:eastAsiaTheme="minorEastAsia" w:hAnsi="Times New Roman" w:cs="Times New Roman"/>
          <w:sz w:val="24"/>
          <w:szCs w:val="24"/>
        </w:rPr>
        <w:t>. This has been observed in periods of global dimming (1960s to 1980s) followed by brightening, as reduced pollution and clearer skies allowed more solar energy to reach the Earth's surface, influencing global warming feedback mechanisms.</w:t>
      </w:r>
    </w:p>
    <w:p w14:paraId="6DF8245A" w14:textId="6BEC2A35" w:rsidR="00471828" w:rsidRPr="00471828" w:rsidRDefault="00471828" w:rsidP="00471828">
      <w:pPr>
        <w:spacing w:after="0" w:line="240" w:lineRule="auto"/>
        <w:jc w:val="both"/>
        <w:rPr>
          <w:rFonts w:ascii="Times New Roman" w:eastAsiaTheme="minorEastAsia" w:hAnsi="Times New Roman" w:cs="Times New Roman"/>
          <w:sz w:val="24"/>
          <w:szCs w:val="24"/>
        </w:rPr>
      </w:pPr>
      <w:r w:rsidRPr="00471828">
        <w:rPr>
          <w:rFonts w:ascii="Times New Roman" w:eastAsiaTheme="minorEastAsia" w:hAnsi="Times New Roman" w:cs="Times New Roman"/>
          <w:sz w:val="24"/>
          <w:szCs w:val="24"/>
        </w:rPr>
        <w:t xml:space="preserve">The rise in global temperatures also interacts with ozone layer depletion, which affects the UV index. Warmer </w:t>
      </w:r>
      <w:r w:rsidR="009E7D59">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s and GHG emissions slow down the ozone layer's recovery, resulting in higher levels of UV radiation reaching the Earth's surface. This increases the risk of UV-related health issues, such as skin cancer, particularly in high-risk regions. Moreover, higher UV-B exposure disrupts ecosystems, impacting plant growth and marine life. Thus, the rising UV</w:t>
      </w:r>
      <w:r w:rsidR="009E7D59">
        <w:rPr>
          <w:rFonts w:ascii="Times New Roman" w:eastAsiaTheme="minorEastAsia" w:hAnsi="Times New Roman" w:cs="Times New Roman"/>
          <w:sz w:val="24"/>
          <w:szCs w:val="24"/>
        </w:rPr>
        <w:t>I</w:t>
      </w:r>
      <w:r w:rsidRPr="00471828">
        <w:rPr>
          <w:rFonts w:ascii="Times New Roman" w:eastAsiaTheme="minorEastAsia" w:hAnsi="Times New Roman" w:cs="Times New Roman"/>
          <w:sz w:val="24"/>
          <w:szCs w:val="24"/>
        </w:rPr>
        <w:t xml:space="preserve"> due to climate and temperature changes presents significant public health and environmental concerns.</w:t>
      </w:r>
    </w:p>
    <w:p w14:paraId="02DBB817" w14:textId="38B8AFFB" w:rsidR="0028467F" w:rsidRDefault="00471828" w:rsidP="00642C41">
      <w:pPr>
        <w:spacing w:after="0" w:line="240" w:lineRule="auto"/>
        <w:jc w:val="both"/>
        <w:rPr>
          <w:rFonts w:ascii="Times New Roman" w:hAnsi="Times New Roman" w:cs="Times New Roman"/>
          <w:sz w:val="24"/>
          <w:szCs w:val="24"/>
        </w:rPr>
      </w:pPr>
      <w:r w:rsidRPr="00471828">
        <w:rPr>
          <w:rFonts w:ascii="Times New Roman" w:eastAsiaTheme="minorEastAsia" w:hAnsi="Times New Roman" w:cs="Times New Roman"/>
          <w:sz w:val="24"/>
          <w:szCs w:val="24"/>
        </w:rPr>
        <w:t xml:space="preserve">In conclusion, rising </w:t>
      </w:r>
      <w:r w:rsidR="009E7D59">
        <w:rPr>
          <w:rFonts w:ascii="Times New Roman" w:eastAsiaTheme="minorEastAsia" w:hAnsi="Times New Roman" w:cs="Times New Roman"/>
          <w:sz w:val="24"/>
          <w:szCs w:val="24"/>
        </w:rPr>
        <w:t>T</w:t>
      </w:r>
      <w:r w:rsidRPr="00471828">
        <w:rPr>
          <w:rFonts w:ascii="Times New Roman" w:eastAsiaTheme="minorEastAsia" w:hAnsi="Times New Roman" w:cs="Times New Roman"/>
          <w:sz w:val="24"/>
          <w:szCs w:val="24"/>
        </w:rPr>
        <w:t xml:space="preserve">s are influencing solar radiation and UV exposure in both Nnewi and Onitsha, with Nnewi experiencing a greater rate of increase. This trend poses a growing public health risk, particularly concerning UV-related health issues, as noted by </w:t>
      </w:r>
      <w:r w:rsidR="009E7D59">
        <w:rPr>
          <w:rFonts w:ascii="Times New Roman" w:eastAsiaTheme="minorEastAsia" w:hAnsi="Times New Roman" w:cs="Times New Roman"/>
          <w:sz w:val="24"/>
          <w:szCs w:val="24"/>
        </w:rPr>
        <w:t>[71]</w:t>
      </w:r>
      <w:r w:rsidRPr="00471828">
        <w:rPr>
          <w:rFonts w:ascii="Times New Roman" w:eastAsiaTheme="minorEastAsia" w:hAnsi="Times New Roman" w:cs="Times New Roman"/>
          <w:sz w:val="24"/>
          <w:szCs w:val="24"/>
        </w:rPr>
        <w:t xml:space="preserve">. </w:t>
      </w:r>
    </w:p>
    <w:p w14:paraId="503C9EFE" w14:textId="177BB427" w:rsidR="00642C41" w:rsidRPr="00A2147E" w:rsidRDefault="00642C41" w:rsidP="00642C41">
      <w:pPr>
        <w:spacing w:after="0" w:line="240" w:lineRule="auto"/>
        <w:jc w:val="both"/>
        <w:rPr>
          <w:rFonts w:ascii="Times New Roman" w:hAnsi="Times New Roman" w:cs="Times New Roman"/>
          <w:sz w:val="24"/>
          <w:szCs w:val="24"/>
        </w:rPr>
      </w:pPr>
      <w:r>
        <w:rPr>
          <w:noProof/>
        </w:rPr>
        <w:lastRenderedPageBreak/>
        <w:drawing>
          <wp:inline distT="0" distB="0" distL="0" distR="0" wp14:anchorId="7FBAEB38" wp14:editId="55E6027B">
            <wp:extent cx="5800725" cy="2743200"/>
            <wp:effectExtent l="0" t="0" r="9525" b="0"/>
            <wp:docPr id="1812827032" name="Chart 1">
              <a:extLst xmlns:a="http://schemas.openxmlformats.org/drawingml/2006/main">
                <a:ext uri="{FF2B5EF4-FFF2-40B4-BE49-F238E27FC236}">
                  <a16:creationId xmlns:a16="http://schemas.microsoft.com/office/drawing/2014/main" id="{8547C5B4-E90E-C6A1-3E2D-B93F3E87F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5C79BC" w14:textId="77777777" w:rsidR="00642C41" w:rsidRDefault="00642C41" w:rsidP="00642C41">
      <w:pPr>
        <w:spacing w:after="0" w:line="240" w:lineRule="auto"/>
        <w:jc w:val="both"/>
        <w:rPr>
          <w:rFonts w:ascii="Times New Roman" w:eastAsiaTheme="minorEastAsia" w:hAnsi="Times New Roman" w:cs="Times New Roman"/>
          <w:b/>
          <w:bCs/>
          <w:sz w:val="24"/>
          <w:szCs w:val="24"/>
        </w:rPr>
      </w:pPr>
      <w:r w:rsidRPr="000A1493">
        <w:rPr>
          <w:rFonts w:ascii="Times New Roman" w:eastAsiaTheme="minorEastAsia" w:hAnsi="Times New Roman" w:cs="Times New Roman"/>
          <w:b/>
          <w:bCs/>
          <w:sz w:val="24"/>
          <w:szCs w:val="24"/>
        </w:rPr>
        <w:t xml:space="preserve">Figure </w:t>
      </w:r>
      <w:r>
        <w:rPr>
          <w:rFonts w:ascii="Times New Roman" w:eastAsiaTheme="minorEastAsia" w:hAnsi="Times New Roman" w:cs="Times New Roman"/>
          <w:b/>
          <w:bCs/>
          <w:sz w:val="24"/>
          <w:szCs w:val="24"/>
        </w:rPr>
        <w:t>19</w:t>
      </w:r>
      <w:r w:rsidRPr="000A1493">
        <w:rPr>
          <w:rFonts w:ascii="Times New Roman" w:eastAsiaTheme="minorEastAsia" w:hAnsi="Times New Roman" w:cs="Times New Roman"/>
          <w:b/>
          <w:bCs/>
          <w:sz w:val="24"/>
          <w:szCs w:val="24"/>
        </w:rPr>
        <w:t xml:space="preserve">: Plot of </w:t>
      </w:r>
      <w:r>
        <w:rPr>
          <w:rFonts w:ascii="Times New Roman" w:eastAsiaTheme="minorEastAsia" w:hAnsi="Times New Roman" w:cs="Times New Roman"/>
          <w:b/>
          <w:bCs/>
          <w:sz w:val="24"/>
          <w:szCs w:val="24"/>
        </w:rPr>
        <w:t xml:space="preserve">the Annual Average Values of the UV index </w:t>
      </w:r>
      <w:r w:rsidRPr="000A1493">
        <w:rPr>
          <w:rFonts w:ascii="Times New Roman" w:eastAsiaTheme="minorEastAsia" w:hAnsi="Times New Roman" w:cs="Times New Roman"/>
          <w:b/>
          <w:bCs/>
          <w:sz w:val="24"/>
          <w:szCs w:val="24"/>
        </w:rPr>
        <w:t xml:space="preserve">against </w:t>
      </w:r>
      <w:r>
        <w:rPr>
          <w:rFonts w:ascii="Times New Roman" w:eastAsiaTheme="minorEastAsia" w:hAnsi="Times New Roman" w:cs="Times New Roman"/>
          <w:b/>
          <w:bCs/>
          <w:sz w:val="24"/>
          <w:szCs w:val="24"/>
        </w:rPr>
        <w:t xml:space="preserve">the Temperature </w:t>
      </w:r>
      <w:r w:rsidRPr="000A1493">
        <w:rPr>
          <w:rFonts w:ascii="Times New Roman" w:eastAsiaTheme="minorEastAsia" w:hAnsi="Times New Roman" w:cs="Times New Roman"/>
          <w:b/>
          <w:bCs/>
          <w:sz w:val="24"/>
          <w:szCs w:val="24"/>
        </w:rPr>
        <w:t>at Onitsha and Nnewi</w:t>
      </w:r>
    </w:p>
    <w:p w14:paraId="64B6F1EB" w14:textId="77777777" w:rsidR="00642C41" w:rsidRDefault="00642C41" w:rsidP="00642C41">
      <w:pPr>
        <w:spacing w:after="0" w:line="240" w:lineRule="auto"/>
        <w:jc w:val="both"/>
        <w:rPr>
          <w:rFonts w:ascii="Times New Roman" w:hAnsi="Times New Roman" w:cs="Times New Roman"/>
          <w:sz w:val="24"/>
          <w:szCs w:val="24"/>
        </w:rPr>
      </w:pPr>
    </w:p>
    <w:p w14:paraId="30EE8AC6" w14:textId="77777777" w:rsidR="00092B59" w:rsidRDefault="00092B59" w:rsidP="00092B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672F6EFF" w14:textId="77777777" w:rsidR="009E7D59" w:rsidRDefault="009E7D59" w:rsidP="009E7D59">
      <w:pPr>
        <w:spacing w:after="0" w:line="240" w:lineRule="auto"/>
        <w:jc w:val="both"/>
        <w:rPr>
          <w:rFonts w:ascii="Times New Roman" w:hAnsi="Times New Roman" w:cs="Times New Roman"/>
          <w:sz w:val="24"/>
          <w:szCs w:val="24"/>
        </w:rPr>
      </w:pPr>
      <w:r w:rsidRPr="009E7D59">
        <w:rPr>
          <w:rFonts w:ascii="Times New Roman" w:hAnsi="Times New Roman" w:cs="Times New Roman"/>
          <w:sz w:val="24"/>
          <w:szCs w:val="24"/>
        </w:rPr>
        <w:t xml:space="preserve">The increasing population </w:t>
      </w:r>
      <w:r>
        <w:rPr>
          <w:rFonts w:ascii="Times New Roman" w:hAnsi="Times New Roman" w:cs="Times New Roman"/>
          <w:sz w:val="24"/>
          <w:szCs w:val="24"/>
        </w:rPr>
        <w:t xml:space="preserve">of Onitsha and Nnewi </w:t>
      </w:r>
      <w:r w:rsidRPr="009E7D59">
        <w:rPr>
          <w:rFonts w:ascii="Times New Roman" w:hAnsi="Times New Roman" w:cs="Times New Roman"/>
          <w:sz w:val="24"/>
          <w:szCs w:val="24"/>
        </w:rPr>
        <w:t xml:space="preserve">impacts weather and meteorological parameters through multiple mechanisms, primarily driven by urbanization and industrialization. Population growth </w:t>
      </w:r>
      <w:r>
        <w:rPr>
          <w:rFonts w:ascii="Times New Roman" w:hAnsi="Times New Roman" w:cs="Times New Roman"/>
          <w:sz w:val="24"/>
          <w:szCs w:val="24"/>
        </w:rPr>
        <w:t xml:space="preserve">implies increase generation of GHGs in both cities, which </w:t>
      </w:r>
      <w:r w:rsidRPr="009E7D59">
        <w:rPr>
          <w:rFonts w:ascii="Times New Roman" w:hAnsi="Times New Roman" w:cs="Times New Roman"/>
          <w:sz w:val="24"/>
          <w:szCs w:val="24"/>
        </w:rPr>
        <w:t xml:space="preserve">leads to the development of urban heat islands, where cities become significantly warmer than their surrounding areas due to increased construction materials and reduced vegetation. This urbanization raises local </w:t>
      </w:r>
      <w:r>
        <w:rPr>
          <w:rFonts w:ascii="Times New Roman" w:hAnsi="Times New Roman" w:cs="Times New Roman"/>
          <w:sz w:val="24"/>
          <w:szCs w:val="24"/>
        </w:rPr>
        <w:t>T</w:t>
      </w:r>
      <w:r w:rsidRPr="009E7D59">
        <w:rPr>
          <w:rFonts w:ascii="Times New Roman" w:hAnsi="Times New Roman" w:cs="Times New Roman"/>
          <w:sz w:val="24"/>
          <w:szCs w:val="24"/>
        </w:rPr>
        <w:t xml:space="preserve">s, influencing precipitation patterns, </w:t>
      </w:r>
      <w:r>
        <w:rPr>
          <w:rFonts w:ascii="Times New Roman" w:hAnsi="Times New Roman" w:cs="Times New Roman"/>
          <w:sz w:val="24"/>
          <w:szCs w:val="24"/>
        </w:rPr>
        <w:t>CC</w:t>
      </w:r>
      <w:r w:rsidRPr="009E7D59">
        <w:rPr>
          <w:rFonts w:ascii="Times New Roman" w:hAnsi="Times New Roman" w:cs="Times New Roman"/>
          <w:sz w:val="24"/>
          <w:szCs w:val="24"/>
        </w:rPr>
        <w:t xml:space="preserve">, and atmospheric moisture levels. Additionally, industrial activities and vehicle emissions contribute to the production of aerosols that affect </w:t>
      </w:r>
      <w:r>
        <w:rPr>
          <w:rFonts w:ascii="Times New Roman" w:hAnsi="Times New Roman" w:cs="Times New Roman"/>
          <w:sz w:val="24"/>
          <w:szCs w:val="24"/>
        </w:rPr>
        <w:t>Ts</w:t>
      </w:r>
      <w:r w:rsidRPr="009E7D59">
        <w:rPr>
          <w:rFonts w:ascii="Times New Roman" w:hAnsi="Times New Roman" w:cs="Times New Roman"/>
          <w:sz w:val="24"/>
          <w:szCs w:val="24"/>
        </w:rPr>
        <w:t xml:space="preserve">, precipitation, and </w:t>
      </w:r>
      <w:r>
        <w:rPr>
          <w:rFonts w:ascii="Times New Roman" w:hAnsi="Times New Roman" w:cs="Times New Roman"/>
          <w:sz w:val="24"/>
          <w:szCs w:val="24"/>
        </w:rPr>
        <w:t>SR</w:t>
      </w:r>
      <w:r w:rsidRPr="009E7D59">
        <w:rPr>
          <w:rFonts w:ascii="Times New Roman" w:hAnsi="Times New Roman" w:cs="Times New Roman"/>
          <w:sz w:val="24"/>
          <w:szCs w:val="24"/>
        </w:rPr>
        <w:t xml:space="preserve"> by either reflecting or absorbing sunlight. These aerosols alter local climate patterns, further intensifying the effects of climate change. Moreover, higher population densities result in increased water demand and pollution, which in turn affects local humidity and alters rainfall and storm intensity. These interconnected changes have profound effects on both local and global climates, affecting ecosystems and posing significant risks to human health </w:t>
      </w:r>
      <w:r>
        <w:rPr>
          <w:rFonts w:ascii="Times New Roman" w:hAnsi="Times New Roman" w:cs="Times New Roman"/>
          <w:sz w:val="24"/>
          <w:szCs w:val="24"/>
        </w:rPr>
        <w:t xml:space="preserve">[19]. </w:t>
      </w:r>
    </w:p>
    <w:p w14:paraId="02F679EA" w14:textId="55CD11A3" w:rsidR="009E7D59" w:rsidRPr="009E7D59" w:rsidRDefault="009E7D59" w:rsidP="009E7D59">
      <w:pPr>
        <w:spacing w:after="0" w:line="240" w:lineRule="auto"/>
        <w:jc w:val="both"/>
        <w:rPr>
          <w:rFonts w:ascii="Times New Roman" w:hAnsi="Times New Roman" w:cs="Times New Roman"/>
          <w:sz w:val="24"/>
          <w:szCs w:val="24"/>
        </w:rPr>
      </w:pPr>
      <w:r w:rsidRPr="009E7D59">
        <w:rPr>
          <w:rFonts w:ascii="Times New Roman" w:hAnsi="Times New Roman" w:cs="Times New Roman"/>
          <w:sz w:val="24"/>
          <w:szCs w:val="24"/>
        </w:rPr>
        <w:t xml:space="preserve">In the context of this study, the results indicate that rising GHGs, associated with population growth, adversely affect weather and meteorological parameters. The study shows that the impact of these changes is more pronounced in Nnewi than in Onitsha. Specifically, population growth, symbolizing increased GHGs, has a higher influence on </w:t>
      </w:r>
      <w:r>
        <w:rPr>
          <w:rFonts w:ascii="Times New Roman" w:hAnsi="Times New Roman" w:cs="Times New Roman"/>
          <w:sz w:val="24"/>
          <w:szCs w:val="24"/>
        </w:rPr>
        <w:t>T</w:t>
      </w:r>
      <w:r w:rsidRPr="009E7D59">
        <w:rPr>
          <w:rFonts w:ascii="Times New Roman" w:hAnsi="Times New Roman" w:cs="Times New Roman"/>
          <w:sz w:val="24"/>
          <w:szCs w:val="24"/>
        </w:rPr>
        <w:t xml:space="preserve">, </w:t>
      </w:r>
      <w:r>
        <w:rPr>
          <w:rFonts w:ascii="Times New Roman" w:hAnsi="Times New Roman" w:cs="Times New Roman"/>
          <w:sz w:val="24"/>
          <w:szCs w:val="24"/>
        </w:rPr>
        <w:t>H</w:t>
      </w:r>
      <w:r w:rsidRPr="009E7D59">
        <w:rPr>
          <w:rFonts w:ascii="Times New Roman" w:hAnsi="Times New Roman" w:cs="Times New Roman"/>
          <w:sz w:val="24"/>
          <w:szCs w:val="24"/>
        </w:rPr>
        <w:t xml:space="preserve">, </w:t>
      </w:r>
      <w:r>
        <w:rPr>
          <w:rFonts w:ascii="Times New Roman" w:hAnsi="Times New Roman" w:cs="Times New Roman"/>
          <w:sz w:val="24"/>
          <w:szCs w:val="24"/>
        </w:rPr>
        <w:t>CC</w:t>
      </w:r>
      <w:r w:rsidRPr="009E7D59">
        <w:rPr>
          <w:rFonts w:ascii="Times New Roman" w:hAnsi="Times New Roman" w:cs="Times New Roman"/>
          <w:sz w:val="24"/>
          <w:szCs w:val="24"/>
        </w:rPr>
        <w:t xml:space="preserve">, precipitation, </w:t>
      </w:r>
      <w:r>
        <w:rPr>
          <w:rFonts w:ascii="Times New Roman" w:hAnsi="Times New Roman" w:cs="Times New Roman"/>
          <w:sz w:val="24"/>
          <w:szCs w:val="24"/>
        </w:rPr>
        <w:t>SR</w:t>
      </w:r>
      <w:r w:rsidRPr="009E7D59">
        <w:rPr>
          <w:rFonts w:ascii="Times New Roman" w:hAnsi="Times New Roman" w:cs="Times New Roman"/>
          <w:sz w:val="24"/>
          <w:szCs w:val="24"/>
        </w:rPr>
        <w:t>, and the UV</w:t>
      </w:r>
      <w:r>
        <w:rPr>
          <w:rFonts w:ascii="Times New Roman" w:hAnsi="Times New Roman" w:cs="Times New Roman"/>
          <w:sz w:val="24"/>
          <w:szCs w:val="24"/>
        </w:rPr>
        <w:t>I</w:t>
      </w:r>
      <w:r w:rsidRPr="009E7D59">
        <w:rPr>
          <w:rFonts w:ascii="Times New Roman" w:hAnsi="Times New Roman" w:cs="Times New Roman"/>
          <w:sz w:val="24"/>
          <w:szCs w:val="24"/>
        </w:rPr>
        <w:t xml:space="preserve"> in Nnewi compared to Onitsha. This highlights the more significant climatic and meteorological shifts occurring in Nnewi due to its increasing population and associated rise in GHG emissions.</w:t>
      </w:r>
    </w:p>
    <w:p w14:paraId="44AFC04D" w14:textId="2BD07058" w:rsidR="009E7D59" w:rsidRPr="009E7D59" w:rsidRDefault="009E7D59" w:rsidP="009E7D59">
      <w:pPr>
        <w:spacing w:after="0" w:line="240" w:lineRule="auto"/>
        <w:jc w:val="both"/>
        <w:rPr>
          <w:rFonts w:ascii="Times New Roman" w:hAnsi="Times New Roman" w:cs="Times New Roman"/>
          <w:sz w:val="24"/>
          <w:szCs w:val="24"/>
        </w:rPr>
      </w:pPr>
      <w:r w:rsidRPr="009E7D59">
        <w:rPr>
          <w:rFonts w:ascii="Times New Roman" w:hAnsi="Times New Roman" w:cs="Times New Roman"/>
          <w:sz w:val="24"/>
          <w:szCs w:val="24"/>
        </w:rPr>
        <w:t xml:space="preserve">In conclusion, this study underscores the effects of increasing population, which correlates with a rise in GHGs, on weather and meteorological parameters. Urbanization and industrial activities raise local </w:t>
      </w:r>
      <w:r w:rsidR="006838A9">
        <w:rPr>
          <w:rFonts w:ascii="Times New Roman" w:hAnsi="Times New Roman" w:cs="Times New Roman"/>
          <w:sz w:val="24"/>
          <w:szCs w:val="24"/>
        </w:rPr>
        <w:t>T</w:t>
      </w:r>
      <w:r w:rsidRPr="009E7D59">
        <w:rPr>
          <w:rFonts w:ascii="Times New Roman" w:hAnsi="Times New Roman" w:cs="Times New Roman"/>
          <w:sz w:val="24"/>
          <w:szCs w:val="24"/>
        </w:rPr>
        <w:t>s, creating urban heat islands, while emissions and water usage influence humidity levels and dewpoint. Aerosols from human activities alter cloud formation and precipitation, leading to changes in local weather patterns. Pollution scatters and absorbs solar radiation, affecting solar energy potential, while urbanization and air pollution also modify the UV</w:t>
      </w:r>
      <w:r w:rsidR="006838A9">
        <w:rPr>
          <w:rFonts w:ascii="Times New Roman" w:hAnsi="Times New Roman" w:cs="Times New Roman"/>
          <w:sz w:val="24"/>
          <w:szCs w:val="24"/>
        </w:rPr>
        <w:t>I</w:t>
      </w:r>
      <w:r w:rsidRPr="009E7D59">
        <w:rPr>
          <w:rFonts w:ascii="Times New Roman" w:hAnsi="Times New Roman" w:cs="Times New Roman"/>
          <w:sz w:val="24"/>
          <w:szCs w:val="24"/>
        </w:rPr>
        <w:t xml:space="preserve"> by altering atmospheric composition. The study further connects the rise in </w:t>
      </w:r>
      <w:r w:rsidR="006838A9">
        <w:rPr>
          <w:rFonts w:ascii="Times New Roman" w:hAnsi="Times New Roman" w:cs="Times New Roman"/>
          <w:sz w:val="24"/>
          <w:szCs w:val="24"/>
        </w:rPr>
        <w:t>T</w:t>
      </w:r>
      <w:r w:rsidRPr="009E7D59">
        <w:rPr>
          <w:rFonts w:ascii="Times New Roman" w:hAnsi="Times New Roman" w:cs="Times New Roman"/>
          <w:sz w:val="24"/>
          <w:szCs w:val="24"/>
        </w:rPr>
        <w:t xml:space="preserve"> to changes in various meteorological parameters: warmer air increases moisture retention, raising </w:t>
      </w:r>
      <w:r w:rsidR="006838A9">
        <w:rPr>
          <w:rFonts w:ascii="Times New Roman" w:hAnsi="Times New Roman" w:cs="Times New Roman"/>
          <w:sz w:val="24"/>
          <w:szCs w:val="24"/>
        </w:rPr>
        <w:t>DP</w:t>
      </w:r>
      <w:r w:rsidRPr="009E7D59">
        <w:rPr>
          <w:rFonts w:ascii="Times New Roman" w:hAnsi="Times New Roman" w:cs="Times New Roman"/>
          <w:sz w:val="24"/>
          <w:szCs w:val="24"/>
        </w:rPr>
        <w:t xml:space="preserve">s and </w:t>
      </w:r>
      <w:r w:rsidR="006838A9">
        <w:rPr>
          <w:rFonts w:ascii="Times New Roman" w:hAnsi="Times New Roman" w:cs="Times New Roman"/>
          <w:sz w:val="24"/>
          <w:szCs w:val="24"/>
        </w:rPr>
        <w:t>H</w:t>
      </w:r>
      <w:r w:rsidRPr="009E7D59">
        <w:rPr>
          <w:rFonts w:ascii="Times New Roman" w:hAnsi="Times New Roman" w:cs="Times New Roman"/>
          <w:sz w:val="24"/>
          <w:szCs w:val="24"/>
        </w:rPr>
        <w:t xml:space="preserve">, intensifies the water cycle leading to more extreme weather, and reduces </w:t>
      </w:r>
      <w:r w:rsidR="006838A9">
        <w:rPr>
          <w:rFonts w:ascii="Times New Roman" w:hAnsi="Times New Roman" w:cs="Times New Roman"/>
          <w:sz w:val="24"/>
          <w:szCs w:val="24"/>
        </w:rPr>
        <w:t>CC</w:t>
      </w:r>
      <w:r w:rsidRPr="009E7D59">
        <w:rPr>
          <w:rFonts w:ascii="Times New Roman" w:hAnsi="Times New Roman" w:cs="Times New Roman"/>
          <w:sz w:val="24"/>
          <w:szCs w:val="24"/>
        </w:rPr>
        <w:t xml:space="preserve">, increasing </w:t>
      </w:r>
      <w:r w:rsidR="006838A9">
        <w:rPr>
          <w:rFonts w:ascii="Times New Roman" w:hAnsi="Times New Roman" w:cs="Times New Roman"/>
          <w:sz w:val="24"/>
          <w:szCs w:val="24"/>
        </w:rPr>
        <w:t>SR</w:t>
      </w:r>
      <w:r w:rsidRPr="009E7D59">
        <w:rPr>
          <w:rFonts w:ascii="Times New Roman" w:hAnsi="Times New Roman" w:cs="Times New Roman"/>
          <w:sz w:val="24"/>
          <w:szCs w:val="24"/>
        </w:rPr>
        <w:t xml:space="preserve"> and UV exposure.</w:t>
      </w:r>
    </w:p>
    <w:p w14:paraId="636FE49D" w14:textId="77777777" w:rsidR="006838A9" w:rsidRDefault="009E7D59" w:rsidP="009E7D59">
      <w:pPr>
        <w:spacing w:after="0" w:line="240" w:lineRule="auto"/>
        <w:jc w:val="both"/>
        <w:rPr>
          <w:rFonts w:ascii="Times New Roman" w:hAnsi="Times New Roman" w:cs="Times New Roman"/>
          <w:sz w:val="24"/>
          <w:szCs w:val="24"/>
        </w:rPr>
      </w:pPr>
      <w:r w:rsidRPr="009E7D59">
        <w:rPr>
          <w:rFonts w:ascii="Times New Roman" w:hAnsi="Times New Roman" w:cs="Times New Roman"/>
          <w:sz w:val="24"/>
          <w:szCs w:val="24"/>
        </w:rPr>
        <w:lastRenderedPageBreak/>
        <w:t xml:space="preserve">The adverse effects of population growth on meteorological parameters are significant. Urban heat islands elevate temperatures, worsening heatwaves, and driving higher energy demands. Increased emissions raise moisture levels, contributing to discomfort and health issues, while higher temperatures exacerbate humidity, leading to heat stress. Pollutants alter cloud properties, reducing rainfall and worsening droughts, while warmer air intensifies rainfall, leading to flooding and erosion. Air pollution decreases solar radiation by blocking sunlight, and ozone depletion further raises the UV index, increasing skin cancer risks. </w:t>
      </w:r>
    </w:p>
    <w:p w14:paraId="3C0039E1" w14:textId="77777777" w:rsidR="006838A9" w:rsidRDefault="009E7D59" w:rsidP="009E7D59">
      <w:pPr>
        <w:spacing w:after="0" w:line="240" w:lineRule="auto"/>
        <w:jc w:val="both"/>
        <w:rPr>
          <w:rFonts w:ascii="Times New Roman" w:hAnsi="Times New Roman" w:cs="Times New Roman"/>
          <w:sz w:val="24"/>
          <w:szCs w:val="24"/>
        </w:rPr>
      </w:pPr>
      <w:r w:rsidRPr="009E7D59">
        <w:rPr>
          <w:rFonts w:ascii="Times New Roman" w:hAnsi="Times New Roman" w:cs="Times New Roman"/>
          <w:sz w:val="24"/>
          <w:szCs w:val="24"/>
        </w:rPr>
        <w:t>Nnewi, as an emerging populous city, is showing more significant changes in weather and meteorological parameters compared to Onitsha, with these changes likely to result in serious adverse climatic</w:t>
      </w:r>
      <w:r w:rsidR="006838A9">
        <w:rPr>
          <w:rFonts w:ascii="Times New Roman" w:hAnsi="Times New Roman" w:cs="Times New Roman"/>
          <w:sz w:val="24"/>
          <w:szCs w:val="24"/>
        </w:rPr>
        <w:t xml:space="preserve"> and health</w:t>
      </w:r>
      <w:r w:rsidRPr="009E7D59">
        <w:rPr>
          <w:rFonts w:ascii="Times New Roman" w:hAnsi="Times New Roman" w:cs="Times New Roman"/>
          <w:sz w:val="24"/>
          <w:szCs w:val="24"/>
        </w:rPr>
        <w:t xml:space="preserve"> conditions. The increased population growth, representing a rise in GHG emissions, poses greater risks to public health, agriculture, and ecosystems in Nnewi. This rapid transformation due to population growth is likely to exacerbate the challenges posed by climate change, underscoring the urgent need for mitigation and adaptation strategies in both urban and rural areas</w:t>
      </w:r>
      <w:r w:rsidR="006838A9">
        <w:rPr>
          <w:rFonts w:ascii="Times New Roman" w:hAnsi="Times New Roman" w:cs="Times New Roman"/>
          <w:sz w:val="24"/>
          <w:szCs w:val="24"/>
        </w:rPr>
        <w:t xml:space="preserve">. </w:t>
      </w:r>
    </w:p>
    <w:p w14:paraId="116CFB8E" w14:textId="7C7C5D1F" w:rsidR="001E299E" w:rsidRDefault="00B62F60" w:rsidP="00092B59">
      <w:pPr>
        <w:spacing w:after="0" w:line="240" w:lineRule="auto"/>
        <w:jc w:val="both"/>
        <w:rPr>
          <w:rFonts w:ascii="Times New Roman" w:hAnsi="Times New Roman" w:cs="Times New Roman"/>
          <w:sz w:val="24"/>
          <w:szCs w:val="24"/>
        </w:rPr>
      </w:pPr>
      <w:r w:rsidRPr="00B62F60">
        <w:rPr>
          <w:rFonts w:ascii="Times New Roman" w:hAnsi="Times New Roman" w:cs="Times New Roman"/>
          <w:sz w:val="24"/>
          <w:szCs w:val="24"/>
        </w:rPr>
        <w:t>This study emphasizes the critical need for relevant government agencies and regulatory bodies to formulate and implement policies that effectively address population growth and the associated rise in GHG emissions</w:t>
      </w:r>
      <w:r w:rsidR="003D1FD5">
        <w:rPr>
          <w:rFonts w:ascii="Times New Roman" w:hAnsi="Times New Roman" w:cs="Times New Roman"/>
          <w:sz w:val="24"/>
          <w:szCs w:val="24"/>
        </w:rPr>
        <w:t xml:space="preserve"> due to increased number of industrial and commercial activities, indiscriminating waste dumping, and unregulated land use.</w:t>
      </w:r>
      <w:r w:rsidRPr="00B62F60">
        <w:rPr>
          <w:rFonts w:ascii="Times New Roman" w:hAnsi="Times New Roman" w:cs="Times New Roman"/>
          <w:sz w:val="24"/>
          <w:szCs w:val="24"/>
        </w:rPr>
        <w:t>. It is crucial that these policies are not only designed to mitigate the impacts of population explosions but also include clear strategies for reducing GHG emissions. Additionally, strong enforcement mechanisms must be established to ensure that these guidelines are adhered to, thus minimizing the adverse effects of climate change. Governments must prioritize the development of sustainable urban planning, industrial practices, and transportation systems that align with environmental goals. Through proactive measures, such as promoting renewable energy sources, enhancing waste management systems, and encouraging sustainable agricultural practices, the detrimental effects of population growth and GHG emissions on weather patterns and public health can be effectively reduced. This holistic approach will help safeguard ecosystems, reduce health risks, and ensure a more resilient future in the face of climate challenges.</w:t>
      </w:r>
    </w:p>
    <w:p w14:paraId="5CD7434C" w14:textId="77777777" w:rsidR="001E299E" w:rsidRPr="001E299E" w:rsidRDefault="001E299E" w:rsidP="001E299E">
      <w:pPr>
        <w:spacing w:after="200" w:line="276" w:lineRule="auto"/>
        <w:rPr>
          <w:rFonts w:ascii="Calibri" w:eastAsia="Calibri" w:hAnsi="Calibri" w:cs="Times New Roman"/>
          <w:highlight w:val="yellow"/>
          <w14:ligatures w14:val="none"/>
        </w:rPr>
      </w:pPr>
      <w:r w:rsidRPr="001E299E">
        <w:rPr>
          <w:rFonts w:ascii="Calibri" w:eastAsia="Calibri" w:hAnsi="Calibri" w:cs="Times New Roman"/>
          <w:highlight w:val="yellow"/>
          <w14:ligatures w14:val="none"/>
        </w:rPr>
        <w:t>Disclaimer (Artificial intelligence)</w:t>
      </w:r>
    </w:p>
    <w:p w14:paraId="493DAE86" w14:textId="77777777" w:rsidR="001E299E" w:rsidRPr="001E299E" w:rsidRDefault="001E299E" w:rsidP="001E299E">
      <w:pPr>
        <w:spacing w:after="200" w:line="276" w:lineRule="auto"/>
        <w:rPr>
          <w:rFonts w:ascii="Calibri" w:eastAsia="Calibri" w:hAnsi="Calibri" w:cs="Times New Roman"/>
          <w:highlight w:val="yellow"/>
          <w14:ligatures w14:val="none"/>
        </w:rPr>
      </w:pPr>
      <w:r w:rsidRPr="001E299E">
        <w:rPr>
          <w:rFonts w:ascii="Calibri" w:eastAsia="Calibri" w:hAnsi="Calibri" w:cs="Times New Roman"/>
          <w:highlight w:val="yellow"/>
          <w14:ligatures w14:val="none"/>
        </w:rPr>
        <w:t xml:space="preserve">Option 1: </w:t>
      </w:r>
    </w:p>
    <w:p w14:paraId="5E5D2471" w14:textId="77777777" w:rsidR="001E299E" w:rsidRPr="001E299E" w:rsidRDefault="001E299E" w:rsidP="001E299E">
      <w:pPr>
        <w:spacing w:after="200" w:line="276" w:lineRule="auto"/>
        <w:rPr>
          <w:rFonts w:ascii="Calibri" w:eastAsia="Calibri" w:hAnsi="Calibri" w:cs="Times New Roman"/>
          <w:highlight w:val="yellow"/>
          <w14:ligatures w14:val="none"/>
        </w:rPr>
      </w:pPr>
      <w:r w:rsidRPr="001E299E">
        <w:rPr>
          <w:rFonts w:ascii="Calibri" w:eastAsia="Calibri" w:hAnsi="Calibri" w:cs="Times New Roman"/>
          <w:highlight w:val="yellow"/>
          <w14:ligatures w14:val="none"/>
        </w:rPr>
        <w:t xml:space="preserve">Author(s) hereby declare that NO generative AI technologies such as Large Language Models (ChatGPT, COPILOT, etc.) and text-to-image generators have been used during the writing or editing of this manuscript. </w:t>
      </w:r>
    </w:p>
    <w:p w14:paraId="7724CFCA" w14:textId="452D3681" w:rsidR="00642C41" w:rsidRPr="002A0755" w:rsidRDefault="00BC381A" w:rsidP="00642C41">
      <w:r w:rsidRPr="00BC381A">
        <w:rPr>
          <w:rFonts w:ascii="Times New Roman" w:hAnsi="Times New Roman" w:cs="Times New Roman"/>
          <w:b/>
          <w:bCs/>
          <w:sz w:val="24"/>
          <w:szCs w:val="24"/>
        </w:rPr>
        <w:t>Reference</w:t>
      </w:r>
    </w:p>
    <w:p w14:paraId="1478C80B"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bookmarkStart w:id="2" w:name="_Hlk186882122"/>
      <w:r w:rsidRPr="00806519">
        <w:rPr>
          <w:rFonts w:ascii="Times New Roman" w:hAnsi="Times New Roman" w:cs="Times New Roman"/>
          <w:sz w:val="24"/>
          <w:szCs w:val="24"/>
        </w:rPr>
        <w:t xml:space="preserve">Adeleke, A. O., Eze, U. C., &amp; Nnaji, C. C. (2018). Climate variability and urban resilience in Nigeria. </w:t>
      </w:r>
      <w:r w:rsidRPr="00806519">
        <w:rPr>
          <w:rFonts w:ascii="Times New Roman" w:hAnsi="Times New Roman" w:cs="Times New Roman"/>
          <w:i/>
          <w:iCs/>
          <w:sz w:val="24"/>
          <w:szCs w:val="24"/>
        </w:rPr>
        <w:t>Journal of Environmental Studies</w:t>
      </w:r>
      <w:r w:rsidRPr="00806519">
        <w:rPr>
          <w:rFonts w:ascii="Times New Roman" w:hAnsi="Times New Roman" w:cs="Times New Roman"/>
          <w:sz w:val="24"/>
          <w:szCs w:val="24"/>
        </w:rPr>
        <w:t>, 45(2), 123-136.</w:t>
      </w:r>
    </w:p>
    <w:p w14:paraId="789F118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lang w:val="pt-BR"/>
        </w:rPr>
        <w:t xml:space="preserve">Akinsanola, A. A., &amp; Ogunjobi, K. O. (2017). </w:t>
      </w:r>
      <w:r w:rsidRPr="00806519">
        <w:rPr>
          <w:rFonts w:ascii="Times New Roman" w:hAnsi="Times New Roman" w:cs="Times New Roman"/>
          <w:sz w:val="24"/>
          <w:szCs w:val="24"/>
        </w:rPr>
        <w:t xml:space="preserve">Analysis of rainfall and temperature variability over Nigeria. </w:t>
      </w:r>
      <w:r w:rsidRPr="00806519">
        <w:rPr>
          <w:rFonts w:ascii="Times New Roman" w:hAnsi="Times New Roman" w:cs="Times New Roman"/>
          <w:i/>
          <w:iCs/>
          <w:sz w:val="24"/>
          <w:szCs w:val="24"/>
        </w:rPr>
        <w:t>Atmospheric Research</w:t>
      </w:r>
      <w:r w:rsidRPr="00806519">
        <w:rPr>
          <w:rFonts w:ascii="Times New Roman" w:hAnsi="Times New Roman" w:cs="Times New Roman"/>
          <w:sz w:val="24"/>
          <w:szCs w:val="24"/>
        </w:rPr>
        <w:t>, 183, 237-250. DOI: 10.1016/j.atmosres.2016.10.024.</w:t>
      </w:r>
    </w:p>
    <w:p w14:paraId="096F74F5"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Alexander, L. V., Zhang, X., Peterson, T. C., et al. (2006). Global observed changes in daily climate extremes of temperature and precipitation. </w:t>
      </w:r>
      <w:r w:rsidRPr="00806519">
        <w:rPr>
          <w:rFonts w:ascii="Times New Roman" w:hAnsi="Times New Roman" w:cs="Times New Roman"/>
          <w:i/>
          <w:iCs/>
          <w:sz w:val="24"/>
          <w:szCs w:val="24"/>
        </w:rPr>
        <w:t>Journal of Geophysical Research</w:t>
      </w:r>
      <w:r w:rsidRPr="00806519">
        <w:rPr>
          <w:rFonts w:ascii="Times New Roman" w:hAnsi="Times New Roman" w:cs="Times New Roman"/>
          <w:sz w:val="24"/>
          <w:szCs w:val="24"/>
        </w:rPr>
        <w:t>, 111(D5), D05109. doi:10.1029/2005JD006290, https://doi.org/10.1029/2005JD006290</w:t>
      </w:r>
    </w:p>
    <w:p w14:paraId="13E68E7C"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lastRenderedPageBreak/>
        <w:t>Atanga, R.A and Tankpa, V. (2021). Climate Change, Flood Disaster Risk and Food Security Nexus in Northern Ghana. Front. Sustain. Food Syst. 5:706721.</w:t>
      </w:r>
    </w:p>
    <w:p w14:paraId="0EF4D65C"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 xml:space="preserve">Atwoli, L., Baqui, A. H., Benfield, T., Bosurgi, R., Godlee, F., Hancocks, S., Horton, R., Laybourn-Langton, L., Monteiro, C. A., Norman, I., Patrick, K., Praities, N., Olde Rikkert, M. G. M., Rubin, E. J., Sahni, P., Smith, R., Talley, N., Turale, S., &amp; Vázquez, D. (2021). Call for Emergency Action to Limit Global Temperature Increases, Restore Biodiversity, and Protect Health. mBio, 12(5), e0249121. </w:t>
      </w:r>
    </w:p>
    <w:p w14:paraId="0C5F1C02"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Bell, J. E., Brown, C. L., Conlon, K., Herring, S., Kunkel, K. E., Lawrimore, J., Luber, G., Schreck, C., Smith, A., &amp; Uejio, C. (2018). Changes in extreme events and the potential impacts on human health. Journal of the Air &amp; Waste Management Association (1995), 68(4), 265–287.</w:t>
      </w:r>
    </w:p>
    <w:p w14:paraId="37C21E1E"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Britannica. (2024). Onitsha. In </w:t>
      </w:r>
      <w:r w:rsidRPr="00806519">
        <w:rPr>
          <w:rFonts w:ascii="Times New Roman" w:hAnsi="Times New Roman" w:cs="Times New Roman"/>
          <w:i/>
          <w:iCs/>
          <w:sz w:val="24"/>
          <w:szCs w:val="24"/>
        </w:rPr>
        <w:t>Encyclopedia Britannica</w:t>
      </w:r>
      <w:r w:rsidRPr="00806519">
        <w:rPr>
          <w:rFonts w:ascii="Times New Roman" w:hAnsi="Times New Roman" w:cs="Times New Roman"/>
          <w:sz w:val="24"/>
          <w:szCs w:val="24"/>
        </w:rPr>
        <w:t xml:space="preserve">. Retrieved from </w:t>
      </w:r>
      <w:hyperlink r:id="rId27" w:tgtFrame="_new" w:history="1">
        <w:r w:rsidRPr="00806519">
          <w:rPr>
            <w:rStyle w:val="Hyperlink"/>
            <w:rFonts w:ascii="Times New Roman" w:hAnsi="Times New Roman" w:cs="Times New Roman"/>
            <w:sz w:val="24"/>
            <w:szCs w:val="24"/>
          </w:rPr>
          <w:t>https://www.britannica.com/place/Onitsha-Nigeria</w:t>
        </w:r>
      </w:hyperlink>
    </w:p>
    <w:p w14:paraId="2D0A30E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Brown, L. T. (2019). </w:t>
      </w:r>
      <w:r w:rsidRPr="00806519">
        <w:rPr>
          <w:rFonts w:ascii="Times New Roman" w:hAnsi="Times New Roman" w:cs="Times New Roman"/>
          <w:i/>
          <w:iCs/>
          <w:sz w:val="24"/>
          <w:szCs w:val="24"/>
        </w:rPr>
        <w:t>Climate Change and Humidity: Impacts on Global Ecosystems</w:t>
      </w:r>
      <w:r w:rsidRPr="00806519">
        <w:rPr>
          <w:rFonts w:ascii="Times New Roman" w:hAnsi="Times New Roman" w:cs="Times New Roman"/>
          <w:sz w:val="24"/>
          <w:szCs w:val="24"/>
        </w:rPr>
        <w:t>. Cambridge University Press.</w:t>
      </w:r>
    </w:p>
    <w:p w14:paraId="7B01E24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Burton, I., Kates, R. W., &amp; White, G. F. (1978). </w:t>
      </w:r>
      <w:r w:rsidRPr="00806519">
        <w:rPr>
          <w:rFonts w:ascii="Times New Roman" w:hAnsi="Times New Roman" w:cs="Times New Roman"/>
          <w:i/>
          <w:iCs/>
          <w:sz w:val="24"/>
          <w:szCs w:val="24"/>
        </w:rPr>
        <w:t>The environment as hazard</w:t>
      </w:r>
      <w:r w:rsidRPr="00806519">
        <w:rPr>
          <w:rFonts w:ascii="Times New Roman" w:hAnsi="Times New Roman" w:cs="Times New Roman"/>
          <w:sz w:val="24"/>
          <w:szCs w:val="24"/>
        </w:rPr>
        <w:t>. Oxford University Press.</w:t>
      </w:r>
    </w:p>
    <w:p w14:paraId="1251D280"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Cattaneo, C., &amp; Foreman, T. (2023). Climate change, international migration, and interstate conflicts. Ecological Economics, 211, 107890</w:t>
      </w:r>
    </w:p>
    <w:p w14:paraId="680527C7"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Chodakowska, E., Nazarko, J., Nazark, L.,  and Rabayah, S. H.,  (2024), Solar Radiation Forecasting: A Systematic Meta-Review of Current Methods and Emerging Trends, </w:t>
      </w:r>
      <w:r w:rsidRPr="00806519">
        <w:rPr>
          <w:rFonts w:ascii="Times New Roman" w:hAnsi="Times New Roman" w:cs="Times New Roman"/>
          <w:i/>
          <w:iCs/>
          <w:sz w:val="24"/>
          <w:szCs w:val="24"/>
        </w:rPr>
        <w:t>Energies</w:t>
      </w:r>
      <w:r w:rsidRPr="00806519">
        <w:rPr>
          <w:rFonts w:ascii="Times New Roman" w:hAnsi="Times New Roman" w:cs="Times New Roman"/>
          <w:sz w:val="24"/>
          <w:szCs w:val="24"/>
        </w:rPr>
        <w:t>, </w:t>
      </w:r>
      <w:r w:rsidRPr="00806519">
        <w:rPr>
          <w:rFonts w:ascii="Times New Roman" w:hAnsi="Times New Roman" w:cs="Times New Roman"/>
          <w:i/>
          <w:iCs/>
          <w:sz w:val="24"/>
          <w:szCs w:val="24"/>
        </w:rPr>
        <w:t>17</w:t>
      </w:r>
      <w:r w:rsidRPr="00806519">
        <w:rPr>
          <w:rFonts w:ascii="Times New Roman" w:hAnsi="Times New Roman" w:cs="Times New Roman"/>
          <w:sz w:val="24"/>
          <w:szCs w:val="24"/>
        </w:rPr>
        <w:t>(13), 3156; </w:t>
      </w:r>
      <w:hyperlink r:id="rId28" w:history="1">
        <w:r w:rsidRPr="00806519">
          <w:rPr>
            <w:rStyle w:val="Hyperlink"/>
            <w:rFonts w:ascii="Times New Roman" w:hAnsi="Times New Roman" w:cs="Times New Roman"/>
            <w:sz w:val="24"/>
            <w:szCs w:val="24"/>
          </w:rPr>
          <w:t>https://doi.org/10.3390/en17133156</w:t>
        </w:r>
      </w:hyperlink>
    </w:p>
    <w:p w14:paraId="28D3EEBC" w14:textId="22AA25F5" w:rsidR="00BC381A" w:rsidRPr="00AC7FD1" w:rsidRDefault="00BC381A" w:rsidP="00806519">
      <w:pPr>
        <w:pStyle w:val="NormalWeb"/>
        <w:numPr>
          <w:ilvl w:val="0"/>
          <w:numId w:val="7"/>
        </w:numPr>
        <w:spacing w:before="0" w:beforeAutospacing="0" w:after="0" w:afterAutospacing="0"/>
        <w:jc w:val="both"/>
      </w:pPr>
      <w:r w:rsidRPr="00AC7FD1">
        <w:t xml:space="preserve">Ebi, K. L., Campbell-Lendrum, D., &amp; Wyns, A. (2018). Human health. In </w:t>
      </w:r>
      <w:r w:rsidRPr="00AC7FD1">
        <w:rPr>
          <w:rStyle w:val="Emphasis"/>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AC7FD1">
        <w:t>. Intergovernmental Panel on Climate Change.</w:t>
      </w:r>
    </w:p>
    <w:p w14:paraId="657A7C49"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bookmarkStart w:id="3" w:name="_Hlk173783216"/>
      <w:r w:rsidRPr="00806519">
        <w:rPr>
          <w:rFonts w:ascii="Times New Roman" w:hAnsi="Times New Roman" w:cs="Times New Roman"/>
          <w:sz w:val="24"/>
          <w:szCs w:val="24"/>
        </w:rPr>
        <w:t>Ebi</w:t>
      </w:r>
      <w:bookmarkEnd w:id="3"/>
      <w:r w:rsidRPr="00806519">
        <w:rPr>
          <w:rFonts w:ascii="Times New Roman" w:hAnsi="Times New Roman" w:cs="Times New Roman"/>
          <w:sz w:val="24"/>
          <w:szCs w:val="24"/>
        </w:rPr>
        <w:t>, K. L., Vanos, J., Baldwin, J. W., Bell, J. E., Hondula, D. M., Errett, N. A., Hayes, K., Reid, C. E., Saha, S., Spector, J., &amp; Berry, P. (2021). Extreme Weather and Climate Change: Population Health and Health System Implications. </w:t>
      </w:r>
      <w:r w:rsidRPr="00806519">
        <w:rPr>
          <w:rFonts w:ascii="Times New Roman" w:hAnsi="Times New Roman" w:cs="Times New Roman"/>
          <w:i/>
          <w:iCs/>
          <w:sz w:val="24"/>
          <w:szCs w:val="24"/>
        </w:rPr>
        <w:t>Annual review of public health</w:t>
      </w:r>
      <w:r w:rsidRPr="00806519">
        <w:rPr>
          <w:rFonts w:ascii="Times New Roman" w:hAnsi="Times New Roman" w:cs="Times New Roman"/>
          <w:sz w:val="24"/>
          <w:szCs w:val="24"/>
        </w:rPr>
        <w:t>, </w:t>
      </w:r>
      <w:r w:rsidRPr="00806519">
        <w:rPr>
          <w:rFonts w:ascii="Times New Roman" w:hAnsi="Times New Roman" w:cs="Times New Roman"/>
          <w:i/>
          <w:iCs/>
          <w:sz w:val="24"/>
          <w:szCs w:val="24"/>
        </w:rPr>
        <w:t>42</w:t>
      </w:r>
      <w:r w:rsidRPr="00806519">
        <w:rPr>
          <w:rFonts w:ascii="Times New Roman" w:hAnsi="Times New Roman" w:cs="Times New Roman"/>
          <w:sz w:val="24"/>
          <w:szCs w:val="24"/>
        </w:rPr>
        <w:t>, 293–315.</w:t>
      </w:r>
    </w:p>
    <w:p w14:paraId="26FEDC2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Ekwueme, B. N., &amp; Agunwamba, J. C. (2021),  A trend analysis and observed variability in rainfall and air temperature in river basins in Southeast Nigeria, https://link.springer.com/article/10.1007/s12665-021-09768-9.</w:t>
      </w:r>
    </w:p>
    <w:p w14:paraId="1A4FAF23"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Farooq, M. S., Uzair, M., Raza, A., Habib, M., Xu, Y., Yousuf, M., Yang, S. H., &amp; Ramzan Khan, M. (2022). Uncovering the Research Gaps to Alleviate the Negative Impacts of Climate Change on Food Security: A Review. Frontiers in plant science, 13, 927535.</w:t>
      </w:r>
    </w:p>
    <w:p w14:paraId="7DFEA0B0" w14:textId="77777777" w:rsidR="00BC381A" w:rsidRPr="00806519" w:rsidRDefault="00BC381A" w:rsidP="00806519">
      <w:pPr>
        <w:pStyle w:val="ListParagraph"/>
        <w:numPr>
          <w:ilvl w:val="0"/>
          <w:numId w:val="7"/>
        </w:numPr>
        <w:spacing w:after="0" w:line="240" w:lineRule="auto"/>
        <w:jc w:val="both"/>
        <w:rPr>
          <w:rFonts w:asciiTheme="majorBidi" w:eastAsiaTheme="majorEastAsia" w:hAnsiTheme="majorBidi" w:cstheme="majorBidi"/>
          <w:kern w:val="0"/>
          <w:sz w:val="24"/>
          <w:szCs w:val="24"/>
          <w14:ligatures w14:val="none"/>
        </w:rPr>
      </w:pPr>
      <w:r w:rsidRPr="00806519">
        <w:rPr>
          <w:rFonts w:asciiTheme="majorBidi" w:eastAsiaTheme="majorEastAsia" w:hAnsiTheme="majorBidi" w:cstheme="majorBidi"/>
          <w:kern w:val="0"/>
          <w:sz w:val="24"/>
          <w:szCs w:val="24"/>
          <w14:ligatures w14:val="none"/>
        </w:rPr>
        <w:t xml:space="preserve">Fisher, R. A. (1915). Frequency distribution of the values of the correlation coefficient in samples from an indefinitely large population. </w:t>
      </w:r>
      <w:r w:rsidRPr="00806519">
        <w:rPr>
          <w:rFonts w:asciiTheme="majorBidi" w:eastAsiaTheme="majorEastAsia" w:hAnsiTheme="majorBidi" w:cstheme="majorBidi"/>
          <w:i/>
          <w:iCs/>
          <w:kern w:val="0"/>
          <w:sz w:val="24"/>
          <w:szCs w:val="24"/>
          <w14:ligatures w14:val="none"/>
        </w:rPr>
        <w:t>Biometrika, 10</w:t>
      </w:r>
      <w:r w:rsidRPr="00806519">
        <w:rPr>
          <w:rFonts w:asciiTheme="majorBidi" w:eastAsiaTheme="majorEastAsia" w:hAnsiTheme="majorBidi" w:cstheme="majorBidi"/>
          <w:kern w:val="0"/>
          <w:sz w:val="24"/>
          <w:szCs w:val="24"/>
          <w14:ligatures w14:val="none"/>
        </w:rPr>
        <w:t xml:space="preserve">(4), 507–521. </w:t>
      </w:r>
      <w:hyperlink r:id="rId29" w:history="1">
        <w:r w:rsidRPr="00806519">
          <w:rPr>
            <w:rStyle w:val="Hyperlink"/>
            <w:rFonts w:asciiTheme="majorBidi" w:eastAsiaTheme="majorEastAsia" w:hAnsiTheme="majorBidi" w:cstheme="majorBidi"/>
            <w:kern w:val="0"/>
            <w:sz w:val="24"/>
            <w:szCs w:val="24"/>
            <w14:ligatures w14:val="none"/>
          </w:rPr>
          <w:t>https://doi.org/10.1093/biomet/10.4.507</w:t>
        </w:r>
      </w:hyperlink>
    </w:p>
    <w:p w14:paraId="2C676B03"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Foley, J. A., DeFries, R., Asner, G. P., Barford, C., Bonan, G., Carpenter, S. R., ... &amp; Snyder, P. K. (2005). Global consequences of land use. </w:t>
      </w:r>
      <w:r w:rsidRPr="00806519">
        <w:rPr>
          <w:rFonts w:ascii="Times New Roman" w:hAnsi="Times New Roman" w:cs="Times New Roman"/>
          <w:i/>
          <w:iCs/>
          <w:sz w:val="24"/>
          <w:szCs w:val="24"/>
        </w:rPr>
        <w:t>Science, 309</w:t>
      </w:r>
      <w:r w:rsidRPr="00806519">
        <w:rPr>
          <w:rFonts w:ascii="Times New Roman" w:hAnsi="Times New Roman" w:cs="Times New Roman"/>
          <w:sz w:val="24"/>
          <w:szCs w:val="24"/>
        </w:rPr>
        <w:t>(5734), 570–574. https://doi.org/10.1126/science.1111772.</w:t>
      </w:r>
    </w:p>
    <w:p w14:paraId="16811B4C"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Food and Agriculture Organization (2023), Greenhouse Gas Emissions from Agriculture, Forestry, and Other Land Use.  </w:t>
      </w:r>
      <w:hyperlink r:id="rId30" w:tgtFrame="_new" w:history="1">
        <w:r w:rsidRPr="00806519">
          <w:rPr>
            <w:rStyle w:val="Hyperlink"/>
            <w:rFonts w:ascii="Times New Roman" w:hAnsi="Times New Roman" w:cs="Times New Roman"/>
            <w:sz w:val="24"/>
            <w:szCs w:val="24"/>
          </w:rPr>
          <w:t>www.fao.org/3/i6340e/i6340e.pdf</w:t>
        </w:r>
      </w:hyperlink>
    </w:p>
    <w:p w14:paraId="7200F7D7" w14:textId="77777777" w:rsidR="00BC381A" w:rsidRDefault="00BC381A" w:rsidP="00806519">
      <w:pPr>
        <w:pStyle w:val="NormalWeb"/>
        <w:numPr>
          <w:ilvl w:val="0"/>
          <w:numId w:val="7"/>
        </w:numPr>
        <w:spacing w:before="0" w:beforeAutospacing="0" w:after="0" w:afterAutospacing="0"/>
        <w:jc w:val="both"/>
        <w:rPr>
          <w:rFonts w:eastAsiaTheme="minorHAnsi"/>
          <w:kern w:val="2"/>
          <w14:ligatures w14:val="standardContextual"/>
        </w:rPr>
      </w:pPr>
      <w:r w:rsidRPr="005A3AEF">
        <w:rPr>
          <w:rFonts w:eastAsiaTheme="minorHAnsi"/>
          <w:kern w:val="2"/>
          <w14:ligatures w14:val="standardContextual"/>
        </w:rPr>
        <w:lastRenderedPageBreak/>
        <w:t xml:space="preserve">Garsa, K., Khan, A. A., Jindal, P., &amp; Others. (2023). Assessment of meteorological parameters on air pollution variability over Delhi. </w:t>
      </w:r>
      <w:r w:rsidRPr="005A3AEF">
        <w:rPr>
          <w:rFonts w:eastAsiaTheme="minorHAnsi"/>
          <w:i/>
          <w:iCs/>
          <w:kern w:val="2"/>
          <w14:ligatures w14:val="standardContextual"/>
        </w:rPr>
        <w:t>Environmental Monitoring and Assessment, 195,</w:t>
      </w:r>
      <w:r w:rsidRPr="005A3AEF">
        <w:rPr>
          <w:rFonts w:eastAsiaTheme="minorHAnsi"/>
          <w:kern w:val="2"/>
          <w14:ligatures w14:val="standardContextual"/>
        </w:rPr>
        <w:t xml:space="preserve"> 1315. </w:t>
      </w:r>
      <w:hyperlink r:id="rId31" w:tgtFrame="_new" w:history="1">
        <w:r w:rsidRPr="005A3AEF">
          <w:rPr>
            <w:rStyle w:val="Hyperlink"/>
            <w:rFonts w:eastAsiaTheme="minorHAnsi"/>
            <w:kern w:val="2"/>
            <w14:ligatures w14:val="standardContextual"/>
          </w:rPr>
          <w:t>https://doi.org/10.1007/s10661-023-11922-2</w:t>
        </w:r>
      </w:hyperlink>
    </w:p>
    <w:p w14:paraId="2A30ED04" w14:textId="77777777" w:rsidR="00BC381A" w:rsidRPr="00F96705" w:rsidRDefault="00BC381A" w:rsidP="00BC381A">
      <w:pPr>
        <w:pStyle w:val="NormalWeb"/>
        <w:spacing w:before="0" w:beforeAutospacing="0" w:after="0" w:afterAutospacing="0"/>
        <w:ind w:left="810" w:hanging="810"/>
        <w:jc w:val="both"/>
      </w:pPr>
    </w:p>
    <w:p w14:paraId="32017A4F" w14:textId="77777777" w:rsidR="00BC381A" w:rsidRPr="00AC7FD1" w:rsidRDefault="00BC381A" w:rsidP="00806519">
      <w:pPr>
        <w:pStyle w:val="NormalWeb"/>
        <w:numPr>
          <w:ilvl w:val="0"/>
          <w:numId w:val="7"/>
        </w:numPr>
        <w:spacing w:before="0" w:beforeAutospacing="0" w:after="0" w:afterAutospacing="0"/>
        <w:jc w:val="both"/>
      </w:pPr>
      <w:r w:rsidRPr="00AC7FD1">
        <w:t xml:space="preserve">Gattuso, J.-P., Magnan, A., Bopp, L., Cheung, W. W. L., Duarte, C. M., Hinkel, J., ... &amp; Turley, C. (2015). Contrasting futures for ocean and society from different anthropogenic CO₂ emissions scenarios. </w:t>
      </w:r>
      <w:r w:rsidRPr="00AC7FD1">
        <w:rPr>
          <w:rStyle w:val="Emphasis"/>
        </w:rPr>
        <w:t>Science</w:t>
      </w:r>
      <w:r w:rsidRPr="00AC7FD1">
        <w:t xml:space="preserve">, </w:t>
      </w:r>
      <w:r w:rsidRPr="00AC7FD1">
        <w:rPr>
          <w:rStyle w:val="Emphasis"/>
        </w:rPr>
        <w:t>349</w:t>
      </w:r>
      <w:r w:rsidRPr="00AC7FD1">
        <w:t>(6243), aac4722.</w:t>
      </w:r>
      <w:r>
        <w:t xml:space="preserve"> </w:t>
      </w:r>
      <w:r w:rsidRPr="00AC7FD1">
        <w:t>doi.org/10.1126/science.aac4722</w:t>
      </w:r>
    </w:p>
    <w:p w14:paraId="7DBE09F4"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Global Forest Watch (2023). Forest Monitoring, Land Use, and Deforestation Trends.  </w:t>
      </w:r>
      <w:hyperlink r:id="rId32" w:tgtFrame="_new" w:history="1">
        <w:r w:rsidRPr="00806519">
          <w:rPr>
            <w:rStyle w:val="Hyperlink"/>
            <w:rFonts w:ascii="Times New Roman" w:hAnsi="Times New Roman" w:cs="Times New Roman"/>
            <w:sz w:val="24"/>
            <w:szCs w:val="24"/>
          </w:rPr>
          <w:t>www.globalforestwatch.org</w:t>
        </w:r>
      </w:hyperlink>
    </w:p>
    <w:p w14:paraId="7E90CCFF"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Gulev, S. K., Thorne, P. W., Allan, R. J., Dai, A., Domingues, C. M., Dunn, R. J. H., ... &amp; Ziese, M. (2021). Indicators of global climate change 2022: Annual update of large-scale indicators of the state of the climate system and human influence. </w:t>
      </w:r>
      <w:r w:rsidRPr="00806519">
        <w:rPr>
          <w:rFonts w:ascii="Times New Roman" w:hAnsi="Times New Roman" w:cs="Times New Roman"/>
          <w:i/>
          <w:iCs/>
          <w:sz w:val="24"/>
          <w:szCs w:val="24"/>
        </w:rPr>
        <w:t>Earth System Science Data, 13</w:t>
      </w:r>
      <w:r w:rsidRPr="00806519">
        <w:rPr>
          <w:rFonts w:ascii="Times New Roman" w:hAnsi="Times New Roman" w:cs="Times New Roman"/>
          <w:sz w:val="24"/>
          <w:szCs w:val="24"/>
        </w:rPr>
        <w:t xml:space="preserve">(6), 2941–2964. </w:t>
      </w:r>
      <w:hyperlink r:id="rId33" w:history="1">
        <w:r w:rsidRPr="00806519">
          <w:rPr>
            <w:rStyle w:val="Hyperlink"/>
            <w:rFonts w:ascii="Times New Roman" w:hAnsi="Times New Roman" w:cs="Times New Roman"/>
            <w:sz w:val="24"/>
            <w:szCs w:val="24"/>
          </w:rPr>
          <w:t>https://doi.org/10.5194/essd-13-2941-2021</w:t>
        </w:r>
      </w:hyperlink>
    </w:p>
    <w:p w14:paraId="1415607B"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hyperlink r:id="rId34" w:history="1">
        <w:r w:rsidRPr="00806519">
          <w:rPr>
            <w:rStyle w:val="Hyperlink"/>
            <w:rFonts w:ascii="Times New Roman" w:hAnsi="Times New Roman" w:cs="Times New Roman"/>
            <w:sz w:val="24"/>
            <w:szCs w:val="24"/>
          </w:rPr>
          <w:t>https://nationalpopulation.gov.ng/</w:t>
        </w:r>
      </w:hyperlink>
    </w:p>
    <w:p w14:paraId="1322FC51" w14:textId="7A358C26" w:rsidR="00BC381A" w:rsidRPr="00806519" w:rsidRDefault="00FD6725" w:rsidP="00806519">
      <w:pPr>
        <w:pStyle w:val="ListParagraph"/>
        <w:numPr>
          <w:ilvl w:val="0"/>
          <w:numId w:val="7"/>
        </w:numPr>
        <w:spacing w:after="0" w:line="240" w:lineRule="auto"/>
        <w:jc w:val="both"/>
        <w:rPr>
          <w:rFonts w:ascii="Times New Roman" w:hAnsi="Times New Roman" w:cs="Times New Roman"/>
          <w:sz w:val="24"/>
          <w:szCs w:val="24"/>
        </w:rPr>
      </w:pPr>
      <w:hyperlink r:id="rId35" w:history="1">
        <w:r w:rsidRPr="00346874">
          <w:rPr>
            <w:rStyle w:val="Hyperlink"/>
            <w:rFonts w:ascii="Times New Roman" w:hAnsi="Times New Roman" w:cs="Times New Roman"/>
            <w:sz w:val="24"/>
            <w:szCs w:val="24"/>
          </w:rPr>
          <w:t>www.visualcrossing.com/weather/weather#</w:t>
        </w:r>
      </w:hyperlink>
    </w:p>
    <w:p w14:paraId="46FA0234" w14:textId="2A9FF482"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IEA.(2021). Global Energy Review 2021: CO₂ Emissions in 2020. </w:t>
      </w:r>
      <w:hyperlink r:id="rId36" w:history="1">
        <w:r w:rsidRPr="00806519">
          <w:rPr>
            <w:rStyle w:val="Hyperlink"/>
            <w:rFonts w:ascii="Times New Roman" w:hAnsi="Times New Roman" w:cs="Times New Roman"/>
            <w:sz w:val="24"/>
            <w:szCs w:val="24"/>
          </w:rPr>
          <w:t>www.iea.org/reports/global-energy-review-2021</w:t>
        </w:r>
      </w:hyperlink>
      <w:r w:rsidRPr="00806519">
        <w:rPr>
          <w:rFonts w:ascii="Times New Roman" w:eastAsiaTheme="minorEastAsia" w:hAnsi="Times New Roman" w:cs="Times New Roman"/>
          <w:sz w:val="24"/>
          <w:szCs w:val="24"/>
        </w:rPr>
        <w:t xml:space="preserve"> </w:t>
      </w:r>
    </w:p>
    <w:p w14:paraId="4F472C46" w14:textId="49861558" w:rsidR="00BC381A" w:rsidRPr="00806519" w:rsidRDefault="00806519"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Intergovernmental Panel on Climate Change (IPCC)</w:t>
      </w:r>
      <w:r w:rsidR="00BC381A" w:rsidRPr="00806519">
        <w:rPr>
          <w:rFonts w:ascii="Times New Roman" w:hAnsi="Times New Roman" w:cs="Times New Roman"/>
          <w:sz w:val="24"/>
          <w:szCs w:val="24"/>
        </w:rPr>
        <w:t>, (2014). Climate Change 2014: Mitigation of Climate Change – Industry. www.ipcc.ch/report/ar5/wg3/industry</w:t>
      </w:r>
    </w:p>
    <w:p w14:paraId="0B4336D0"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IPCC,(2022). Climate Change 2022: Impacts, Adaptation, and Vulnerability. Cambridge University Press. https://www.ipcc.ch/report/ar6/wg2/</w:t>
      </w:r>
    </w:p>
    <w:p w14:paraId="6B9BC7EA"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IPCC. (2021). Climate Change 2021: The Physical Science Basis. Contribution of Working Group I to the Sixth Assessment Report of the Intergovernmental Panel on Climate Change [Masson-Delmotte, V., P. Zhai, A. Pirani, S.K. Allen, M. R. (Eds.)]. Cambridge University Press. Retrieved from https://www.ipcc.ch/report/ar6/wg1/</w:t>
      </w:r>
    </w:p>
    <w:p w14:paraId="525152B2"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Isaksen, K., Nordli, Ø., Ivanov, B., Køltzow, M. A. Ø., Aaboe, S., Gjelten, H. M., Mezghani, A., Eastwood, S., Førland, E., Benestad, R. E., Hanssen-Bauer, I., Brækkan, R., Sviashchennikov, P., Demin, V., Revina, A., &amp; Karandasheva, T. (2022). Exceptional warming over the Barents area. Scientific Reports, 12(1), 9371.</w:t>
      </w:r>
    </w:p>
    <w:p w14:paraId="14DE45B7"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Jennifer A. F. and Stephen J. V., (2012),  The influence of Arctic amplification on mid-latitude weather and climate, </w:t>
      </w:r>
      <w:r w:rsidRPr="00806519">
        <w:rPr>
          <w:rFonts w:ascii="Times New Roman" w:hAnsi="Times New Roman" w:cs="Times New Roman"/>
          <w:i/>
          <w:iCs/>
          <w:sz w:val="24"/>
          <w:szCs w:val="24"/>
        </w:rPr>
        <w:t>Nature Climate Change</w:t>
      </w:r>
      <w:r w:rsidRPr="00806519">
        <w:rPr>
          <w:rFonts w:ascii="Times New Roman" w:hAnsi="Times New Roman" w:cs="Times New Roman"/>
          <w:sz w:val="24"/>
          <w:szCs w:val="24"/>
        </w:rPr>
        <w:t>,  DOI:10.1038/nclimate1500, https://doi.org/10.1038/nclimate1500</w:t>
      </w:r>
    </w:p>
    <w:p w14:paraId="67746EE7"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Jones, K. L., &amp; Smith, M. E. (2020). The Impact of Decreasing Humidity on Agricultural Productivity in Arid Regions. </w:t>
      </w:r>
      <w:r w:rsidRPr="00806519">
        <w:rPr>
          <w:rFonts w:ascii="Times New Roman" w:hAnsi="Times New Roman" w:cs="Times New Roman"/>
          <w:i/>
          <w:iCs/>
          <w:sz w:val="24"/>
          <w:szCs w:val="24"/>
        </w:rPr>
        <w:t>Journal of Environmental Science</w:t>
      </w:r>
      <w:r w:rsidRPr="00806519">
        <w:rPr>
          <w:rFonts w:ascii="Times New Roman" w:hAnsi="Times New Roman" w:cs="Times New Roman"/>
          <w:sz w:val="24"/>
          <w:szCs w:val="24"/>
        </w:rPr>
        <w:t xml:space="preserve">, 34(5), 678-690. </w:t>
      </w:r>
    </w:p>
    <w:p w14:paraId="78CF78EB"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Kaufmann, R. K., &amp; Seto, K. C. (2001). Changes in the Climate System Due to Urbanization. </w:t>
      </w:r>
      <w:r w:rsidRPr="00806519">
        <w:rPr>
          <w:rFonts w:ascii="Times New Roman" w:hAnsi="Times New Roman" w:cs="Times New Roman"/>
          <w:i/>
          <w:iCs/>
          <w:sz w:val="24"/>
          <w:szCs w:val="24"/>
        </w:rPr>
        <w:t>Global Environmental Change</w:t>
      </w:r>
      <w:r w:rsidRPr="00806519">
        <w:rPr>
          <w:rFonts w:ascii="Times New Roman" w:hAnsi="Times New Roman" w:cs="Times New Roman"/>
          <w:sz w:val="24"/>
          <w:szCs w:val="24"/>
        </w:rPr>
        <w:t>, 11(2), 77-93</w:t>
      </w:r>
    </w:p>
    <w:p w14:paraId="4A5EC9E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Kharin, V. V., Zwiers, F. W., Zhang, X., &amp; Wehner, M. (2007). Changes in temperature and precipitation extremes in the IPCC ensemble of global coupled model simulations. </w:t>
      </w:r>
      <w:r w:rsidRPr="00806519">
        <w:rPr>
          <w:rFonts w:ascii="Times New Roman" w:hAnsi="Times New Roman" w:cs="Times New Roman"/>
          <w:i/>
          <w:iCs/>
          <w:sz w:val="24"/>
          <w:szCs w:val="24"/>
        </w:rPr>
        <w:t>Journal of Climate</w:t>
      </w:r>
      <w:r w:rsidRPr="00806519">
        <w:rPr>
          <w:rFonts w:ascii="Times New Roman" w:hAnsi="Times New Roman" w:cs="Times New Roman"/>
          <w:sz w:val="24"/>
          <w:szCs w:val="24"/>
        </w:rPr>
        <w:t>, 20(8), 1419-1444. doi:10.1175/JCLI4066.1, https://doi.org/10.1175/JCLI406</w:t>
      </w:r>
    </w:p>
    <w:p w14:paraId="317395FB" w14:textId="77777777" w:rsidR="00BC381A" w:rsidRPr="00AC7FD1" w:rsidRDefault="00BC381A" w:rsidP="00806519">
      <w:pPr>
        <w:pStyle w:val="NormalWeb"/>
        <w:numPr>
          <w:ilvl w:val="0"/>
          <w:numId w:val="7"/>
        </w:numPr>
        <w:spacing w:before="0" w:beforeAutospacing="0" w:after="0" w:afterAutospacing="0"/>
        <w:jc w:val="both"/>
      </w:pPr>
      <w:r w:rsidRPr="00AC7FD1">
        <w:t xml:space="preserve">Knutson, T. R., Camargo, S. J., Chan, J. C. L., Emanuel, K., Ho, C.-H., Kossin, J., ... &amp; Wu, L. (2020). Tropical cyclones and climate change assessment: Part II. Projected response to anthropogenic warming. </w:t>
      </w:r>
      <w:r w:rsidRPr="00AC7FD1">
        <w:rPr>
          <w:rStyle w:val="Emphasis"/>
        </w:rPr>
        <w:t>Nature Climate Change</w:t>
      </w:r>
      <w:r w:rsidRPr="00AC7FD1">
        <w:t xml:space="preserve">, </w:t>
      </w:r>
      <w:r w:rsidRPr="00AC7FD1">
        <w:rPr>
          <w:rStyle w:val="Emphasis"/>
        </w:rPr>
        <w:t>10</w:t>
      </w:r>
      <w:r w:rsidRPr="00AC7FD1">
        <w:t xml:space="preserve">(3), 191–199. </w:t>
      </w:r>
      <w:hyperlink r:id="rId37" w:history="1">
        <w:r w:rsidRPr="009E125E">
          <w:rPr>
            <w:rStyle w:val="Hyperlink"/>
          </w:rPr>
          <w:t>https://doi.org/10.1038/s41558-019-0643-0</w:t>
        </w:r>
      </w:hyperlink>
    </w:p>
    <w:p w14:paraId="3A4D7E79"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hAnsi="Times New Roman" w:cs="Times New Roman"/>
          <w:sz w:val="24"/>
          <w:szCs w:val="24"/>
        </w:rPr>
        <w:t xml:space="preserve">Le Quéré, C., Andrew, R. M., Friedlingstein, P., Sitch, S., Pongratz, J., Peters, G. P., ... &amp; Zheng, B. (2018). Global carbon budget 2018. </w:t>
      </w:r>
      <w:r w:rsidRPr="00806519">
        <w:rPr>
          <w:rFonts w:ascii="Times New Roman" w:hAnsi="Times New Roman" w:cs="Times New Roman"/>
          <w:i/>
          <w:iCs/>
          <w:sz w:val="24"/>
          <w:szCs w:val="24"/>
        </w:rPr>
        <w:t>Earth System Science Data, 10</w:t>
      </w:r>
      <w:r w:rsidRPr="00806519">
        <w:rPr>
          <w:rFonts w:ascii="Times New Roman" w:hAnsi="Times New Roman" w:cs="Times New Roman"/>
          <w:sz w:val="24"/>
          <w:szCs w:val="24"/>
        </w:rPr>
        <w:t>(4), 2141–2194. https://doi.org/10.5194/essd-10-2141-2018.</w:t>
      </w:r>
    </w:p>
    <w:p w14:paraId="49F9BBF4"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lastRenderedPageBreak/>
        <w:t xml:space="preserve">Lobell, D. B., Schlenker, W., &amp; Costa-Roberts, J. (2011). Climate trends and global crop production since 1980. </w:t>
      </w:r>
      <w:r w:rsidRPr="00806519">
        <w:rPr>
          <w:rFonts w:ascii="Times New Roman" w:eastAsia="Times New Roman" w:hAnsi="Times New Roman" w:cs="Times New Roman"/>
          <w:i/>
          <w:iCs/>
          <w:kern w:val="0"/>
          <w:sz w:val="24"/>
          <w:szCs w:val="24"/>
          <w14:ligatures w14:val="none"/>
        </w:rPr>
        <w:t>Science</w:t>
      </w:r>
      <w:r w:rsidRPr="00806519">
        <w:rPr>
          <w:rFonts w:ascii="Times New Roman" w:eastAsia="Times New Roman" w:hAnsi="Times New Roman" w:cs="Times New Roman"/>
          <w:kern w:val="0"/>
          <w:sz w:val="24"/>
          <w:szCs w:val="24"/>
          <w14:ligatures w14:val="none"/>
        </w:rPr>
        <w:t xml:space="preserve">, 333(6042), 616-620. </w:t>
      </w:r>
    </w:p>
    <w:p w14:paraId="0CAC4ADF"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Macrotrends. (2024). Onitsha population. Retrieved from </w:t>
      </w:r>
      <w:hyperlink r:id="rId38" w:history="1">
        <w:r w:rsidRPr="00806519">
          <w:rPr>
            <w:rStyle w:val="Hyperlink"/>
            <w:rFonts w:ascii="Times New Roman" w:hAnsi="Times New Roman" w:cs="Times New Roman"/>
            <w:sz w:val="24"/>
            <w:szCs w:val="24"/>
          </w:rPr>
          <w:t>https://www.macrotrends.net/cities/22013/onitsha/population</w:t>
        </w:r>
      </w:hyperlink>
    </w:p>
    <w:p w14:paraId="48C10E93"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McKenzie, R. L., Aucamp, P. J., Bais, A. F., Björn, L. O., &amp; Ilyas, M. (2011). Ozone depletion and climate change: Impacts on UV radiation. </w:t>
      </w:r>
      <w:r w:rsidRPr="00806519">
        <w:rPr>
          <w:rFonts w:ascii="Times New Roman" w:hAnsi="Times New Roman" w:cs="Times New Roman"/>
          <w:i/>
          <w:iCs/>
          <w:sz w:val="24"/>
          <w:szCs w:val="24"/>
        </w:rPr>
        <w:t>Photochemical &amp; Photobiological Sciences</w:t>
      </w:r>
      <w:r w:rsidRPr="00806519">
        <w:rPr>
          <w:rFonts w:ascii="Times New Roman" w:hAnsi="Times New Roman" w:cs="Times New Roman"/>
          <w:sz w:val="24"/>
          <w:szCs w:val="24"/>
        </w:rPr>
        <w:t xml:space="preserve">, 10(2), 182-198. DOI: [10.1039/C0PP90034F, </w:t>
      </w:r>
      <w:hyperlink r:id="rId39" w:history="1">
        <w:r w:rsidRPr="00806519">
          <w:rPr>
            <w:rStyle w:val="Hyperlink"/>
            <w:rFonts w:ascii="Times New Roman" w:hAnsi="Times New Roman" w:cs="Times New Roman"/>
            <w:sz w:val="24"/>
            <w:szCs w:val="24"/>
          </w:rPr>
          <w:t>https://doi.org/10.1039/C0PP90034F</w:t>
        </w:r>
      </w:hyperlink>
      <w:r w:rsidRPr="00806519">
        <w:rPr>
          <w:rFonts w:ascii="Times New Roman" w:hAnsi="Times New Roman" w:cs="Times New Roman"/>
          <w:sz w:val="24"/>
          <w:szCs w:val="24"/>
        </w:rPr>
        <w:t>).</w:t>
      </w:r>
    </w:p>
    <w:p w14:paraId="3158F4C5"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Mendoza, V., Marni P.. M.,  Garduño,  R., &amp; Mendoza, B., (2021), Thermodynamics of climate change between cloud cover, atmospheric temperature, and humidity, </w:t>
      </w:r>
      <w:r w:rsidRPr="00806519">
        <w:rPr>
          <w:rFonts w:ascii="Times New Roman" w:hAnsi="Times New Roman" w:cs="Times New Roman"/>
          <w:i/>
          <w:iCs/>
          <w:sz w:val="24"/>
          <w:szCs w:val="24"/>
        </w:rPr>
        <w:t>Scientific Reports</w:t>
      </w:r>
      <w:r w:rsidRPr="00806519">
        <w:rPr>
          <w:rFonts w:ascii="Times New Roman" w:hAnsi="Times New Roman" w:cs="Times New Roman"/>
          <w:sz w:val="24"/>
          <w:szCs w:val="24"/>
        </w:rPr>
        <w:t xml:space="preserve">, 11:21244 </w:t>
      </w:r>
      <w:hyperlink r:id="rId40" w:history="1">
        <w:r w:rsidRPr="00806519">
          <w:rPr>
            <w:rStyle w:val="Hyperlink"/>
            <w:rFonts w:ascii="Times New Roman" w:hAnsi="Times New Roman" w:cs="Times New Roman"/>
            <w:sz w:val="24"/>
            <w:szCs w:val="24"/>
          </w:rPr>
          <w:t>https://doi.org/10.1038/s41598-021-00555-5</w:t>
        </w:r>
      </w:hyperlink>
    </w:p>
    <w:p w14:paraId="3CB2FB77"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Mimura N. (2013). Sea-level rise caused by climate change and its implications for society. Proceedings of the Japan Academy. Series B, Physical and biological sciences, 89(7), 281–301.</w:t>
      </w:r>
    </w:p>
    <w:p w14:paraId="3965CC2A"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Monks, P. S., Archibald, A. T., Colette, A., Cooper, O., Coyle, M., Derwent, R., ... &amp; Williams, M. L. (2015). Tropospheric ozone and its precursors from the urban to the global scale from air quality to short-lived climate forcer. </w:t>
      </w:r>
      <w:r w:rsidRPr="00806519">
        <w:rPr>
          <w:rFonts w:ascii="Times New Roman" w:hAnsi="Times New Roman" w:cs="Times New Roman"/>
          <w:i/>
          <w:iCs/>
          <w:sz w:val="24"/>
          <w:szCs w:val="24"/>
        </w:rPr>
        <w:t>Atmospheric Chemistry and Physics, 15</w:t>
      </w:r>
      <w:r w:rsidRPr="00806519">
        <w:rPr>
          <w:rFonts w:ascii="Times New Roman" w:hAnsi="Times New Roman" w:cs="Times New Roman"/>
          <w:sz w:val="24"/>
          <w:szCs w:val="24"/>
        </w:rPr>
        <w:t xml:space="preserve">(15), 8889–8973. </w:t>
      </w:r>
      <w:hyperlink r:id="rId41" w:history="1">
        <w:r w:rsidRPr="00806519">
          <w:rPr>
            <w:rStyle w:val="Hyperlink"/>
            <w:rFonts w:ascii="Times New Roman" w:hAnsi="Times New Roman" w:cs="Times New Roman"/>
            <w:sz w:val="24"/>
            <w:szCs w:val="24"/>
          </w:rPr>
          <w:t>https://doi.org/10.5194/acp-15-8889-2015</w:t>
        </w:r>
      </w:hyperlink>
    </w:p>
    <w:p w14:paraId="1156291F"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 xml:space="preserve">NASA. (2020). What is the greenhouse effect? Retrieved from https://climate.nasa.gov/climate_resources/240/the-greenhouse-effect-simplified/ </w:t>
      </w:r>
    </w:p>
    <w:p w14:paraId="31745724" w14:textId="77777777" w:rsidR="00BC381A" w:rsidRDefault="00BC381A" w:rsidP="00806519">
      <w:pPr>
        <w:pStyle w:val="NormalWeb"/>
        <w:numPr>
          <w:ilvl w:val="0"/>
          <w:numId w:val="7"/>
        </w:numPr>
        <w:spacing w:before="0" w:beforeAutospacing="0" w:after="0" w:afterAutospacing="0"/>
        <w:jc w:val="both"/>
      </w:pPr>
      <w:r w:rsidRPr="008123B7">
        <w:t>National Oceanic and Atmospheric Administration (NOAA)</w:t>
      </w:r>
      <w:r>
        <w:t xml:space="preserve">, 2021). </w:t>
      </w:r>
    </w:p>
    <w:p w14:paraId="573FC17D" w14:textId="1EA56FCC" w:rsidR="00BC381A" w:rsidRPr="00806519" w:rsidRDefault="00BC381A" w:rsidP="00806519">
      <w:pPr>
        <w:pStyle w:val="ListParagraph"/>
        <w:numPr>
          <w:ilvl w:val="0"/>
          <w:numId w:val="7"/>
        </w:numPr>
        <w:tabs>
          <w:tab w:val="left" w:pos="1125"/>
        </w:tabs>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National Weather Service (NWS), 2014</w:t>
      </w:r>
      <w:r w:rsidR="003B3652" w:rsidRPr="00806519">
        <w:rPr>
          <w:rFonts w:ascii="Times New Roman" w:hAnsi="Times New Roman" w:cs="Times New Roman"/>
          <w:sz w:val="24"/>
          <w:szCs w:val="24"/>
        </w:rPr>
        <w:t xml:space="preserve"> https://www.epa.gov/sunsafety</w:t>
      </w:r>
    </w:p>
    <w:p w14:paraId="43EEC834"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Ngwenya, M., Busayo, E. T., Simatele, M. D., &amp; Others. (2024). Evidence of increasing water scarcity due to frequent drought under SSP2-4.5 climate change scenario in the Western Cape Province, South Africa. </w:t>
      </w:r>
      <w:r w:rsidRPr="00806519">
        <w:rPr>
          <w:rFonts w:ascii="Times New Roman" w:hAnsi="Times New Roman" w:cs="Times New Roman"/>
          <w:i/>
          <w:iCs/>
          <w:sz w:val="24"/>
          <w:szCs w:val="24"/>
        </w:rPr>
        <w:t>Research Square</w:t>
      </w:r>
      <w:r w:rsidRPr="00806519">
        <w:rPr>
          <w:rFonts w:ascii="Times New Roman" w:hAnsi="Times New Roman" w:cs="Times New Roman"/>
          <w:sz w:val="24"/>
          <w:szCs w:val="24"/>
        </w:rPr>
        <w:t xml:space="preserve">. Preprint (Version 1). </w:t>
      </w:r>
      <w:hyperlink r:id="rId42" w:history="1">
        <w:r w:rsidRPr="00806519">
          <w:rPr>
            <w:rStyle w:val="Hyperlink"/>
            <w:rFonts w:ascii="Times New Roman" w:hAnsi="Times New Roman" w:cs="Times New Roman"/>
            <w:sz w:val="24"/>
            <w:szCs w:val="24"/>
          </w:rPr>
          <w:t>https://doi.org/10.21203/rs.3.rs-1234567/v1</w:t>
        </w:r>
      </w:hyperlink>
    </w:p>
    <w:p w14:paraId="3A834D08"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Nigeria Erosion and Watershed Management Project (2024). </w:t>
      </w:r>
      <w:hyperlink r:id="rId43" w:history="1">
        <w:r w:rsidRPr="00806519">
          <w:rPr>
            <w:rStyle w:val="Hyperlink"/>
            <w:rFonts w:ascii="Times New Roman" w:hAnsi="Times New Roman" w:cs="Times New Roman"/>
            <w:sz w:val="24"/>
            <w:szCs w:val="24"/>
          </w:rPr>
          <w:t>www.worldbank.org</w:t>
        </w:r>
      </w:hyperlink>
    </w:p>
    <w:p w14:paraId="5A2EF316"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Nigerian Meteorological Agency. (2023). </w:t>
      </w:r>
      <w:r w:rsidRPr="00806519">
        <w:rPr>
          <w:rFonts w:ascii="Times New Roman" w:hAnsi="Times New Roman" w:cs="Times New Roman"/>
          <w:i/>
          <w:iCs/>
          <w:sz w:val="24"/>
          <w:szCs w:val="24"/>
        </w:rPr>
        <w:t>Climate Change Impacts on Southeastern Nigeria: Annual Temperature Trends in Onitsha and Nnewi</w:t>
      </w:r>
      <w:r w:rsidRPr="00806519">
        <w:rPr>
          <w:rFonts w:ascii="Times New Roman" w:hAnsi="Times New Roman" w:cs="Times New Roman"/>
          <w:sz w:val="24"/>
          <w:szCs w:val="24"/>
        </w:rPr>
        <w:t xml:space="preserve">. Nigerian Meteorological Agency. </w:t>
      </w:r>
      <w:hyperlink r:id="rId44" w:history="1">
        <w:r w:rsidRPr="00806519">
          <w:rPr>
            <w:rStyle w:val="Hyperlink"/>
            <w:rFonts w:ascii="Times New Roman" w:hAnsi="Times New Roman" w:cs="Times New Roman"/>
            <w:sz w:val="24"/>
            <w:szCs w:val="24"/>
          </w:rPr>
          <w:t>http://www.nimet.gov.ng/reports/temperature-trends-2023</w:t>
        </w:r>
      </w:hyperlink>
    </w:p>
    <w:p w14:paraId="56308242" w14:textId="5D219AED" w:rsidR="00BC381A" w:rsidRPr="00806519" w:rsidRDefault="00806519" w:rsidP="00806519">
      <w:pPr>
        <w:pStyle w:val="ListParagraph"/>
        <w:numPr>
          <w:ilvl w:val="0"/>
          <w:numId w:val="7"/>
        </w:numPr>
        <w:spacing w:after="0" w:line="240" w:lineRule="auto"/>
        <w:jc w:val="both"/>
        <w:rPr>
          <w:rFonts w:ascii="Times New Roman" w:hAnsi="Times New Roman" w:cs="Times New Roman"/>
          <w:sz w:val="24"/>
          <w:szCs w:val="24"/>
          <w:lang w:val="pt-BR"/>
        </w:rPr>
      </w:pPr>
      <w:r w:rsidRPr="00806519">
        <w:rPr>
          <w:rFonts w:ascii="Times New Roman" w:hAnsi="Times New Roman" w:cs="Times New Roman"/>
          <w:sz w:val="24"/>
          <w:szCs w:val="24"/>
        </w:rPr>
        <w:t>National Oceanic and Atmospheric Administration (NOAA)</w:t>
      </w:r>
      <w:r w:rsidR="00BC381A" w:rsidRPr="00806519">
        <w:rPr>
          <w:rFonts w:ascii="Times New Roman" w:hAnsi="Times New Roman" w:cs="Times New Roman"/>
          <w:sz w:val="24"/>
          <w:szCs w:val="24"/>
        </w:rPr>
        <w:t xml:space="preserve">. (2021). Annual Dew Point Trends in the United States: A Comprehensive Report. </w:t>
      </w:r>
      <w:r w:rsidR="00BC381A" w:rsidRPr="00806519">
        <w:rPr>
          <w:rFonts w:ascii="Times New Roman" w:hAnsi="Times New Roman" w:cs="Times New Roman"/>
          <w:sz w:val="24"/>
          <w:szCs w:val="24"/>
          <w:lang w:val="pt-BR"/>
        </w:rPr>
        <w:t>NOAA. https://www.noaa.gov/reports/dew-point-trends</w:t>
      </w:r>
    </w:p>
    <w:p w14:paraId="1E021411" w14:textId="02E6F6D3"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587D79">
        <w:rPr>
          <w:rFonts w:ascii="Times New Roman" w:eastAsia="Times New Roman" w:hAnsi="Times New Roman" w:cs="Times New Roman"/>
          <w:kern w:val="0"/>
          <w:sz w:val="24"/>
          <w:szCs w:val="24"/>
          <w14:ligatures w14:val="none"/>
        </w:rPr>
        <w:t xml:space="preserve">NOAA. </w:t>
      </w:r>
      <w:r w:rsidRPr="00806519">
        <w:rPr>
          <w:rFonts w:ascii="Times New Roman" w:eastAsia="Times New Roman" w:hAnsi="Times New Roman" w:cs="Times New Roman"/>
          <w:kern w:val="0"/>
          <w:sz w:val="24"/>
          <w:szCs w:val="24"/>
          <w14:ligatures w14:val="none"/>
        </w:rPr>
        <w:t>(202</w:t>
      </w:r>
      <w:r w:rsidR="00FD6725">
        <w:rPr>
          <w:rFonts w:ascii="Times New Roman" w:eastAsia="Times New Roman" w:hAnsi="Times New Roman" w:cs="Times New Roman"/>
          <w:kern w:val="0"/>
          <w:sz w:val="24"/>
          <w:szCs w:val="24"/>
          <w14:ligatures w14:val="none"/>
        </w:rPr>
        <w:t>2</w:t>
      </w:r>
      <w:r w:rsidRPr="00806519">
        <w:rPr>
          <w:rFonts w:ascii="Times New Roman" w:eastAsia="Times New Roman" w:hAnsi="Times New Roman" w:cs="Times New Roman"/>
          <w:kern w:val="0"/>
          <w:sz w:val="24"/>
          <w:szCs w:val="24"/>
          <w14:ligatures w14:val="none"/>
        </w:rPr>
        <w:t>). Trends in Atmospheric Carbon Dioxide. Retrieved from https://www.esrl.noaa.gov/gmd/ccgg/trends/</w:t>
      </w:r>
    </w:p>
    <w:p w14:paraId="50C88DD7"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lang w:val="pt-BR"/>
        </w:rPr>
        <w:t xml:space="preserve">Nwafor, A. O., &amp; Eze, C. N. (2019). </w:t>
      </w:r>
      <w:r w:rsidRPr="00806519">
        <w:rPr>
          <w:rFonts w:ascii="Times New Roman" w:hAnsi="Times New Roman" w:cs="Times New Roman"/>
          <w:sz w:val="24"/>
          <w:szCs w:val="24"/>
        </w:rPr>
        <w:t xml:space="preserve">Urbanization and population dynamics in Anambra State. </w:t>
      </w:r>
      <w:r w:rsidRPr="00806519">
        <w:rPr>
          <w:rFonts w:ascii="Times New Roman" w:hAnsi="Times New Roman" w:cs="Times New Roman"/>
          <w:i/>
          <w:iCs/>
          <w:sz w:val="24"/>
          <w:szCs w:val="24"/>
        </w:rPr>
        <w:t>African Journal of Social Sciences</w:t>
      </w:r>
      <w:r w:rsidRPr="00806519">
        <w:rPr>
          <w:rFonts w:ascii="Times New Roman" w:hAnsi="Times New Roman" w:cs="Times New Roman"/>
          <w:sz w:val="24"/>
          <w:szCs w:val="24"/>
        </w:rPr>
        <w:t>, 12(3), 34-56.</w:t>
      </w:r>
    </w:p>
    <w:p w14:paraId="2821E17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Ogungbenro, S. B., &amp; Morakinyo, T. E. (2014): An analysis of rainfall distribution and trends across various climatic zones in Nigeria, including the Southeast</w:t>
      </w:r>
      <w:r w:rsidRPr="00806519">
        <w:rPr>
          <w:rFonts w:ascii="Times New Roman" w:hAnsi="Times New Roman" w:cs="Times New Roman"/>
          <w:i/>
          <w:iCs/>
          <w:sz w:val="24"/>
          <w:szCs w:val="24"/>
        </w:rPr>
        <w:t>. Journal of Weather and</w:t>
      </w:r>
      <w:r w:rsidRPr="00806519">
        <w:rPr>
          <w:rFonts w:ascii="Times New Roman" w:hAnsi="Times New Roman" w:cs="Times New Roman"/>
          <w:sz w:val="24"/>
          <w:szCs w:val="24"/>
        </w:rPr>
        <w:t xml:space="preserve"> </w:t>
      </w:r>
      <w:r w:rsidRPr="00806519">
        <w:rPr>
          <w:rFonts w:ascii="Times New Roman" w:hAnsi="Times New Roman" w:cs="Times New Roman"/>
          <w:i/>
          <w:iCs/>
          <w:sz w:val="24"/>
          <w:szCs w:val="24"/>
        </w:rPr>
        <w:t>Climate Extremes</w:t>
      </w:r>
      <w:r w:rsidRPr="00806519">
        <w:rPr>
          <w:rFonts w:ascii="Times New Roman" w:hAnsi="Times New Roman" w:cs="Times New Roman"/>
          <w:sz w:val="24"/>
          <w:szCs w:val="24"/>
        </w:rPr>
        <w:t xml:space="preserve"> </w:t>
      </w:r>
      <w:hyperlink r:id="rId45" w:history="1">
        <w:r w:rsidRPr="00806519">
          <w:rPr>
            <w:rStyle w:val="Hyperlink"/>
            <w:rFonts w:ascii="Times New Roman" w:hAnsi="Times New Roman" w:cs="Times New Roman"/>
            <w:sz w:val="24"/>
            <w:szCs w:val="24"/>
          </w:rPr>
          <w:t>https://doi.org/10.1016/j.wace.2014.10.002</w:t>
        </w:r>
      </w:hyperlink>
    </w:p>
    <w:p w14:paraId="36D26539"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Oke, T. R. (1982). The Energetic Basis of the Urban Heat Island. </w:t>
      </w:r>
      <w:r w:rsidRPr="00806519">
        <w:rPr>
          <w:rFonts w:ascii="Times New Roman" w:hAnsi="Times New Roman" w:cs="Times New Roman"/>
          <w:i/>
          <w:iCs/>
          <w:sz w:val="24"/>
          <w:szCs w:val="24"/>
        </w:rPr>
        <w:t>Quarterly Journal of the Royal Meteorological Society</w:t>
      </w:r>
      <w:r w:rsidRPr="00806519">
        <w:rPr>
          <w:rFonts w:ascii="Times New Roman" w:hAnsi="Times New Roman" w:cs="Times New Roman"/>
          <w:sz w:val="24"/>
          <w:szCs w:val="24"/>
        </w:rPr>
        <w:t xml:space="preserve">, 108(455), 1-24.  </w:t>
      </w:r>
    </w:p>
    <w:p w14:paraId="408205E3"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Oke, T. R. (1987). </w:t>
      </w:r>
      <w:r w:rsidRPr="00806519">
        <w:rPr>
          <w:rFonts w:ascii="Times New Roman" w:hAnsi="Times New Roman" w:cs="Times New Roman"/>
          <w:i/>
          <w:iCs/>
          <w:sz w:val="24"/>
          <w:szCs w:val="24"/>
        </w:rPr>
        <w:t>Boundary Layer Climates</w:t>
      </w:r>
      <w:r w:rsidRPr="00806519">
        <w:rPr>
          <w:rFonts w:ascii="Times New Roman" w:hAnsi="Times New Roman" w:cs="Times New Roman"/>
          <w:sz w:val="24"/>
          <w:szCs w:val="24"/>
        </w:rPr>
        <w:t>. Routledge.  London.</w:t>
      </w:r>
    </w:p>
    <w:p w14:paraId="5728A88F"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Okeke, C. N., &amp; Nwankwo, E. A. (2022). Trends in Temperature Changes in Southeastern Nigeria: A Case Study of Onitsha and Nnewi. </w:t>
      </w:r>
      <w:r w:rsidRPr="00806519">
        <w:rPr>
          <w:rFonts w:ascii="Times New Roman" w:hAnsi="Times New Roman" w:cs="Times New Roman"/>
          <w:i/>
          <w:iCs/>
          <w:sz w:val="24"/>
          <w:szCs w:val="24"/>
        </w:rPr>
        <w:t>Journal of Climate Research</w:t>
      </w:r>
      <w:r w:rsidRPr="00806519">
        <w:rPr>
          <w:rFonts w:ascii="Times New Roman" w:hAnsi="Times New Roman" w:cs="Times New Roman"/>
          <w:sz w:val="24"/>
          <w:szCs w:val="24"/>
        </w:rPr>
        <w:t xml:space="preserve">, </w:t>
      </w:r>
      <w:r w:rsidRPr="00806519">
        <w:rPr>
          <w:rFonts w:ascii="Times New Roman" w:hAnsi="Times New Roman" w:cs="Times New Roman"/>
          <w:i/>
          <w:iCs/>
          <w:sz w:val="24"/>
          <w:szCs w:val="24"/>
        </w:rPr>
        <w:t>15</w:t>
      </w:r>
      <w:r w:rsidRPr="00806519">
        <w:rPr>
          <w:rFonts w:ascii="Times New Roman" w:hAnsi="Times New Roman" w:cs="Times New Roman"/>
          <w:sz w:val="24"/>
          <w:szCs w:val="24"/>
        </w:rPr>
        <w:t>(2), 89-105.</w:t>
      </w:r>
    </w:p>
    <w:p w14:paraId="4DD760A6"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bookmarkStart w:id="4" w:name="_Hlk176638445"/>
      <w:r w:rsidRPr="00587D79">
        <w:rPr>
          <w:rFonts w:ascii="Times New Roman" w:hAnsi="Times New Roman" w:cs="Times New Roman"/>
          <w:sz w:val="24"/>
          <w:szCs w:val="24"/>
          <w:lang w:val="pt-BR"/>
        </w:rPr>
        <w:lastRenderedPageBreak/>
        <w:t>Okoro, B. C., &amp; Okoro</w:t>
      </w:r>
      <w:bookmarkEnd w:id="4"/>
      <w:r w:rsidRPr="00587D79">
        <w:rPr>
          <w:rFonts w:ascii="Times New Roman" w:hAnsi="Times New Roman" w:cs="Times New Roman"/>
          <w:sz w:val="24"/>
          <w:szCs w:val="24"/>
          <w:lang w:val="pt-BR"/>
        </w:rPr>
        <w:t xml:space="preserve">, I. C. (2012). </w:t>
      </w:r>
      <w:r w:rsidRPr="00806519">
        <w:rPr>
          <w:rFonts w:ascii="Times New Roman" w:hAnsi="Times New Roman" w:cs="Times New Roman"/>
          <w:sz w:val="24"/>
          <w:szCs w:val="24"/>
        </w:rPr>
        <w:t xml:space="preserve">An Assessment of Gully Erosion in Anambra State: </w:t>
      </w:r>
      <w:r w:rsidRPr="00806519">
        <w:rPr>
          <w:rFonts w:ascii="Times New Roman" w:hAnsi="Times New Roman" w:cs="Times New Roman"/>
          <w:i/>
          <w:iCs/>
          <w:sz w:val="24"/>
          <w:szCs w:val="24"/>
        </w:rPr>
        <w:t>Journal of Environmental Science and Engineering</w:t>
      </w:r>
      <w:r w:rsidRPr="00806519">
        <w:rPr>
          <w:rFonts w:ascii="Times New Roman" w:hAnsi="Times New Roman" w:cs="Times New Roman"/>
          <w:sz w:val="24"/>
          <w:szCs w:val="24"/>
        </w:rPr>
        <w:t>, 6(3), 453-460.</w:t>
      </w:r>
    </w:p>
    <w:p w14:paraId="5AA38CF4"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Petit, J. R., Jouzel, J., Raynaud, D., Barkov, N. I., Barnola, J. M., Basile, I., ... &amp; Stievenard, M. (1999). Climate and atmospheric history of the past 420,000 years from the Vostok ice core, Antarctica. </w:t>
      </w:r>
      <w:r w:rsidRPr="00806519">
        <w:rPr>
          <w:rFonts w:ascii="Times New Roman" w:hAnsi="Times New Roman" w:cs="Times New Roman"/>
          <w:i/>
          <w:iCs/>
          <w:sz w:val="24"/>
          <w:szCs w:val="24"/>
        </w:rPr>
        <w:t>Nature, 399</w:t>
      </w:r>
      <w:r w:rsidRPr="00806519">
        <w:rPr>
          <w:rFonts w:ascii="Times New Roman" w:hAnsi="Times New Roman" w:cs="Times New Roman"/>
          <w:sz w:val="24"/>
          <w:szCs w:val="24"/>
        </w:rPr>
        <w:t xml:space="preserve">(6735), 429–436. </w:t>
      </w:r>
      <w:hyperlink r:id="rId46" w:history="1">
        <w:r w:rsidRPr="00806519">
          <w:rPr>
            <w:rStyle w:val="Hyperlink"/>
            <w:rFonts w:ascii="Times New Roman" w:hAnsi="Times New Roman" w:cs="Times New Roman"/>
            <w:sz w:val="24"/>
            <w:szCs w:val="24"/>
          </w:rPr>
          <w:t>https://doi.org/10.1038/20859</w:t>
        </w:r>
      </w:hyperlink>
    </w:p>
    <w:p w14:paraId="4F6365E0"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Qiuhong T., Guoyong, L., (2013) Changes in Cloud Cover, Precipitation, and Summer Temperature in North America from 1982 to 2009, 1733–1744, </w:t>
      </w:r>
      <w:r w:rsidRPr="00806519">
        <w:rPr>
          <w:rFonts w:ascii="Times New Roman" w:hAnsi="Times New Roman" w:cs="Times New Roman"/>
          <w:i/>
          <w:iCs/>
          <w:sz w:val="24"/>
          <w:szCs w:val="24"/>
        </w:rPr>
        <w:t>Journal of Climate</w:t>
      </w:r>
      <w:r w:rsidRPr="00806519">
        <w:rPr>
          <w:rFonts w:ascii="Times New Roman" w:hAnsi="Times New Roman" w:cs="Times New Roman"/>
          <w:sz w:val="24"/>
          <w:szCs w:val="24"/>
        </w:rPr>
        <w:t xml:space="preserve"> DOI: </w:t>
      </w:r>
      <w:hyperlink r:id="rId47" w:history="1">
        <w:r w:rsidRPr="00806519">
          <w:rPr>
            <w:rStyle w:val="Hyperlink"/>
            <w:rFonts w:ascii="Times New Roman" w:hAnsi="Times New Roman" w:cs="Times New Roman"/>
            <w:sz w:val="24"/>
            <w:szCs w:val="24"/>
          </w:rPr>
          <w:t>https://doi.org/10.1175/JCLI-D-12-00225.1</w:t>
        </w:r>
      </w:hyperlink>
    </w:p>
    <w:p w14:paraId="3348182B"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hAnsi="Times New Roman" w:cs="Times New Roman"/>
          <w:sz w:val="24"/>
          <w:szCs w:val="24"/>
        </w:rPr>
        <w:t>Ravishankara, A. R., Daniel, J. S., &amp; Portmann, R. W. (2009). Nitrous oxide (N2O): The dominant ozone-depleting substance emitted in the 21st century. Science, 326(5949), 123-125.</w:t>
      </w:r>
    </w:p>
    <w:p w14:paraId="6FD402A2" w14:textId="77777777" w:rsidR="00BC381A" w:rsidRPr="00AC7FD1" w:rsidRDefault="00BC381A" w:rsidP="00806519">
      <w:pPr>
        <w:pStyle w:val="NormalWeb"/>
        <w:numPr>
          <w:ilvl w:val="0"/>
          <w:numId w:val="7"/>
        </w:numPr>
        <w:spacing w:before="0" w:beforeAutospacing="0" w:after="0" w:afterAutospacing="0"/>
        <w:jc w:val="both"/>
      </w:pPr>
      <w:r w:rsidRPr="00AC7FD1">
        <w:t xml:space="preserve">Rogelj, J., Shindell, D., Jiang, K., Fifita, S., Forster, P., Ginzburg, V., ... &amp; Vilarino, M. V. (2018). Mitigation pathways compatible with 1.5°C in the context of sustainable development. In </w:t>
      </w:r>
      <w:r w:rsidRPr="00AC7FD1">
        <w:rPr>
          <w:i/>
          <w:iCs/>
        </w:rPr>
        <w:t>Global warming of 1.5°C</w:t>
      </w:r>
      <w:r w:rsidRPr="00AC7FD1">
        <w:t>. IPCC.</w:t>
      </w:r>
    </w:p>
    <w:p w14:paraId="3375F8F6"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Sara M., and Todd G. V., (2012), Observed changes in surface wind speed over the past 30 years, Nature </w:t>
      </w:r>
      <w:r w:rsidRPr="00806519">
        <w:rPr>
          <w:rFonts w:ascii="Times New Roman" w:hAnsi="Times New Roman" w:cs="Times New Roman"/>
          <w:i/>
          <w:iCs/>
          <w:sz w:val="24"/>
          <w:szCs w:val="24"/>
        </w:rPr>
        <w:t>Climate Change</w:t>
      </w:r>
      <w:r w:rsidRPr="00806519">
        <w:rPr>
          <w:rFonts w:ascii="Times New Roman" w:hAnsi="Times New Roman" w:cs="Times New Roman"/>
          <w:sz w:val="24"/>
          <w:szCs w:val="24"/>
        </w:rPr>
        <w:t>, doi:10.1038/nclimate1322, https://doi.org/10.1038/nclimate1322</w:t>
      </w:r>
    </w:p>
    <w:p w14:paraId="4FDCD5CD"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Saunois, M., Stavert, A. R., Poulter, B., Bousquet, P., Canadell, J. G., Jackson, R. B., ... &amp; Zheng, B. (2020). The global methane budget 2000–2017. </w:t>
      </w:r>
      <w:r w:rsidRPr="00806519">
        <w:rPr>
          <w:rFonts w:ascii="Times New Roman" w:hAnsi="Times New Roman" w:cs="Times New Roman"/>
          <w:i/>
          <w:iCs/>
          <w:sz w:val="24"/>
          <w:szCs w:val="24"/>
        </w:rPr>
        <w:t>Earth System Science Data, 12</w:t>
      </w:r>
      <w:r w:rsidRPr="00806519">
        <w:rPr>
          <w:rFonts w:ascii="Times New Roman" w:hAnsi="Times New Roman" w:cs="Times New Roman"/>
          <w:sz w:val="24"/>
          <w:szCs w:val="24"/>
        </w:rPr>
        <w:t xml:space="preserve">(3), 1561–1623. </w:t>
      </w:r>
      <w:hyperlink r:id="rId48" w:history="1">
        <w:r w:rsidRPr="00806519">
          <w:rPr>
            <w:rStyle w:val="Hyperlink"/>
            <w:rFonts w:ascii="Times New Roman" w:hAnsi="Times New Roman" w:cs="Times New Roman"/>
            <w:sz w:val="24"/>
            <w:szCs w:val="24"/>
          </w:rPr>
          <w:t>https://doi.org/10.5194/essd-12-1561-2020</w:t>
        </w:r>
      </w:hyperlink>
    </w:p>
    <w:p w14:paraId="6602EA8B"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Shepherd, J. M. (2005). A Review of Current Investigations of Urban-Induced Rainfall and Recommendations for the Future. </w:t>
      </w:r>
      <w:r w:rsidRPr="00806519">
        <w:rPr>
          <w:rFonts w:ascii="Times New Roman" w:hAnsi="Times New Roman" w:cs="Times New Roman"/>
          <w:i/>
          <w:iCs/>
          <w:sz w:val="24"/>
          <w:szCs w:val="24"/>
        </w:rPr>
        <w:t>Earth Interactions</w:t>
      </w:r>
      <w:r w:rsidRPr="00806519">
        <w:rPr>
          <w:rFonts w:ascii="Times New Roman" w:hAnsi="Times New Roman" w:cs="Times New Roman"/>
          <w:sz w:val="24"/>
          <w:szCs w:val="24"/>
        </w:rPr>
        <w:t xml:space="preserve">, 9(12), 1-27.  </w:t>
      </w:r>
    </w:p>
    <w:p w14:paraId="18ECC4DE"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Shirley, L. A., &amp; Cindy, H. R. (2020). Climate Change and Forced Migration. International migrations , 11 , e1846.</w:t>
      </w:r>
    </w:p>
    <w:p w14:paraId="4E49417A"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Shivanna, K. R. (2022). Climate change and its impact on biodiversity and human welfare. Proc.Indian Natl. Sci. Acad., 88(2):160–71.</w:t>
      </w:r>
    </w:p>
    <w:p w14:paraId="6B61D470"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Slangen, A.B.A, Palmer MD, Camargo CML, Church JA, Edwards TL, Hermans THJ, Hewitt HT, Garner GG, Gregory JM, Kopp RE, Santos VM and van de Wal RSW (2023). The evolution of 21st century sea-level projections from IPCC AR5 to AR6 and beyond. Cambridge Prisms: Coastal Futures, 1, e7, 1–13</w:t>
      </w:r>
    </w:p>
    <w:p w14:paraId="1269622B"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Smith, J. B., et al. (2020). Climate change and its impacts: A global overview. </w:t>
      </w:r>
      <w:r w:rsidRPr="00806519">
        <w:rPr>
          <w:rFonts w:ascii="Times New Roman" w:hAnsi="Times New Roman" w:cs="Times New Roman"/>
          <w:i/>
          <w:iCs/>
          <w:sz w:val="24"/>
          <w:szCs w:val="24"/>
        </w:rPr>
        <w:t>Environmental Research Letters</w:t>
      </w:r>
      <w:r w:rsidRPr="00806519">
        <w:rPr>
          <w:rFonts w:ascii="Times New Roman" w:hAnsi="Times New Roman" w:cs="Times New Roman"/>
          <w:sz w:val="24"/>
          <w:szCs w:val="24"/>
        </w:rPr>
        <w:t>, 15(8), 084001. https://doi.org/10.1088/1748-9326/ab83f3</w:t>
      </w:r>
    </w:p>
    <w:p w14:paraId="6FE7B8BA"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Smithsonian Environmental Research Center on how pollution affects solar energy (2020)</w:t>
      </w:r>
      <w:r w:rsidRPr="00806519">
        <w:rPr>
          <w:rFonts w:ascii="Times New Roman" w:eastAsia="MS Gothic" w:hAnsi="Times New Roman" w:cs="Times New Roman"/>
          <w:sz w:val="24"/>
          <w:szCs w:val="24"/>
        </w:rPr>
        <w:t>, https://serc.si.edu/research/research-topics/global-change/changes-ultraviolet-radiation</w:t>
      </w:r>
    </w:p>
    <w:p w14:paraId="27A69EC0"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 xml:space="preserve">Sun, Y., Zhang, X., Ding, Y., Chen, D., Qin, D., &amp; Zhai, P. (2021). Understanding human influence on climate change in China. National science review, 9(3), nwab113. </w:t>
      </w:r>
    </w:p>
    <w:p w14:paraId="5C94544E" w14:textId="3DAD991C"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Trenberth, K. E. (2011). Changes in precipitation with climate warming. </w:t>
      </w:r>
      <w:r w:rsidRPr="00806519">
        <w:rPr>
          <w:rFonts w:ascii="Times New Roman" w:hAnsi="Times New Roman" w:cs="Times New Roman"/>
          <w:i/>
          <w:iCs/>
          <w:sz w:val="24"/>
          <w:szCs w:val="24"/>
        </w:rPr>
        <w:t>Climate Research</w:t>
      </w:r>
      <w:r w:rsidRPr="00806519">
        <w:rPr>
          <w:rFonts w:ascii="Times New Roman" w:hAnsi="Times New Roman" w:cs="Times New Roman"/>
          <w:sz w:val="24"/>
          <w:szCs w:val="24"/>
        </w:rPr>
        <w:t>, 47(1-2), 123-138. doi:10.3354/cr00953, https://doi.org/10.3354/cr00953</w:t>
      </w:r>
    </w:p>
    <w:p w14:paraId="7529B35C" w14:textId="4BB4B3BC" w:rsidR="00BC381A" w:rsidRPr="00806519" w:rsidRDefault="00120DFF"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UDEPA</w:t>
      </w:r>
      <w:r w:rsidR="00BC381A" w:rsidRPr="00806519">
        <w:rPr>
          <w:rFonts w:ascii="Times New Roman" w:hAnsi="Times New Roman" w:cs="Times New Roman"/>
          <w:sz w:val="24"/>
          <w:szCs w:val="24"/>
        </w:rPr>
        <w:t xml:space="preserve"> on solar energy and UV effects (2024), </w:t>
      </w:r>
      <w:hyperlink r:id="rId49" w:history="1">
        <w:r w:rsidR="00BC381A" w:rsidRPr="00806519">
          <w:rPr>
            <w:rStyle w:val="Hyperlink"/>
            <w:rFonts w:ascii="Times New Roman" w:hAnsi="Times New Roman" w:cs="Times New Roman"/>
            <w:sz w:val="24"/>
            <w:szCs w:val="24"/>
          </w:rPr>
          <w:t>https://www.epa.gov/sunsafety/learn-about-uv-index</w:t>
        </w:r>
      </w:hyperlink>
    </w:p>
    <w:p w14:paraId="5BD2C635"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Umar, S. A., and Tasduq, S. A., (2022) Ozone Layer Depletion and Emerging Public Health Concerns - An Update on Epidemiological Perspective of the Ambivalent Effects of Ultraviolet Radiation Exposure, </w:t>
      </w:r>
      <w:r w:rsidRPr="00806519">
        <w:rPr>
          <w:rFonts w:ascii="Times New Roman" w:hAnsi="Times New Roman" w:cs="Times New Roman"/>
          <w:i/>
          <w:iCs/>
          <w:sz w:val="24"/>
          <w:szCs w:val="24"/>
        </w:rPr>
        <w:t>Frontiers</w:t>
      </w:r>
      <w:r w:rsidRPr="00806519">
        <w:rPr>
          <w:rFonts w:ascii="Times New Roman" w:hAnsi="Times New Roman" w:cs="Times New Roman"/>
          <w:sz w:val="24"/>
          <w:szCs w:val="24"/>
        </w:rPr>
        <w:t xml:space="preserve">, V 12  </w:t>
      </w:r>
      <w:hyperlink r:id="rId50" w:history="1">
        <w:r w:rsidRPr="00806519">
          <w:rPr>
            <w:rStyle w:val="Hyperlink"/>
            <w:rFonts w:ascii="Times New Roman" w:hAnsi="Times New Roman" w:cs="Times New Roman"/>
            <w:sz w:val="24"/>
            <w:szCs w:val="24"/>
          </w:rPr>
          <w:t>https://doi.org/10.3389/fonc.2022.866733</w:t>
        </w:r>
      </w:hyperlink>
      <w:r w:rsidRPr="00806519">
        <w:rPr>
          <w:rFonts w:ascii="Times New Roman" w:hAnsi="Times New Roman" w:cs="Times New Roman"/>
          <w:sz w:val="24"/>
          <w:szCs w:val="24"/>
        </w:rPr>
        <w:t>.</w:t>
      </w:r>
    </w:p>
    <w:p w14:paraId="400ACDC6"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lastRenderedPageBreak/>
        <w:t xml:space="preserve">United Nations Department of Economic and Social Affairs.(2022), World Population Prospects 2022.  </w:t>
      </w:r>
      <w:hyperlink r:id="rId51" w:tgtFrame="_new" w:history="1">
        <w:r w:rsidRPr="00806519">
          <w:rPr>
            <w:rStyle w:val="Hyperlink"/>
            <w:rFonts w:ascii="Times New Roman" w:hAnsi="Times New Roman" w:cs="Times New Roman"/>
            <w:sz w:val="24"/>
            <w:szCs w:val="24"/>
          </w:rPr>
          <w:t>www.un.org/development/desa/pd/world-population-prospects-2022</w:t>
        </w:r>
      </w:hyperlink>
    </w:p>
    <w:p w14:paraId="7984FBB2"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United Nations Environment Programme (2017). Report of the Technology and Economic Assessment Panel: HFCs. https://ozone.unep.org/system/files/documents/UNEP-TEAP-HFC-Assessment-Report-2017.</w:t>
      </w:r>
    </w:p>
    <w:p w14:paraId="6A105C29"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Vautard, R., Cattiaux, J., Yiou, P., Thepaut, J. N., &amp; Ciais, P. (2010). Global shifts in wind speed and direction with climate change: Implications for renewable energy potential. </w:t>
      </w:r>
      <w:r w:rsidRPr="00806519">
        <w:rPr>
          <w:rFonts w:ascii="Times New Roman" w:hAnsi="Times New Roman" w:cs="Times New Roman"/>
          <w:i/>
          <w:iCs/>
          <w:sz w:val="24"/>
          <w:szCs w:val="24"/>
        </w:rPr>
        <w:t>Nature Geoscience.</w:t>
      </w:r>
      <w:r w:rsidRPr="00806519">
        <w:rPr>
          <w:rFonts w:ascii="Times New Roman" w:hAnsi="Times New Roman" w:cs="Times New Roman"/>
          <w:sz w:val="24"/>
          <w:szCs w:val="24"/>
        </w:rPr>
        <w:t xml:space="preserve"> </w:t>
      </w:r>
      <w:hyperlink r:id="rId52" w:tgtFrame="_new" w:history="1">
        <w:r w:rsidRPr="00806519">
          <w:rPr>
            <w:rStyle w:val="Hyperlink"/>
            <w:rFonts w:ascii="Times New Roman" w:hAnsi="Times New Roman" w:cs="Times New Roman"/>
            <w:sz w:val="24"/>
            <w:szCs w:val="24"/>
          </w:rPr>
          <w:t>https://doi.org/10.1038/ngeo979</w:t>
        </w:r>
      </w:hyperlink>
    </w:p>
    <w:p w14:paraId="10AC8051"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Vecchi G.A. and Soden, B.J. (2007), Impact of global warming on tropical cyclone activity in the North Atlantic, </w:t>
      </w:r>
      <w:r w:rsidRPr="00806519">
        <w:rPr>
          <w:rFonts w:ascii="Times New Roman" w:hAnsi="Times New Roman" w:cs="Times New Roman"/>
          <w:i/>
          <w:iCs/>
          <w:sz w:val="24"/>
          <w:szCs w:val="24"/>
        </w:rPr>
        <w:t>Journal of Climate</w:t>
      </w:r>
      <w:r w:rsidRPr="00806519">
        <w:rPr>
          <w:rFonts w:ascii="Times New Roman" w:hAnsi="Times New Roman" w:cs="Times New Roman"/>
          <w:sz w:val="24"/>
          <w:szCs w:val="24"/>
        </w:rPr>
        <w:t>,  DOI. 10.1175/JCLI4130.1, https://doi.org/10.1175/JCLI4130.1</w:t>
      </w:r>
    </w:p>
    <w:p w14:paraId="44C35AB9" w14:textId="77777777"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kern w:val="0"/>
          <w:sz w:val="24"/>
          <w:szCs w:val="24"/>
          <w14:ligatures w14:val="none"/>
        </w:rPr>
      </w:pPr>
      <w:r w:rsidRPr="00806519">
        <w:rPr>
          <w:rFonts w:ascii="Times New Roman" w:eastAsia="Times New Roman" w:hAnsi="Times New Roman" w:cs="Times New Roman"/>
          <w:kern w:val="0"/>
          <w:sz w:val="24"/>
          <w:szCs w:val="24"/>
          <w14:ligatures w14:val="none"/>
        </w:rPr>
        <w:t>Weiskopf, S. R., Rubenstein, M. A., Crozier, L. G., Gaichas, S., Griffis, R., Halofsky, J. E., Hyde, K. J. W., Morelli, T. L., Morisette, J. T., Muñoz, R. C., Pershing, A. J., Peterson, D. L., Poudel, R., Staudinger, M. D., Sutton-Grier, A. E., Thompson, L., Vose, J., Weltzin, J. F., &amp; Whyte, K. P. (2020). Climate change effects on biodiversity, ecosystems, ecosystem services, and natural resource management in the United States. Science of The Total Environment, 733, 137782.</w:t>
      </w:r>
    </w:p>
    <w:p w14:paraId="667B6073"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Wild, M. (2012). Enlightening global dimming and brightening. </w:t>
      </w:r>
      <w:r w:rsidRPr="00806519">
        <w:rPr>
          <w:rFonts w:ascii="Times New Roman" w:hAnsi="Times New Roman" w:cs="Times New Roman"/>
          <w:i/>
          <w:iCs/>
          <w:sz w:val="24"/>
          <w:szCs w:val="24"/>
        </w:rPr>
        <w:t>Bulletin of the American Meteorological Society</w:t>
      </w:r>
      <w:r w:rsidRPr="00806519">
        <w:rPr>
          <w:rFonts w:ascii="Times New Roman" w:hAnsi="Times New Roman" w:cs="Times New Roman"/>
          <w:sz w:val="24"/>
          <w:szCs w:val="24"/>
        </w:rPr>
        <w:t xml:space="preserve">, 93(1), 27-37 </w:t>
      </w:r>
      <w:hyperlink r:id="rId53" w:history="1">
        <w:r w:rsidRPr="00806519">
          <w:rPr>
            <w:rStyle w:val="Hyperlink"/>
            <w:rFonts w:ascii="Times New Roman" w:hAnsi="Times New Roman" w:cs="Times New Roman"/>
            <w:sz w:val="24"/>
            <w:szCs w:val="24"/>
          </w:rPr>
          <w:t>https://doi.org/10.1175/BAMS-D-11-00074.1</w:t>
        </w:r>
      </w:hyperlink>
    </w:p>
    <w:p w14:paraId="26301A1C" w14:textId="77777777"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 xml:space="preserve">Williams, R. T. (2018). </w:t>
      </w:r>
      <w:r w:rsidRPr="00806519">
        <w:rPr>
          <w:rFonts w:ascii="Times New Roman" w:hAnsi="Times New Roman" w:cs="Times New Roman"/>
          <w:i/>
          <w:iCs/>
          <w:sz w:val="24"/>
          <w:szCs w:val="24"/>
        </w:rPr>
        <w:t>Climate Change and Atmospheric Dynamics</w:t>
      </w:r>
      <w:r w:rsidRPr="00806519">
        <w:rPr>
          <w:rFonts w:ascii="Times New Roman" w:hAnsi="Times New Roman" w:cs="Times New Roman"/>
          <w:sz w:val="24"/>
          <w:szCs w:val="24"/>
        </w:rPr>
        <w:t>. Oxford University Press.</w:t>
      </w:r>
    </w:p>
    <w:p w14:paraId="2C670A6F" w14:textId="304C9C62" w:rsidR="00BC381A" w:rsidRPr="00806519" w:rsidRDefault="00BC381A" w:rsidP="00806519">
      <w:pPr>
        <w:pStyle w:val="ListParagraph"/>
        <w:numPr>
          <w:ilvl w:val="0"/>
          <w:numId w:val="7"/>
        </w:numPr>
        <w:spacing w:after="0" w:line="240" w:lineRule="auto"/>
        <w:jc w:val="both"/>
        <w:rPr>
          <w:rFonts w:ascii="Times New Roman" w:eastAsia="Times New Roman" w:hAnsi="Times New Roman" w:cs="Times New Roman"/>
          <w:i/>
          <w:iCs/>
          <w:kern w:val="0"/>
          <w:sz w:val="24"/>
          <w:szCs w:val="24"/>
          <w14:ligatures w14:val="none"/>
        </w:rPr>
      </w:pPr>
      <w:r w:rsidRPr="00806519">
        <w:rPr>
          <w:rFonts w:ascii="Times New Roman" w:eastAsia="Times New Roman" w:hAnsi="Times New Roman" w:cs="Times New Roman"/>
          <w:kern w:val="0"/>
          <w:sz w:val="24"/>
          <w:szCs w:val="24"/>
          <w14:ligatures w14:val="none"/>
        </w:rPr>
        <w:t>World Bank. (2021). Poverty</w:t>
      </w:r>
      <w:r w:rsidRPr="00806519">
        <w:rPr>
          <w:rFonts w:ascii="Times New Roman" w:eastAsia="Times New Roman" w:hAnsi="Times New Roman" w:cs="Times New Roman"/>
          <w:i/>
          <w:iCs/>
          <w:kern w:val="0"/>
          <w:sz w:val="24"/>
          <w:szCs w:val="24"/>
          <w14:ligatures w14:val="none"/>
        </w:rPr>
        <w:t xml:space="preserve"> and shared prosperity 2021: Reversals of fortune</w:t>
      </w:r>
      <w:r w:rsidR="003B3652" w:rsidRPr="00806519">
        <w:rPr>
          <w:rFonts w:ascii="Times New Roman" w:eastAsia="Times New Roman" w:hAnsi="Times New Roman" w:cs="Times New Roman"/>
          <w:i/>
          <w:iCs/>
          <w:kern w:val="0"/>
          <w:sz w:val="24"/>
          <w:szCs w:val="24"/>
          <w14:ligatures w14:val="none"/>
        </w:rPr>
        <w:t xml:space="preserve">. </w:t>
      </w:r>
      <w:r w:rsidR="003B3652" w:rsidRPr="00806519">
        <w:rPr>
          <w:rFonts w:ascii="Times New Roman" w:hAnsi="Times New Roman" w:cs="Times New Roman"/>
          <w:sz w:val="24"/>
          <w:szCs w:val="24"/>
        </w:rPr>
        <w:t>World Bank Publications</w:t>
      </w:r>
    </w:p>
    <w:p w14:paraId="08081B65" w14:textId="398BD636" w:rsidR="00BC381A" w:rsidRPr="00806519" w:rsidRDefault="003B3652"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WHO</w:t>
      </w:r>
      <w:r w:rsidR="00BC381A" w:rsidRPr="00806519">
        <w:rPr>
          <w:rFonts w:ascii="Times New Roman" w:hAnsi="Times New Roman" w:cs="Times New Roman"/>
          <w:sz w:val="24"/>
          <w:szCs w:val="24"/>
        </w:rPr>
        <w:t xml:space="preserve"> (2022), https://www.who.int/news-room </w:t>
      </w:r>
    </w:p>
    <w:p w14:paraId="3A0FA7B7" w14:textId="74DBDFB2" w:rsidR="00BC381A" w:rsidRPr="00806519" w:rsidRDefault="00BC381A" w:rsidP="00806519">
      <w:pPr>
        <w:pStyle w:val="ListParagraph"/>
        <w:numPr>
          <w:ilvl w:val="0"/>
          <w:numId w:val="7"/>
        </w:numPr>
        <w:spacing w:after="0" w:line="240" w:lineRule="auto"/>
        <w:jc w:val="both"/>
        <w:rPr>
          <w:rFonts w:ascii="Times New Roman" w:hAnsi="Times New Roman" w:cs="Times New Roman"/>
          <w:sz w:val="24"/>
          <w:szCs w:val="24"/>
        </w:rPr>
      </w:pPr>
      <w:bookmarkStart w:id="5" w:name="_Hlk176357193"/>
      <w:r w:rsidRPr="00806519">
        <w:rPr>
          <w:rFonts w:ascii="Times New Roman" w:hAnsi="Times New Roman" w:cs="Times New Roman"/>
          <w:sz w:val="24"/>
          <w:szCs w:val="24"/>
        </w:rPr>
        <w:t>WMO. (2020). State of the climate in Africa. Geneva, Switzerland.</w:t>
      </w:r>
    </w:p>
    <w:p w14:paraId="05A1EFE6" w14:textId="637C3070" w:rsidR="00BC381A" w:rsidRPr="00806519" w:rsidRDefault="003B3652" w:rsidP="00806519">
      <w:pPr>
        <w:pStyle w:val="ListParagraph"/>
        <w:numPr>
          <w:ilvl w:val="0"/>
          <w:numId w:val="7"/>
        </w:numPr>
        <w:spacing w:after="0" w:line="240" w:lineRule="auto"/>
        <w:jc w:val="both"/>
        <w:rPr>
          <w:rFonts w:ascii="Times New Roman" w:hAnsi="Times New Roman" w:cs="Times New Roman"/>
          <w:sz w:val="24"/>
          <w:szCs w:val="24"/>
        </w:rPr>
      </w:pPr>
      <w:r w:rsidRPr="00806519">
        <w:rPr>
          <w:rFonts w:ascii="Times New Roman" w:hAnsi="Times New Roman" w:cs="Times New Roman"/>
          <w:sz w:val="24"/>
          <w:szCs w:val="24"/>
        </w:rPr>
        <w:t>WMO</w:t>
      </w:r>
      <w:r w:rsidR="00BC381A" w:rsidRPr="00806519">
        <w:rPr>
          <w:rFonts w:ascii="Times New Roman" w:hAnsi="Times New Roman" w:cs="Times New Roman"/>
          <w:sz w:val="24"/>
          <w:szCs w:val="24"/>
        </w:rPr>
        <w:t xml:space="preserve">. (2024). Rising Temperatures in Southeastern Nigeria: Evidence from Onitsha and Nnewi. </w:t>
      </w:r>
      <w:r w:rsidR="00BC381A" w:rsidRPr="00806519">
        <w:rPr>
          <w:rFonts w:ascii="Times New Roman" w:hAnsi="Times New Roman" w:cs="Times New Roman"/>
          <w:i/>
          <w:iCs/>
          <w:sz w:val="24"/>
          <w:szCs w:val="24"/>
        </w:rPr>
        <w:t>World Meteorological Organization</w:t>
      </w:r>
      <w:r w:rsidR="00BC381A" w:rsidRPr="00806519">
        <w:rPr>
          <w:rFonts w:ascii="Times New Roman" w:hAnsi="Times New Roman" w:cs="Times New Roman"/>
          <w:sz w:val="24"/>
          <w:szCs w:val="24"/>
        </w:rPr>
        <w:t xml:space="preserve">. </w:t>
      </w:r>
      <w:hyperlink r:id="rId54" w:history="1">
        <w:r w:rsidR="00BC381A" w:rsidRPr="00806519">
          <w:rPr>
            <w:rStyle w:val="Hyperlink"/>
            <w:rFonts w:ascii="Times New Roman" w:hAnsi="Times New Roman" w:cs="Times New Roman"/>
            <w:sz w:val="24"/>
            <w:szCs w:val="24"/>
          </w:rPr>
          <w:t>https://www.wmo.int/nigeria/onitsha-nnewi-temperature-rise</w:t>
        </w:r>
      </w:hyperlink>
    </w:p>
    <w:bookmarkEnd w:id="5"/>
    <w:p w14:paraId="76CB0E59" w14:textId="37B41FF3" w:rsidR="00BC381A" w:rsidRPr="00806519" w:rsidRDefault="00BC381A" w:rsidP="00806519">
      <w:pPr>
        <w:pStyle w:val="ListParagraph"/>
        <w:numPr>
          <w:ilvl w:val="0"/>
          <w:numId w:val="7"/>
        </w:numPr>
        <w:tabs>
          <w:tab w:val="left" w:pos="10620"/>
        </w:tabs>
        <w:spacing w:after="0" w:line="240" w:lineRule="auto"/>
        <w:jc w:val="both"/>
        <w:rPr>
          <w:sz w:val="20"/>
          <w:szCs w:val="20"/>
        </w:rPr>
      </w:pPr>
      <w:r w:rsidRPr="00806519">
        <w:fldChar w:fldCharType="begin"/>
      </w:r>
      <w:r>
        <w:instrText>HYPERLINK "http://www.macrotrends.net"</w:instrText>
      </w:r>
      <w:r w:rsidRPr="00806519">
        <w:fldChar w:fldCharType="separate"/>
      </w:r>
      <w:r w:rsidRPr="00806519">
        <w:rPr>
          <w:rStyle w:val="Hyperlink"/>
          <w:rFonts w:ascii="Times New Roman" w:hAnsi="Times New Roman" w:cs="Times New Roman"/>
          <w:sz w:val="24"/>
          <w:szCs w:val="24"/>
        </w:rPr>
        <w:t>www.macrotrends.net</w:t>
      </w:r>
      <w:r w:rsidRPr="00806519">
        <w:rPr>
          <w:rStyle w:val="Hyperlink"/>
          <w:rFonts w:ascii="Times New Roman" w:hAnsi="Times New Roman" w:cs="Times New Roman"/>
          <w:sz w:val="24"/>
          <w:szCs w:val="24"/>
        </w:rPr>
        <w:fldChar w:fldCharType="end"/>
      </w:r>
      <w:r w:rsidRPr="00806519">
        <w:rPr>
          <w:rFonts w:ascii="Times New Roman" w:hAnsi="Times New Roman" w:cs="Times New Roman"/>
          <w:sz w:val="24"/>
          <w:szCs w:val="24"/>
        </w:rPr>
        <w:t xml:space="preserve"> </w:t>
      </w:r>
    </w:p>
    <w:p w14:paraId="61C5F651" w14:textId="77777777" w:rsidR="00BC381A" w:rsidRPr="00806519" w:rsidRDefault="00BC381A" w:rsidP="00806519">
      <w:pPr>
        <w:pStyle w:val="ListParagraph"/>
        <w:numPr>
          <w:ilvl w:val="0"/>
          <w:numId w:val="7"/>
        </w:numPr>
        <w:spacing w:after="0" w:line="240" w:lineRule="auto"/>
        <w:jc w:val="both"/>
        <w:rPr>
          <w:rStyle w:val="Hyperlink"/>
          <w:rFonts w:ascii="Times New Roman" w:hAnsi="Times New Roman" w:cs="Times New Roman"/>
          <w:sz w:val="24"/>
          <w:szCs w:val="24"/>
        </w:rPr>
      </w:pPr>
      <w:r w:rsidRPr="00806519">
        <w:rPr>
          <w:rFonts w:ascii="Times New Roman" w:hAnsi="Times New Roman" w:cs="Times New Roman"/>
          <w:sz w:val="24"/>
          <w:szCs w:val="24"/>
        </w:rPr>
        <w:t xml:space="preserve">Yuan, M., Leirvik, T., and Wild, (2021)  M., Global Trends in Downward Surface Solar Radiation from Spatial Interpolated Ground Observations during 1961–2019, </w:t>
      </w:r>
      <w:r w:rsidRPr="00806519">
        <w:rPr>
          <w:rFonts w:ascii="Times New Roman" w:hAnsi="Times New Roman" w:cs="Times New Roman"/>
          <w:i/>
          <w:iCs/>
          <w:sz w:val="24"/>
          <w:szCs w:val="24"/>
        </w:rPr>
        <w:t xml:space="preserve">Journal of Climate </w:t>
      </w:r>
      <w:r w:rsidRPr="00806519">
        <w:rPr>
          <w:rFonts w:ascii="Times New Roman" w:hAnsi="Times New Roman" w:cs="Times New Roman"/>
          <w:sz w:val="24"/>
          <w:szCs w:val="24"/>
        </w:rPr>
        <w:t>34(23)</w:t>
      </w:r>
      <w:r w:rsidRPr="00806519">
        <w:rPr>
          <w:rFonts w:ascii="Times New Roman" w:hAnsi="Times New Roman" w:cs="Times New Roman"/>
          <w:i/>
          <w:iCs/>
          <w:sz w:val="24"/>
          <w:szCs w:val="24"/>
        </w:rPr>
        <w:t xml:space="preserve"> </w:t>
      </w:r>
      <w:r w:rsidRPr="00806519">
        <w:rPr>
          <w:rFonts w:ascii="Times New Roman" w:hAnsi="Times New Roman" w:cs="Times New Roman"/>
          <w:sz w:val="24"/>
          <w:szCs w:val="24"/>
        </w:rPr>
        <w:t>9501–9521, DOI: </w:t>
      </w:r>
      <w:hyperlink r:id="rId55" w:history="1">
        <w:r w:rsidRPr="00806519">
          <w:rPr>
            <w:rStyle w:val="Hyperlink"/>
            <w:rFonts w:ascii="Times New Roman" w:hAnsi="Times New Roman" w:cs="Times New Roman"/>
            <w:sz w:val="24"/>
            <w:szCs w:val="24"/>
          </w:rPr>
          <w:t>https://doi.org/10.1175/JCLI-D-21-0165.1</w:t>
        </w:r>
      </w:hyperlink>
    </w:p>
    <w:bookmarkEnd w:id="2"/>
    <w:p w14:paraId="6B28D5AF" w14:textId="0D8EA6CD" w:rsidR="00274A8A" w:rsidRPr="003A4C58" w:rsidRDefault="005A2FC3" w:rsidP="005A2FC3">
      <w:pPr>
        <w:pStyle w:val="ListParagraph"/>
        <w:numPr>
          <w:ilvl w:val="0"/>
          <w:numId w:val="7"/>
        </w:numPr>
        <w:autoSpaceDE w:val="0"/>
        <w:autoSpaceDN w:val="0"/>
        <w:adjustRightInd w:val="0"/>
        <w:spacing w:after="0" w:line="240" w:lineRule="auto"/>
        <w:rPr>
          <w:rFonts w:ascii="Times New Roman" w:hAnsi="Times New Roman" w:cs="Times New Roman"/>
          <w:kern w:val="0"/>
          <w:sz w:val="24"/>
          <w:szCs w:val="24"/>
        </w:rPr>
      </w:pPr>
      <w:r w:rsidRPr="005A2FC3">
        <w:rPr>
          <w:rFonts w:ascii="Times New Roman" w:hAnsi="Times New Roman" w:cs="Times New Roman"/>
          <w:color w:val="000000"/>
          <w:kern w:val="0"/>
          <w:sz w:val="24"/>
          <w:szCs w:val="24"/>
        </w:rPr>
        <w:t>Ezeomedo, I. C. and Igbokwe, J. I., (2019)  Mapping of Urban Features of Nnewi Metropolis Using High-Resolution Satellite Image and Support Vector Machine Classifier.  Journal of</w:t>
      </w:r>
      <w:r>
        <w:rPr>
          <w:rFonts w:ascii="Times New Roman" w:hAnsi="Times New Roman" w:cs="Times New Roman"/>
          <w:color w:val="000000"/>
          <w:kern w:val="0"/>
          <w:sz w:val="24"/>
          <w:szCs w:val="24"/>
        </w:rPr>
        <w:t xml:space="preserve"> </w:t>
      </w:r>
      <w:r w:rsidRPr="005A2FC3">
        <w:rPr>
          <w:rFonts w:ascii="Times New Roman" w:hAnsi="Times New Roman" w:cs="Times New Roman"/>
          <w:color w:val="000000"/>
          <w:kern w:val="0"/>
          <w:sz w:val="24"/>
          <w:szCs w:val="24"/>
        </w:rPr>
        <w:t>Environment and Earth Science Vol.9, No.6, ISSN 2225-0948 (Online) DOI:</w:t>
      </w:r>
      <w:r>
        <w:rPr>
          <w:rFonts w:ascii="Times New Roman" w:hAnsi="Times New Roman" w:cs="Times New Roman"/>
          <w:color w:val="000000"/>
          <w:kern w:val="0"/>
          <w:sz w:val="24"/>
          <w:szCs w:val="24"/>
        </w:rPr>
        <w:t xml:space="preserve"> </w:t>
      </w:r>
      <w:r w:rsidRPr="005A2FC3">
        <w:rPr>
          <w:rFonts w:ascii="Times New Roman" w:hAnsi="Times New Roman" w:cs="Times New Roman"/>
          <w:color w:val="000000"/>
          <w:kern w:val="0"/>
          <w:sz w:val="24"/>
          <w:szCs w:val="24"/>
        </w:rPr>
        <w:t xml:space="preserve">10.7176/JEES </w:t>
      </w:r>
    </w:p>
    <w:p w14:paraId="2F213961" w14:textId="2D4F22C8" w:rsidR="005756BF" w:rsidRDefault="003A4C58" w:rsidP="005756BF">
      <w:pPr>
        <w:pStyle w:val="ListParagraph"/>
        <w:numPr>
          <w:ilvl w:val="0"/>
          <w:numId w:val="7"/>
        </w:numPr>
        <w:autoSpaceDE w:val="0"/>
        <w:autoSpaceDN w:val="0"/>
        <w:adjustRightInd w:val="0"/>
        <w:spacing w:after="0" w:line="240" w:lineRule="auto"/>
        <w:rPr>
          <w:rFonts w:ascii="Times New Roman" w:hAnsi="Times New Roman" w:cs="Times New Roman"/>
          <w:kern w:val="0"/>
          <w:sz w:val="24"/>
          <w:szCs w:val="24"/>
        </w:rPr>
      </w:pPr>
      <w:r w:rsidRPr="003A4C58">
        <w:rPr>
          <w:rFonts w:ascii="Times New Roman" w:hAnsi="Times New Roman" w:cs="Times New Roman"/>
          <w:kern w:val="0"/>
          <w:sz w:val="24"/>
          <w:szCs w:val="24"/>
        </w:rPr>
        <w:t>Vizzuality. </w:t>
      </w:r>
      <w:hyperlink r:id="rId56" w:history="1">
        <w:r w:rsidRPr="003A4C58">
          <w:rPr>
            <w:rStyle w:val="Hyperlink"/>
            <w:rFonts w:ascii="Times New Roman" w:hAnsi="Times New Roman" w:cs="Times New Roman"/>
            <w:kern w:val="0"/>
            <w:sz w:val="24"/>
            <w:szCs w:val="24"/>
          </w:rPr>
          <w:t>"Onitsha North, Anambra, Nigeria Deforestation Rates &amp; Statistics | GFW"</w:t>
        </w:r>
      </w:hyperlink>
      <w:r w:rsidRPr="003A4C58">
        <w:rPr>
          <w:rFonts w:ascii="Times New Roman" w:hAnsi="Times New Roman" w:cs="Times New Roman"/>
          <w:kern w:val="0"/>
          <w:sz w:val="24"/>
          <w:szCs w:val="24"/>
        </w:rPr>
        <w:t>. </w:t>
      </w:r>
      <w:r w:rsidRPr="003A4C58">
        <w:rPr>
          <w:rFonts w:ascii="Times New Roman" w:hAnsi="Times New Roman" w:cs="Times New Roman"/>
          <w:i/>
          <w:iCs/>
          <w:kern w:val="0"/>
          <w:sz w:val="24"/>
          <w:szCs w:val="24"/>
        </w:rPr>
        <w:t>www.globalforestwatch.org</w:t>
      </w:r>
      <w:r w:rsidRPr="003A4C58">
        <w:rPr>
          <w:rFonts w:ascii="Times New Roman" w:hAnsi="Times New Roman" w:cs="Times New Roman"/>
          <w:kern w:val="0"/>
          <w:sz w:val="24"/>
          <w:szCs w:val="24"/>
        </w:rPr>
        <w:t>. Retrieved 202</w:t>
      </w:r>
      <w:r>
        <w:rPr>
          <w:rFonts w:ascii="Times New Roman" w:hAnsi="Times New Roman" w:cs="Times New Roman"/>
          <w:kern w:val="0"/>
          <w:sz w:val="24"/>
          <w:szCs w:val="24"/>
        </w:rPr>
        <w:t>5</w:t>
      </w:r>
      <w:r w:rsidRPr="003A4C58">
        <w:rPr>
          <w:rFonts w:ascii="Times New Roman" w:hAnsi="Times New Roman" w:cs="Times New Roman"/>
          <w:kern w:val="0"/>
          <w:sz w:val="24"/>
          <w:szCs w:val="24"/>
        </w:rPr>
        <w:t>-</w:t>
      </w:r>
      <w:r>
        <w:rPr>
          <w:rFonts w:ascii="Times New Roman" w:hAnsi="Times New Roman" w:cs="Times New Roman"/>
          <w:kern w:val="0"/>
          <w:sz w:val="24"/>
          <w:szCs w:val="24"/>
        </w:rPr>
        <w:t>0</w:t>
      </w:r>
      <w:r w:rsidRPr="003A4C58">
        <w:rPr>
          <w:rFonts w:ascii="Times New Roman" w:hAnsi="Times New Roman" w:cs="Times New Roman"/>
          <w:kern w:val="0"/>
          <w:sz w:val="24"/>
          <w:szCs w:val="24"/>
        </w:rPr>
        <w:t>1-</w:t>
      </w:r>
      <w:r>
        <w:rPr>
          <w:rFonts w:ascii="Times New Roman" w:hAnsi="Times New Roman" w:cs="Times New Roman"/>
          <w:kern w:val="0"/>
          <w:sz w:val="24"/>
          <w:szCs w:val="24"/>
        </w:rPr>
        <w:t>0</w:t>
      </w:r>
      <w:r w:rsidRPr="003A4C58">
        <w:rPr>
          <w:rFonts w:ascii="Times New Roman" w:hAnsi="Times New Roman" w:cs="Times New Roman"/>
          <w:kern w:val="0"/>
          <w:sz w:val="24"/>
          <w:szCs w:val="24"/>
        </w:rPr>
        <w:t>2</w:t>
      </w:r>
    </w:p>
    <w:p w14:paraId="17CBF95B" w14:textId="681A6F0B" w:rsidR="00294B6B" w:rsidRPr="006A2AC7" w:rsidRDefault="003D438C" w:rsidP="006A2AC7">
      <w:pPr>
        <w:pStyle w:val="ListParagraph"/>
        <w:numPr>
          <w:ilvl w:val="0"/>
          <w:numId w:val="7"/>
        </w:numPr>
        <w:autoSpaceDE w:val="0"/>
        <w:autoSpaceDN w:val="0"/>
        <w:adjustRightInd w:val="0"/>
        <w:spacing w:after="0" w:line="240" w:lineRule="auto"/>
        <w:rPr>
          <w:rFonts w:ascii="Times New Roman" w:hAnsi="Times New Roman" w:cs="Times New Roman"/>
          <w:kern w:val="0"/>
          <w:sz w:val="24"/>
          <w:szCs w:val="24"/>
        </w:rPr>
      </w:pPr>
      <w:r w:rsidRPr="005A2FC3">
        <w:rPr>
          <w:rFonts w:ascii="Times New Roman" w:hAnsi="Times New Roman" w:cs="Times New Roman"/>
          <w:color w:val="000000"/>
          <w:kern w:val="0"/>
          <w:sz w:val="24"/>
          <w:szCs w:val="24"/>
        </w:rPr>
        <w:t>Ezeomedo, I. C. and Igbokwe, J. I., (201</w:t>
      </w:r>
      <w:r>
        <w:rPr>
          <w:rFonts w:ascii="Times New Roman" w:hAnsi="Times New Roman" w:cs="Times New Roman"/>
          <w:color w:val="000000"/>
          <w:kern w:val="0"/>
          <w:sz w:val="24"/>
          <w:szCs w:val="24"/>
        </w:rPr>
        <w:t>3</w:t>
      </w:r>
      <w:r w:rsidRPr="005A2FC3">
        <w:rPr>
          <w:rFonts w:ascii="Times New Roman" w:hAnsi="Times New Roman" w:cs="Times New Roman"/>
          <w:color w:val="000000"/>
          <w:kern w:val="0"/>
          <w:sz w:val="24"/>
          <w:szCs w:val="24"/>
        </w:rPr>
        <w:t>)</w:t>
      </w:r>
      <w:r>
        <w:rPr>
          <w:rFonts w:ascii="Times New Roman" w:hAnsi="Times New Roman" w:cs="Times New Roman"/>
          <w:color w:val="000000"/>
          <w:kern w:val="0"/>
          <w:sz w:val="24"/>
          <w:szCs w:val="24"/>
        </w:rPr>
        <w:t xml:space="preserve"> </w:t>
      </w:r>
      <w:r w:rsidRPr="003D438C">
        <w:rPr>
          <w:rFonts w:ascii="Times New Roman" w:eastAsiaTheme="minorEastAsia" w:hAnsi="Times New Roman" w:cs="Times New Roman"/>
          <w:sz w:val="24"/>
          <w:szCs w:val="24"/>
        </w:rPr>
        <w:t>https://www.fig.net/resources/proceedings/fig_proceedings/fig2013/papers/ts03b/ts03b_ezeomedo_igbokwe_6421.pdf</w:t>
      </w:r>
    </w:p>
    <w:p w14:paraId="4882EE78" w14:textId="77777777" w:rsidR="0077523B" w:rsidRPr="0077523B" w:rsidRDefault="00FD4EF9" w:rsidP="0077523B">
      <w:pPr>
        <w:pStyle w:val="ListParagraph"/>
        <w:numPr>
          <w:ilvl w:val="0"/>
          <w:numId w:val="7"/>
        </w:numPr>
        <w:autoSpaceDE w:val="0"/>
        <w:autoSpaceDN w:val="0"/>
        <w:adjustRightInd w:val="0"/>
        <w:spacing w:after="0" w:line="240" w:lineRule="auto"/>
        <w:rPr>
          <w:rFonts w:ascii="Times New Roman" w:hAnsi="Times New Roman" w:cs="Times New Roman"/>
          <w:kern w:val="0"/>
          <w:sz w:val="24"/>
          <w:szCs w:val="24"/>
        </w:rPr>
      </w:pPr>
      <w:r w:rsidRPr="00BF0722">
        <w:rPr>
          <w:rFonts w:ascii="Times New Roman" w:eastAsiaTheme="minorEastAsia" w:hAnsi="Times New Roman" w:cs="Times New Roman"/>
          <w:sz w:val="24"/>
          <w:szCs w:val="24"/>
        </w:rPr>
        <w:t>NASA Solar Cycle 25 Prediction Panel; NOAA Solar Cycle Progression</w:t>
      </w:r>
    </w:p>
    <w:p w14:paraId="77684449" w14:textId="058ECDFB" w:rsidR="0077523B" w:rsidRPr="00260149" w:rsidRDefault="0077523B" w:rsidP="0077523B">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rPr>
      </w:pPr>
      <w:r w:rsidRPr="0077523B">
        <w:rPr>
          <w:rFonts w:ascii="Times New Roman" w:hAnsi="Times New Roman" w:cs="Times New Roman"/>
          <w:color w:val="000000"/>
          <w:kern w:val="0"/>
          <w:sz w:val="24"/>
          <w:szCs w:val="24"/>
        </w:rPr>
        <w:t>Blocken, B., Janssen, W. D., &amp; van Hooff, T. (2012). Pedestrian wind comfort around buildings:</w:t>
      </w:r>
      <w:r>
        <w:rPr>
          <w:rFonts w:ascii="Times New Roman" w:hAnsi="Times New Roman" w:cs="Times New Roman"/>
          <w:color w:val="000000"/>
          <w:kern w:val="0"/>
          <w:sz w:val="24"/>
          <w:szCs w:val="24"/>
        </w:rPr>
        <w:t xml:space="preserve"> </w:t>
      </w:r>
      <w:r w:rsidRPr="0077523B">
        <w:rPr>
          <w:rFonts w:ascii="Times New Roman" w:hAnsi="Times New Roman" w:cs="Times New Roman"/>
          <w:color w:val="000000"/>
          <w:kern w:val="0"/>
          <w:sz w:val="24"/>
          <w:szCs w:val="24"/>
        </w:rPr>
        <w:t>Review of wind tunnel and CFD techniques and their accuracy for wind comfort</w:t>
      </w:r>
      <w:r>
        <w:rPr>
          <w:rFonts w:ascii="Times New Roman" w:hAnsi="Times New Roman" w:cs="Times New Roman"/>
          <w:color w:val="000000"/>
          <w:kern w:val="0"/>
          <w:sz w:val="24"/>
          <w:szCs w:val="24"/>
        </w:rPr>
        <w:t xml:space="preserve"> </w:t>
      </w:r>
      <w:r w:rsidRPr="0077523B">
        <w:rPr>
          <w:rFonts w:ascii="Times New Roman" w:hAnsi="Times New Roman" w:cs="Times New Roman"/>
          <w:color w:val="000000"/>
          <w:kern w:val="0"/>
          <w:sz w:val="24"/>
          <w:szCs w:val="24"/>
        </w:rPr>
        <w:t>assessment. Building and Environment, 48, 50–61.</w:t>
      </w:r>
      <w:r>
        <w:rPr>
          <w:rFonts w:ascii="Times New Roman" w:hAnsi="Times New Roman" w:cs="Times New Roman"/>
          <w:color w:val="000000"/>
          <w:kern w:val="0"/>
          <w:sz w:val="24"/>
          <w:szCs w:val="24"/>
        </w:rPr>
        <w:t xml:space="preserve"> </w:t>
      </w:r>
      <w:hyperlink r:id="rId57" w:history="1">
        <w:r w:rsidR="00260149" w:rsidRPr="00346874">
          <w:rPr>
            <w:rStyle w:val="Hyperlink"/>
            <w:rFonts w:ascii="Times New Roman" w:hAnsi="Times New Roman" w:cs="Times New Roman"/>
            <w:kern w:val="0"/>
            <w:sz w:val="24"/>
            <w:szCs w:val="24"/>
          </w:rPr>
          <w:t>https://doi.org/10.1016/j.buildenv.2011.11.012</w:t>
        </w:r>
      </w:hyperlink>
    </w:p>
    <w:p w14:paraId="5C33F847" w14:textId="77777777" w:rsidR="00260149" w:rsidRPr="00260149" w:rsidRDefault="00260149" w:rsidP="00260149">
      <w:pPr>
        <w:pStyle w:val="ListParagraph"/>
        <w:numPr>
          <w:ilvl w:val="0"/>
          <w:numId w:val="7"/>
        </w:numPr>
        <w:rPr>
          <w:rFonts w:ascii="Times New Roman" w:hAnsi="Times New Roman" w:cs="Times New Roman"/>
          <w:sz w:val="24"/>
          <w:szCs w:val="24"/>
          <w:lang w:val="pt-BR"/>
        </w:rPr>
      </w:pPr>
      <w:r w:rsidRPr="00260149">
        <w:rPr>
          <w:rFonts w:ascii="Times New Roman" w:hAnsi="Times New Roman" w:cs="Times New Roman"/>
          <w:sz w:val="24"/>
          <w:szCs w:val="24"/>
        </w:rPr>
        <w:lastRenderedPageBreak/>
        <w:t xml:space="preserve">Barth, M., &amp; Boriboonsomsin, K. (2008). Real-world carbon dioxide impacts of traffic congestion. </w:t>
      </w:r>
      <w:r w:rsidRPr="00260149">
        <w:rPr>
          <w:rFonts w:ascii="Times New Roman" w:hAnsi="Times New Roman" w:cs="Times New Roman"/>
          <w:i/>
          <w:iCs/>
          <w:sz w:val="24"/>
          <w:szCs w:val="24"/>
        </w:rPr>
        <w:t>Transportation Research Record, 2058</w:t>
      </w:r>
      <w:r w:rsidRPr="00260149">
        <w:rPr>
          <w:rFonts w:ascii="Times New Roman" w:hAnsi="Times New Roman" w:cs="Times New Roman"/>
          <w:sz w:val="24"/>
          <w:szCs w:val="24"/>
        </w:rPr>
        <w:t xml:space="preserve">(1), 163–171. </w:t>
      </w:r>
      <w:hyperlink r:id="rId58" w:history="1">
        <w:r w:rsidRPr="00260149">
          <w:rPr>
            <w:rStyle w:val="Hyperlink"/>
            <w:rFonts w:ascii="Times New Roman" w:hAnsi="Times New Roman" w:cs="Times New Roman"/>
            <w:sz w:val="24"/>
            <w:szCs w:val="24"/>
            <w:lang w:val="pt-BR"/>
          </w:rPr>
          <w:t>https://doi.org/10.3141/2058-20</w:t>
        </w:r>
      </w:hyperlink>
    </w:p>
    <w:p w14:paraId="50C8A777" w14:textId="77777777" w:rsidR="00260149" w:rsidRPr="00260149" w:rsidRDefault="00260149" w:rsidP="00260149">
      <w:pPr>
        <w:pStyle w:val="ListParagraph"/>
        <w:numPr>
          <w:ilvl w:val="0"/>
          <w:numId w:val="7"/>
        </w:numPr>
        <w:rPr>
          <w:rFonts w:ascii="Times New Roman" w:hAnsi="Times New Roman" w:cs="Times New Roman"/>
          <w:sz w:val="24"/>
          <w:szCs w:val="24"/>
          <w:lang w:val="pt-BR"/>
        </w:rPr>
      </w:pPr>
      <w:r w:rsidRPr="00260149">
        <w:rPr>
          <w:rFonts w:ascii="Times New Roman" w:hAnsi="Times New Roman" w:cs="Times New Roman"/>
          <w:sz w:val="24"/>
          <w:szCs w:val="24"/>
        </w:rPr>
        <w:t xml:space="preserve">Zhang, D., Huang, G., Xu, Y., &amp; Tan, C. (2015). Waste-to-energy in China: Key challenges and opportunities. </w:t>
      </w:r>
      <w:r w:rsidRPr="00260149">
        <w:rPr>
          <w:rFonts w:ascii="Times New Roman" w:hAnsi="Times New Roman" w:cs="Times New Roman"/>
          <w:i/>
          <w:iCs/>
          <w:sz w:val="24"/>
          <w:szCs w:val="24"/>
        </w:rPr>
        <w:t>Energy Policy, 71</w:t>
      </w:r>
      <w:r w:rsidRPr="00260149">
        <w:rPr>
          <w:rFonts w:ascii="Times New Roman" w:hAnsi="Times New Roman" w:cs="Times New Roman"/>
          <w:sz w:val="24"/>
          <w:szCs w:val="24"/>
        </w:rPr>
        <w:t xml:space="preserve">, 3–12. </w:t>
      </w:r>
      <w:hyperlink r:id="rId59" w:history="1">
        <w:r w:rsidRPr="00260149">
          <w:rPr>
            <w:rStyle w:val="Hyperlink"/>
            <w:rFonts w:ascii="Times New Roman" w:hAnsi="Times New Roman" w:cs="Times New Roman"/>
            <w:sz w:val="24"/>
            <w:szCs w:val="24"/>
            <w:lang w:val="pt-BR"/>
          </w:rPr>
          <w:t>https://doi.org/10.1016/j.enpol.2014.12.048</w:t>
        </w:r>
      </w:hyperlink>
    </w:p>
    <w:p w14:paraId="3CCD5ABF" w14:textId="77777777" w:rsidR="00260149" w:rsidRPr="00260149" w:rsidRDefault="00260149" w:rsidP="00260149">
      <w:pPr>
        <w:pStyle w:val="ListParagraph"/>
        <w:numPr>
          <w:ilvl w:val="0"/>
          <w:numId w:val="7"/>
        </w:numPr>
        <w:rPr>
          <w:rFonts w:ascii="Times New Roman" w:hAnsi="Times New Roman" w:cs="Times New Roman"/>
          <w:sz w:val="24"/>
          <w:szCs w:val="24"/>
        </w:rPr>
      </w:pPr>
      <w:r w:rsidRPr="00260149">
        <w:rPr>
          <w:rFonts w:ascii="Times New Roman" w:hAnsi="Times New Roman" w:cs="Times New Roman"/>
          <w:sz w:val="24"/>
          <w:szCs w:val="24"/>
        </w:rPr>
        <w:t xml:space="preserve">Frey, H. C., &amp; Kuo, P. Y. (2007). Best practices for quantifying greenhouse gas emissions from heavy-duty diesel vehicles. </w:t>
      </w:r>
      <w:r w:rsidRPr="00260149">
        <w:rPr>
          <w:rFonts w:ascii="Times New Roman" w:hAnsi="Times New Roman" w:cs="Times New Roman"/>
          <w:i/>
          <w:iCs/>
          <w:sz w:val="24"/>
          <w:szCs w:val="24"/>
        </w:rPr>
        <w:t>Journal of the Air &amp; Waste Management Association, 57</w:t>
      </w:r>
      <w:r w:rsidRPr="00260149">
        <w:rPr>
          <w:rFonts w:ascii="Times New Roman" w:hAnsi="Times New Roman" w:cs="Times New Roman"/>
          <w:sz w:val="24"/>
          <w:szCs w:val="24"/>
        </w:rPr>
        <w:t xml:space="preserve">(8), 1024–1033. </w:t>
      </w:r>
      <w:hyperlink r:id="rId60" w:history="1">
        <w:r w:rsidRPr="00260149">
          <w:rPr>
            <w:rStyle w:val="Hyperlink"/>
            <w:rFonts w:ascii="Times New Roman" w:hAnsi="Times New Roman" w:cs="Times New Roman"/>
            <w:sz w:val="24"/>
            <w:szCs w:val="24"/>
          </w:rPr>
          <w:t>https://doi.org/10.3155/1047-3289.57.8.1024</w:t>
        </w:r>
      </w:hyperlink>
    </w:p>
    <w:p w14:paraId="5F5C1B77" w14:textId="77777777" w:rsidR="00260149" w:rsidRPr="00260149" w:rsidRDefault="00260149" w:rsidP="00260149">
      <w:pPr>
        <w:autoSpaceDE w:val="0"/>
        <w:autoSpaceDN w:val="0"/>
        <w:adjustRightInd w:val="0"/>
        <w:spacing w:after="0" w:line="240" w:lineRule="auto"/>
        <w:ind w:left="360"/>
        <w:jc w:val="both"/>
        <w:rPr>
          <w:rFonts w:ascii="Times New Roman" w:hAnsi="Times New Roman" w:cs="Times New Roman"/>
          <w:kern w:val="0"/>
          <w:sz w:val="24"/>
          <w:szCs w:val="24"/>
        </w:rPr>
      </w:pPr>
    </w:p>
    <w:p w14:paraId="6AF6E672" w14:textId="5922F84C" w:rsidR="003D3A3C" w:rsidRDefault="003D3A3C" w:rsidP="00FC7F3E">
      <w:pPr>
        <w:spacing w:after="0" w:line="240" w:lineRule="auto"/>
        <w:jc w:val="both"/>
        <w:rPr>
          <w:rFonts w:ascii="Times New Roman" w:hAnsi="Times New Roman" w:cs="Times New Roman"/>
          <w:b/>
          <w:bCs/>
          <w:color w:val="000000"/>
          <w:kern w:val="0"/>
          <w:sz w:val="24"/>
          <w:szCs w:val="24"/>
        </w:rPr>
      </w:pPr>
      <w:r>
        <w:rPr>
          <w:noProof/>
        </w:rPr>
        <w:lastRenderedPageBreak/>
        <w:drawing>
          <wp:anchor distT="0" distB="0" distL="114300" distR="114300" simplePos="0" relativeHeight="251665408" behindDoc="1" locked="0" layoutInCell="1" allowOverlap="1" wp14:anchorId="7836E96C" wp14:editId="0DA35271">
            <wp:simplePos x="0" y="0"/>
            <wp:positionH relativeFrom="column">
              <wp:posOffset>-66675</wp:posOffset>
            </wp:positionH>
            <wp:positionV relativeFrom="paragraph">
              <wp:posOffset>361950</wp:posOffset>
            </wp:positionV>
            <wp:extent cx="5943600" cy="7762875"/>
            <wp:effectExtent l="0" t="0" r="0" b="9525"/>
            <wp:wrapTight wrapText="bothSides">
              <wp:wrapPolygon edited="0">
                <wp:start x="0" y="0"/>
                <wp:lineTo x="0" y="21573"/>
                <wp:lineTo x="21531" y="21573"/>
                <wp:lineTo x="21531" y="0"/>
                <wp:lineTo x="0" y="0"/>
              </wp:wrapPolygon>
            </wp:wrapTight>
            <wp:docPr id="41930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09144"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7762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bCs/>
          <w:sz w:val="24"/>
          <w:szCs w:val="24"/>
        </w:rPr>
        <w:t xml:space="preserve">Appendix 1: Map of Nnewi </w:t>
      </w:r>
      <w:r w:rsidR="005A2FC3">
        <w:rPr>
          <w:rFonts w:ascii="Times New Roman" w:eastAsiaTheme="minorEastAsia" w:hAnsi="Times New Roman" w:cs="Times New Roman"/>
          <w:b/>
          <w:bCs/>
          <w:sz w:val="24"/>
          <w:szCs w:val="24"/>
        </w:rPr>
        <w:t xml:space="preserve">from </w:t>
      </w:r>
      <w:r w:rsidR="005A2FC3" w:rsidRPr="005A2FC3">
        <w:rPr>
          <w:rFonts w:ascii="Times New Roman" w:hAnsi="Times New Roman" w:cs="Times New Roman"/>
          <w:b/>
          <w:bCs/>
          <w:color w:val="000000"/>
          <w:kern w:val="0"/>
          <w:sz w:val="24"/>
          <w:szCs w:val="24"/>
        </w:rPr>
        <w:t>Ezeomedo, and Igbokwe [8</w:t>
      </w:r>
      <w:r w:rsidR="005C63DA">
        <w:rPr>
          <w:rFonts w:ascii="Times New Roman" w:hAnsi="Times New Roman" w:cs="Times New Roman"/>
          <w:b/>
          <w:bCs/>
          <w:color w:val="000000"/>
          <w:kern w:val="0"/>
          <w:sz w:val="24"/>
          <w:szCs w:val="24"/>
        </w:rPr>
        <w:t>5</w:t>
      </w:r>
      <w:r w:rsidR="005A2FC3" w:rsidRPr="005A2FC3">
        <w:rPr>
          <w:rFonts w:ascii="Times New Roman" w:hAnsi="Times New Roman" w:cs="Times New Roman"/>
          <w:b/>
          <w:bCs/>
          <w:color w:val="000000"/>
          <w:kern w:val="0"/>
          <w:sz w:val="24"/>
          <w:szCs w:val="24"/>
        </w:rPr>
        <w:t>]</w:t>
      </w:r>
    </w:p>
    <w:p w14:paraId="67DC288B" w14:textId="77777777" w:rsidR="00FC7F3E" w:rsidRDefault="00FC7F3E" w:rsidP="00FC7F3E">
      <w:pPr>
        <w:spacing w:after="0" w:line="240" w:lineRule="auto"/>
        <w:jc w:val="both"/>
        <w:rPr>
          <w:rFonts w:ascii="Times New Roman" w:hAnsi="Times New Roman" w:cs="Times New Roman"/>
          <w:b/>
          <w:bCs/>
          <w:color w:val="000000"/>
          <w:kern w:val="0"/>
          <w:sz w:val="24"/>
          <w:szCs w:val="24"/>
        </w:rPr>
      </w:pPr>
    </w:p>
    <w:p w14:paraId="3AFDC2FF" w14:textId="3E595568" w:rsidR="00EF4C9B" w:rsidRDefault="00FC7F3E" w:rsidP="00FC7F3E">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Appendix 2 Map of Onitsha </w:t>
      </w:r>
      <w:r w:rsidR="003D438C">
        <w:rPr>
          <w:rFonts w:ascii="Times New Roman" w:eastAsiaTheme="minorEastAsia" w:hAnsi="Times New Roman" w:cs="Times New Roman"/>
          <w:b/>
          <w:bCs/>
          <w:sz w:val="24"/>
          <w:szCs w:val="24"/>
        </w:rPr>
        <w:t xml:space="preserve">culled </w:t>
      </w:r>
      <w:r>
        <w:rPr>
          <w:rFonts w:ascii="Times New Roman" w:eastAsiaTheme="minorEastAsia" w:hAnsi="Times New Roman" w:cs="Times New Roman"/>
          <w:b/>
          <w:bCs/>
          <w:sz w:val="24"/>
          <w:szCs w:val="24"/>
        </w:rPr>
        <w:t>from</w:t>
      </w:r>
      <w:r w:rsidR="003D438C">
        <w:rPr>
          <w:rFonts w:ascii="Times New Roman" w:eastAsiaTheme="minorEastAsia" w:hAnsi="Times New Roman" w:cs="Times New Roman"/>
          <w:b/>
          <w:bCs/>
          <w:sz w:val="24"/>
          <w:szCs w:val="24"/>
        </w:rPr>
        <w:t xml:space="preserve"> </w:t>
      </w:r>
      <w:r w:rsidR="003D438C" w:rsidRPr="005A2FC3">
        <w:rPr>
          <w:rFonts w:ascii="Times New Roman" w:hAnsi="Times New Roman" w:cs="Times New Roman"/>
          <w:b/>
          <w:bCs/>
          <w:color w:val="000000"/>
          <w:kern w:val="0"/>
          <w:sz w:val="24"/>
          <w:szCs w:val="24"/>
        </w:rPr>
        <w:t xml:space="preserve">Ezeomedo, and Igbokwe </w:t>
      </w:r>
      <w:r w:rsidR="003D438C">
        <w:rPr>
          <w:rFonts w:ascii="Times New Roman" w:hAnsi="Times New Roman" w:cs="Times New Roman"/>
          <w:b/>
          <w:bCs/>
          <w:color w:val="000000"/>
          <w:kern w:val="0"/>
          <w:sz w:val="24"/>
          <w:szCs w:val="24"/>
        </w:rPr>
        <w:t>(2013)</w:t>
      </w:r>
      <w:r w:rsidR="003D438C">
        <w:rPr>
          <w:rFonts w:ascii="Times New Roman" w:eastAsiaTheme="minorEastAsia" w:hAnsi="Times New Roman" w:cs="Times New Roman"/>
          <w:b/>
          <w:bCs/>
          <w:sz w:val="24"/>
          <w:szCs w:val="24"/>
        </w:rPr>
        <w:t xml:space="preserve"> [87]</w:t>
      </w:r>
    </w:p>
    <w:p w14:paraId="77D6CC7F" w14:textId="5045B238" w:rsidR="003D438C" w:rsidRPr="003D438C" w:rsidRDefault="003D438C" w:rsidP="003D438C">
      <w:pPr>
        <w:spacing w:after="0" w:line="240" w:lineRule="auto"/>
        <w:jc w:val="both"/>
        <w:rPr>
          <w:rFonts w:ascii="Times New Roman" w:eastAsiaTheme="minorEastAsia" w:hAnsi="Times New Roman" w:cs="Times New Roman"/>
          <w:b/>
          <w:bCs/>
          <w:sz w:val="24"/>
          <w:szCs w:val="24"/>
        </w:rPr>
      </w:pPr>
    </w:p>
    <w:p w14:paraId="642E4BAB" w14:textId="4B4F655C" w:rsidR="00FC7F3E" w:rsidRPr="005A2FC3" w:rsidRDefault="003D438C" w:rsidP="00FC7F3E">
      <w:pPr>
        <w:spacing w:after="0" w:line="240" w:lineRule="auto"/>
        <w:jc w:val="both"/>
        <w:rPr>
          <w:rFonts w:ascii="Times New Roman" w:eastAsiaTheme="minorEastAsia" w:hAnsi="Times New Roman" w:cs="Times New Roman"/>
          <w:b/>
          <w:bCs/>
          <w:sz w:val="24"/>
          <w:szCs w:val="24"/>
        </w:rPr>
      </w:pPr>
      <w:r w:rsidRPr="003D438C">
        <w:rPr>
          <w:rFonts w:ascii="Times New Roman" w:eastAsiaTheme="minorEastAsia" w:hAnsi="Times New Roman" w:cs="Times New Roman"/>
          <w:b/>
          <w:bCs/>
          <w:noProof/>
          <w:sz w:val="24"/>
          <w:szCs w:val="24"/>
        </w:rPr>
        <w:drawing>
          <wp:anchor distT="0" distB="0" distL="114300" distR="114300" simplePos="0" relativeHeight="251666432" behindDoc="1" locked="0" layoutInCell="1" allowOverlap="1" wp14:anchorId="5F8120DE" wp14:editId="5066172D">
            <wp:simplePos x="0" y="0"/>
            <wp:positionH relativeFrom="column">
              <wp:posOffset>85725</wp:posOffset>
            </wp:positionH>
            <wp:positionV relativeFrom="paragraph">
              <wp:posOffset>238760</wp:posOffset>
            </wp:positionV>
            <wp:extent cx="6048375" cy="7229475"/>
            <wp:effectExtent l="0" t="0" r="9525" b="9525"/>
            <wp:wrapTight wrapText="bothSides">
              <wp:wrapPolygon edited="0">
                <wp:start x="0" y="0"/>
                <wp:lineTo x="0" y="21572"/>
                <wp:lineTo x="21566" y="21572"/>
                <wp:lineTo x="21566" y="0"/>
                <wp:lineTo x="0" y="0"/>
              </wp:wrapPolygon>
            </wp:wrapTight>
            <wp:docPr id="2071835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837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3E">
        <w:rPr>
          <w:rFonts w:ascii="Times New Roman" w:eastAsiaTheme="minorEastAsia" w:hAnsi="Times New Roman" w:cs="Times New Roman"/>
          <w:b/>
          <w:bCs/>
          <w:sz w:val="24"/>
          <w:szCs w:val="24"/>
        </w:rPr>
        <w:t xml:space="preserve"> </w:t>
      </w:r>
    </w:p>
    <w:sectPr w:rsidR="00FC7F3E" w:rsidRPr="005A2FC3">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FE492" w14:textId="77777777" w:rsidR="003641F4" w:rsidRDefault="003641F4" w:rsidP="00DD0441">
      <w:pPr>
        <w:spacing w:after="0" w:line="240" w:lineRule="auto"/>
      </w:pPr>
      <w:r>
        <w:separator/>
      </w:r>
    </w:p>
  </w:endnote>
  <w:endnote w:type="continuationSeparator" w:id="0">
    <w:p w14:paraId="0863A0F7" w14:textId="77777777" w:rsidR="003641F4" w:rsidRDefault="003641F4" w:rsidP="00DD0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AE60" w14:textId="77777777" w:rsidR="00DD0441" w:rsidRDefault="00DD0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C31D" w14:textId="77777777" w:rsidR="00DD0441" w:rsidRDefault="00DD0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E0E" w14:textId="77777777" w:rsidR="00DD0441" w:rsidRDefault="00DD0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7DD9D" w14:textId="77777777" w:rsidR="003641F4" w:rsidRDefault="003641F4" w:rsidP="00DD0441">
      <w:pPr>
        <w:spacing w:after="0" w:line="240" w:lineRule="auto"/>
      </w:pPr>
      <w:r>
        <w:separator/>
      </w:r>
    </w:p>
  </w:footnote>
  <w:footnote w:type="continuationSeparator" w:id="0">
    <w:p w14:paraId="15E4902E" w14:textId="77777777" w:rsidR="003641F4" w:rsidRDefault="003641F4" w:rsidP="00DD0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D417" w14:textId="72A28046" w:rsidR="00DD0441" w:rsidRDefault="00000000">
    <w:pPr>
      <w:pStyle w:val="Header"/>
    </w:pPr>
    <w:r>
      <w:rPr>
        <w:noProof/>
      </w:rPr>
      <w:pict w14:anchorId="59141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78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182A" w14:textId="430FC1A1" w:rsidR="00DD0441" w:rsidRDefault="00000000">
    <w:pPr>
      <w:pStyle w:val="Header"/>
    </w:pPr>
    <w:r>
      <w:rPr>
        <w:noProof/>
      </w:rPr>
      <w:pict w14:anchorId="157EF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78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88F3" w14:textId="7E2310FE" w:rsidR="00DD0441" w:rsidRDefault="00000000">
    <w:pPr>
      <w:pStyle w:val="Header"/>
    </w:pPr>
    <w:r>
      <w:rPr>
        <w:noProof/>
      </w:rPr>
      <w:pict w14:anchorId="33667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578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16BA9"/>
    <w:multiLevelType w:val="hybridMultilevel"/>
    <w:tmpl w:val="225C9C36"/>
    <w:lvl w:ilvl="0" w:tplc="DA966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369BA"/>
    <w:multiLevelType w:val="hybridMultilevel"/>
    <w:tmpl w:val="830A7D8E"/>
    <w:lvl w:ilvl="0" w:tplc="FFFFFFFF">
      <w:start w:val="1"/>
      <w:numFmt w:val="decimal"/>
      <w:lvlText w:val="%1."/>
      <w:lvlJc w:val="left"/>
      <w:pPr>
        <w:ind w:left="720" w:hanging="360"/>
      </w:pPr>
      <w:rPr>
        <w:rFonts w:ascii="Times New Roman" w:hAnsi="Times New Roman" w:cs="Times New Roman"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E83C17"/>
    <w:multiLevelType w:val="multilevel"/>
    <w:tmpl w:val="BCB4F80E"/>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014028"/>
    <w:multiLevelType w:val="multilevel"/>
    <w:tmpl w:val="FEA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0309A"/>
    <w:multiLevelType w:val="multilevel"/>
    <w:tmpl w:val="79B45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CED1E37"/>
    <w:multiLevelType w:val="hybridMultilevel"/>
    <w:tmpl w:val="D44CE9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77C09"/>
    <w:multiLevelType w:val="hybridMultilevel"/>
    <w:tmpl w:val="830A7D8E"/>
    <w:lvl w:ilvl="0" w:tplc="11DEEC8A">
      <w:start w:val="1"/>
      <w:numFmt w:val="decimal"/>
      <w:lvlText w:val="%1."/>
      <w:lvlJc w:val="left"/>
      <w:pPr>
        <w:ind w:left="720" w:hanging="360"/>
      </w:pPr>
      <w:rPr>
        <w:rFonts w:ascii="Times New Roman" w:hAnsi="Times New Roman" w:cs="Times New Roman"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256B0C"/>
    <w:multiLevelType w:val="multilevel"/>
    <w:tmpl w:val="BCB4F80E"/>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C3D15E4"/>
    <w:multiLevelType w:val="hybridMultilevel"/>
    <w:tmpl w:val="C03A1D0E"/>
    <w:lvl w:ilvl="0" w:tplc="A52631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610496"/>
    <w:multiLevelType w:val="multilevel"/>
    <w:tmpl w:val="71BCC48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9216844">
    <w:abstractNumId w:val="4"/>
  </w:num>
  <w:num w:numId="2" w16cid:durableId="1305816998">
    <w:abstractNumId w:val="5"/>
  </w:num>
  <w:num w:numId="3" w16cid:durableId="1086147644">
    <w:abstractNumId w:val="0"/>
  </w:num>
  <w:num w:numId="4" w16cid:durableId="579951146">
    <w:abstractNumId w:val="8"/>
  </w:num>
  <w:num w:numId="5" w16cid:durableId="1665816259">
    <w:abstractNumId w:val="7"/>
  </w:num>
  <w:num w:numId="6" w16cid:durableId="355498105">
    <w:abstractNumId w:val="9"/>
  </w:num>
  <w:num w:numId="7" w16cid:durableId="1785424640">
    <w:abstractNumId w:val="6"/>
  </w:num>
  <w:num w:numId="8" w16cid:durableId="2126346602">
    <w:abstractNumId w:val="2"/>
  </w:num>
  <w:num w:numId="9" w16cid:durableId="107167643">
    <w:abstractNumId w:val="3"/>
  </w:num>
  <w:num w:numId="10" w16cid:durableId="1532382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C54"/>
    <w:rsid w:val="00001A62"/>
    <w:rsid w:val="00085569"/>
    <w:rsid w:val="00092B59"/>
    <w:rsid w:val="00120D28"/>
    <w:rsid w:val="00120DFF"/>
    <w:rsid w:val="001545D0"/>
    <w:rsid w:val="00162640"/>
    <w:rsid w:val="00180B3C"/>
    <w:rsid w:val="00184AD5"/>
    <w:rsid w:val="00187632"/>
    <w:rsid w:val="001C66E4"/>
    <w:rsid w:val="001D1EED"/>
    <w:rsid w:val="001E299E"/>
    <w:rsid w:val="00224C54"/>
    <w:rsid w:val="00233F0F"/>
    <w:rsid w:val="00260149"/>
    <w:rsid w:val="00274A8A"/>
    <w:rsid w:val="0028467F"/>
    <w:rsid w:val="00294B6B"/>
    <w:rsid w:val="003459A6"/>
    <w:rsid w:val="0035085E"/>
    <w:rsid w:val="003641F4"/>
    <w:rsid w:val="00386A9C"/>
    <w:rsid w:val="003A4C58"/>
    <w:rsid w:val="003B214B"/>
    <w:rsid w:val="003B3652"/>
    <w:rsid w:val="003B7B5D"/>
    <w:rsid w:val="003C6ACF"/>
    <w:rsid w:val="003D1FD5"/>
    <w:rsid w:val="003D3A3C"/>
    <w:rsid w:val="003D438C"/>
    <w:rsid w:val="003E1572"/>
    <w:rsid w:val="003E2927"/>
    <w:rsid w:val="00413B24"/>
    <w:rsid w:val="004179BC"/>
    <w:rsid w:val="004236C0"/>
    <w:rsid w:val="004252EA"/>
    <w:rsid w:val="00435633"/>
    <w:rsid w:val="00453079"/>
    <w:rsid w:val="00471828"/>
    <w:rsid w:val="004B0917"/>
    <w:rsid w:val="004E2FEF"/>
    <w:rsid w:val="0050582B"/>
    <w:rsid w:val="00532AB5"/>
    <w:rsid w:val="00551D80"/>
    <w:rsid w:val="005546F0"/>
    <w:rsid w:val="0056564B"/>
    <w:rsid w:val="00570354"/>
    <w:rsid w:val="00574FB3"/>
    <w:rsid w:val="005756BF"/>
    <w:rsid w:val="00587D79"/>
    <w:rsid w:val="005977AE"/>
    <w:rsid w:val="005A2FC3"/>
    <w:rsid w:val="005C63DA"/>
    <w:rsid w:val="0062095B"/>
    <w:rsid w:val="00642C41"/>
    <w:rsid w:val="0064722B"/>
    <w:rsid w:val="00655EBF"/>
    <w:rsid w:val="00672882"/>
    <w:rsid w:val="006838A9"/>
    <w:rsid w:val="006A2AC7"/>
    <w:rsid w:val="007549FD"/>
    <w:rsid w:val="0077523B"/>
    <w:rsid w:val="00793B18"/>
    <w:rsid w:val="007C4E65"/>
    <w:rsid w:val="007E6BE6"/>
    <w:rsid w:val="007F2BBA"/>
    <w:rsid w:val="007F3FEF"/>
    <w:rsid w:val="00806519"/>
    <w:rsid w:val="0081778A"/>
    <w:rsid w:val="008237BD"/>
    <w:rsid w:val="008508D2"/>
    <w:rsid w:val="00895879"/>
    <w:rsid w:val="00897105"/>
    <w:rsid w:val="008A2FCD"/>
    <w:rsid w:val="008E567B"/>
    <w:rsid w:val="00907E9C"/>
    <w:rsid w:val="00920BF1"/>
    <w:rsid w:val="00926067"/>
    <w:rsid w:val="00991063"/>
    <w:rsid w:val="009930B1"/>
    <w:rsid w:val="00997876"/>
    <w:rsid w:val="009B6E5F"/>
    <w:rsid w:val="009C787B"/>
    <w:rsid w:val="009E7D59"/>
    <w:rsid w:val="009F3962"/>
    <w:rsid w:val="00A04201"/>
    <w:rsid w:val="00A54BDB"/>
    <w:rsid w:val="00A603D6"/>
    <w:rsid w:val="00AA4E0A"/>
    <w:rsid w:val="00AA65A1"/>
    <w:rsid w:val="00AB6DE9"/>
    <w:rsid w:val="00AD27C3"/>
    <w:rsid w:val="00AE60D4"/>
    <w:rsid w:val="00AF5114"/>
    <w:rsid w:val="00B15541"/>
    <w:rsid w:val="00B47B48"/>
    <w:rsid w:val="00B62F60"/>
    <w:rsid w:val="00BA45B9"/>
    <w:rsid w:val="00BC381A"/>
    <w:rsid w:val="00BC44B5"/>
    <w:rsid w:val="00BD56C3"/>
    <w:rsid w:val="00BF0722"/>
    <w:rsid w:val="00CA3E6C"/>
    <w:rsid w:val="00CD0646"/>
    <w:rsid w:val="00CD2C73"/>
    <w:rsid w:val="00CD61BC"/>
    <w:rsid w:val="00D11BE9"/>
    <w:rsid w:val="00D14CB6"/>
    <w:rsid w:val="00D21E99"/>
    <w:rsid w:val="00D51A65"/>
    <w:rsid w:val="00D927BC"/>
    <w:rsid w:val="00DB5F7B"/>
    <w:rsid w:val="00DB776B"/>
    <w:rsid w:val="00DD0441"/>
    <w:rsid w:val="00DE5985"/>
    <w:rsid w:val="00E3650E"/>
    <w:rsid w:val="00E857A9"/>
    <w:rsid w:val="00E955A3"/>
    <w:rsid w:val="00EE66AB"/>
    <w:rsid w:val="00EF2A32"/>
    <w:rsid w:val="00EF4C9B"/>
    <w:rsid w:val="00F00FF2"/>
    <w:rsid w:val="00F8352D"/>
    <w:rsid w:val="00FA5DE2"/>
    <w:rsid w:val="00FB2D6A"/>
    <w:rsid w:val="00FC7F3E"/>
    <w:rsid w:val="00FD4EF9"/>
    <w:rsid w:val="00FD6725"/>
    <w:rsid w:val="00FF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903D3"/>
  <w15:chartTrackingRefBased/>
  <w15:docId w15:val="{1E8C3A6C-27C2-4AFB-BC1A-87F49325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C54"/>
    <w:pPr>
      <w:ind w:left="720"/>
      <w:contextualSpacing/>
    </w:pPr>
  </w:style>
  <w:style w:type="character" w:styleId="Hyperlink">
    <w:name w:val="Hyperlink"/>
    <w:basedOn w:val="DefaultParagraphFont"/>
    <w:uiPriority w:val="99"/>
    <w:unhideWhenUsed/>
    <w:rsid w:val="0050582B"/>
    <w:rPr>
      <w:color w:val="0563C1" w:themeColor="hyperlink"/>
      <w:u w:val="single"/>
    </w:rPr>
  </w:style>
  <w:style w:type="paragraph" w:styleId="NormalWeb">
    <w:name w:val="Normal (Web)"/>
    <w:basedOn w:val="Normal"/>
    <w:uiPriority w:val="99"/>
    <w:unhideWhenUsed/>
    <w:rsid w:val="005058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50582B"/>
    <w:rPr>
      <w:i/>
      <w:iCs/>
    </w:rPr>
  </w:style>
  <w:style w:type="character" w:styleId="UnresolvedMention">
    <w:name w:val="Unresolved Mention"/>
    <w:basedOn w:val="DefaultParagraphFont"/>
    <w:uiPriority w:val="99"/>
    <w:semiHidden/>
    <w:unhideWhenUsed/>
    <w:rsid w:val="00895879"/>
    <w:rPr>
      <w:color w:val="605E5C"/>
      <w:shd w:val="clear" w:color="auto" w:fill="E1DFDD"/>
    </w:rPr>
  </w:style>
  <w:style w:type="table" w:styleId="TableGrid">
    <w:name w:val="Table Grid"/>
    <w:basedOn w:val="TableNormal"/>
    <w:uiPriority w:val="39"/>
    <w:rsid w:val="00CD6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1A65"/>
    <w:rPr>
      <w:color w:val="666666"/>
    </w:rPr>
  </w:style>
  <w:style w:type="paragraph" w:styleId="Header">
    <w:name w:val="header"/>
    <w:basedOn w:val="Normal"/>
    <w:link w:val="HeaderChar"/>
    <w:uiPriority w:val="99"/>
    <w:unhideWhenUsed/>
    <w:rsid w:val="00DD0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41"/>
  </w:style>
  <w:style w:type="paragraph" w:styleId="Footer">
    <w:name w:val="footer"/>
    <w:basedOn w:val="Normal"/>
    <w:link w:val="FooterChar"/>
    <w:uiPriority w:val="99"/>
    <w:unhideWhenUsed/>
    <w:rsid w:val="00DD0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17268">
      <w:bodyDiv w:val="1"/>
      <w:marLeft w:val="0"/>
      <w:marRight w:val="0"/>
      <w:marTop w:val="0"/>
      <w:marBottom w:val="0"/>
      <w:divBdr>
        <w:top w:val="none" w:sz="0" w:space="0" w:color="auto"/>
        <w:left w:val="none" w:sz="0" w:space="0" w:color="auto"/>
        <w:bottom w:val="none" w:sz="0" w:space="0" w:color="auto"/>
        <w:right w:val="none" w:sz="0" w:space="0" w:color="auto"/>
      </w:divBdr>
    </w:div>
    <w:div w:id="158229610">
      <w:bodyDiv w:val="1"/>
      <w:marLeft w:val="0"/>
      <w:marRight w:val="0"/>
      <w:marTop w:val="0"/>
      <w:marBottom w:val="0"/>
      <w:divBdr>
        <w:top w:val="none" w:sz="0" w:space="0" w:color="auto"/>
        <w:left w:val="none" w:sz="0" w:space="0" w:color="auto"/>
        <w:bottom w:val="none" w:sz="0" w:space="0" w:color="auto"/>
        <w:right w:val="none" w:sz="0" w:space="0" w:color="auto"/>
      </w:divBdr>
    </w:div>
    <w:div w:id="213540056">
      <w:bodyDiv w:val="1"/>
      <w:marLeft w:val="0"/>
      <w:marRight w:val="0"/>
      <w:marTop w:val="0"/>
      <w:marBottom w:val="0"/>
      <w:divBdr>
        <w:top w:val="none" w:sz="0" w:space="0" w:color="auto"/>
        <w:left w:val="none" w:sz="0" w:space="0" w:color="auto"/>
        <w:bottom w:val="none" w:sz="0" w:space="0" w:color="auto"/>
        <w:right w:val="none" w:sz="0" w:space="0" w:color="auto"/>
      </w:divBdr>
    </w:div>
    <w:div w:id="271867825">
      <w:bodyDiv w:val="1"/>
      <w:marLeft w:val="0"/>
      <w:marRight w:val="0"/>
      <w:marTop w:val="0"/>
      <w:marBottom w:val="0"/>
      <w:divBdr>
        <w:top w:val="none" w:sz="0" w:space="0" w:color="auto"/>
        <w:left w:val="none" w:sz="0" w:space="0" w:color="auto"/>
        <w:bottom w:val="none" w:sz="0" w:space="0" w:color="auto"/>
        <w:right w:val="none" w:sz="0" w:space="0" w:color="auto"/>
      </w:divBdr>
    </w:div>
    <w:div w:id="275791921">
      <w:bodyDiv w:val="1"/>
      <w:marLeft w:val="0"/>
      <w:marRight w:val="0"/>
      <w:marTop w:val="0"/>
      <w:marBottom w:val="0"/>
      <w:divBdr>
        <w:top w:val="none" w:sz="0" w:space="0" w:color="auto"/>
        <w:left w:val="none" w:sz="0" w:space="0" w:color="auto"/>
        <w:bottom w:val="none" w:sz="0" w:space="0" w:color="auto"/>
        <w:right w:val="none" w:sz="0" w:space="0" w:color="auto"/>
      </w:divBdr>
      <w:divsChild>
        <w:div w:id="301932412">
          <w:marLeft w:val="0"/>
          <w:marRight w:val="0"/>
          <w:marTop w:val="0"/>
          <w:marBottom w:val="0"/>
          <w:divBdr>
            <w:top w:val="none" w:sz="0" w:space="0" w:color="auto"/>
            <w:left w:val="none" w:sz="0" w:space="0" w:color="auto"/>
            <w:bottom w:val="none" w:sz="0" w:space="0" w:color="auto"/>
            <w:right w:val="none" w:sz="0" w:space="0" w:color="auto"/>
          </w:divBdr>
          <w:divsChild>
            <w:div w:id="1406028842">
              <w:marLeft w:val="0"/>
              <w:marRight w:val="0"/>
              <w:marTop w:val="0"/>
              <w:marBottom w:val="0"/>
              <w:divBdr>
                <w:top w:val="none" w:sz="0" w:space="0" w:color="auto"/>
                <w:left w:val="none" w:sz="0" w:space="0" w:color="auto"/>
                <w:bottom w:val="none" w:sz="0" w:space="0" w:color="auto"/>
                <w:right w:val="none" w:sz="0" w:space="0" w:color="auto"/>
              </w:divBdr>
              <w:divsChild>
                <w:div w:id="997808947">
                  <w:marLeft w:val="0"/>
                  <w:marRight w:val="0"/>
                  <w:marTop w:val="0"/>
                  <w:marBottom w:val="0"/>
                  <w:divBdr>
                    <w:top w:val="none" w:sz="0" w:space="0" w:color="auto"/>
                    <w:left w:val="none" w:sz="0" w:space="0" w:color="auto"/>
                    <w:bottom w:val="none" w:sz="0" w:space="0" w:color="auto"/>
                    <w:right w:val="none" w:sz="0" w:space="0" w:color="auto"/>
                  </w:divBdr>
                  <w:divsChild>
                    <w:div w:id="1687629892">
                      <w:marLeft w:val="0"/>
                      <w:marRight w:val="0"/>
                      <w:marTop w:val="0"/>
                      <w:marBottom w:val="0"/>
                      <w:divBdr>
                        <w:top w:val="none" w:sz="0" w:space="0" w:color="auto"/>
                        <w:left w:val="none" w:sz="0" w:space="0" w:color="auto"/>
                        <w:bottom w:val="none" w:sz="0" w:space="0" w:color="auto"/>
                        <w:right w:val="none" w:sz="0" w:space="0" w:color="auto"/>
                      </w:divBdr>
                      <w:divsChild>
                        <w:div w:id="1703019740">
                          <w:marLeft w:val="0"/>
                          <w:marRight w:val="0"/>
                          <w:marTop w:val="0"/>
                          <w:marBottom w:val="0"/>
                          <w:divBdr>
                            <w:top w:val="none" w:sz="0" w:space="0" w:color="auto"/>
                            <w:left w:val="none" w:sz="0" w:space="0" w:color="auto"/>
                            <w:bottom w:val="none" w:sz="0" w:space="0" w:color="auto"/>
                            <w:right w:val="none" w:sz="0" w:space="0" w:color="auto"/>
                          </w:divBdr>
                          <w:divsChild>
                            <w:div w:id="50732951">
                              <w:marLeft w:val="0"/>
                              <w:marRight w:val="0"/>
                              <w:marTop w:val="0"/>
                              <w:marBottom w:val="0"/>
                              <w:divBdr>
                                <w:top w:val="none" w:sz="0" w:space="0" w:color="auto"/>
                                <w:left w:val="none" w:sz="0" w:space="0" w:color="auto"/>
                                <w:bottom w:val="none" w:sz="0" w:space="0" w:color="auto"/>
                                <w:right w:val="none" w:sz="0" w:space="0" w:color="auto"/>
                              </w:divBdr>
                              <w:divsChild>
                                <w:div w:id="1496459580">
                                  <w:marLeft w:val="0"/>
                                  <w:marRight w:val="0"/>
                                  <w:marTop w:val="0"/>
                                  <w:marBottom w:val="0"/>
                                  <w:divBdr>
                                    <w:top w:val="none" w:sz="0" w:space="0" w:color="auto"/>
                                    <w:left w:val="none" w:sz="0" w:space="0" w:color="auto"/>
                                    <w:bottom w:val="none" w:sz="0" w:space="0" w:color="auto"/>
                                    <w:right w:val="none" w:sz="0" w:space="0" w:color="auto"/>
                                  </w:divBdr>
                                  <w:divsChild>
                                    <w:div w:id="1070932513">
                                      <w:marLeft w:val="0"/>
                                      <w:marRight w:val="0"/>
                                      <w:marTop w:val="0"/>
                                      <w:marBottom w:val="0"/>
                                      <w:divBdr>
                                        <w:top w:val="none" w:sz="0" w:space="0" w:color="auto"/>
                                        <w:left w:val="none" w:sz="0" w:space="0" w:color="auto"/>
                                        <w:bottom w:val="none" w:sz="0" w:space="0" w:color="auto"/>
                                        <w:right w:val="none" w:sz="0" w:space="0" w:color="auto"/>
                                      </w:divBdr>
                                      <w:divsChild>
                                        <w:div w:id="1765301216">
                                          <w:marLeft w:val="0"/>
                                          <w:marRight w:val="0"/>
                                          <w:marTop w:val="0"/>
                                          <w:marBottom w:val="0"/>
                                          <w:divBdr>
                                            <w:top w:val="none" w:sz="0" w:space="0" w:color="auto"/>
                                            <w:left w:val="none" w:sz="0" w:space="0" w:color="auto"/>
                                            <w:bottom w:val="none" w:sz="0" w:space="0" w:color="auto"/>
                                            <w:right w:val="none" w:sz="0" w:space="0" w:color="auto"/>
                                          </w:divBdr>
                                          <w:divsChild>
                                            <w:div w:id="983201095">
                                              <w:marLeft w:val="0"/>
                                              <w:marRight w:val="0"/>
                                              <w:marTop w:val="0"/>
                                              <w:marBottom w:val="0"/>
                                              <w:divBdr>
                                                <w:top w:val="none" w:sz="0" w:space="0" w:color="auto"/>
                                                <w:left w:val="none" w:sz="0" w:space="0" w:color="auto"/>
                                                <w:bottom w:val="none" w:sz="0" w:space="0" w:color="auto"/>
                                                <w:right w:val="none" w:sz="0" w:space="0" w:color="auto"/>
                                              </w:divBdr>
                                              <w:divsChild>
                                                <w:div w:id="13508271">
                                                  <w:marLeft w:val="0"/>
                                                  <w:marRight w:val="0"/>
                                                  <w:marTop w:val="0"/>
                                                  <w:marBottom w:val="0"/>
                                                  <w:divBdr>
                                                    <w:top w:val="none" w:sz="0" w:space="0" w:color="auto"/>
                                                    <w:left w:val="none" w:sz="0" w:space="0" w:color="auto"/>
                                                    <w:bottom w:val="none" w:sz="0" w:space="0" w:color="auto"/>
                                                    <w:right w:val="none" w:sz="0" w:space="0" w:color="auto"/>
                                                  </w:divBdr>
                                                  <w:divsChild>
                                                    <w:div w:id="1703365597">
                                                      <w:marLeft w:val="0"/>
                                                      <w:marRight w:val="0"/>
                                                      <w:marTop w:val="0"/>
                                                      <w:marBottom w:val="0"/>
                                                      <w:divBdr>
                                                        <w:top w:val="none" w:sz="0" w:space="0" w:color="auto"/>
                                                        <w:left w:val="none" w:sz="0" w:space="0" w:color="auto"/>
                                                        <w:bottom w:val="none" w:sz="0" w:space="0" w:color="auto"/>
                                                        <w:right w:val="none" w:sz="0" w:space="0" w:color="auto"/>
                                                      </w:divBdr>
                                                      <w:divsChild>
                                                        <w:div w:id="4578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540">
                                              <w:marLeft w:val="0"/>
                                              <w:marRight w:val="0"/>
                                              <w:marTop w:val="0"/>
                                              <w:marBottom w:val="0"/>
                                              <w:divBdr>
                                                <w:top w:val="none" w:sz="0" w:space="0" w:color="auto"/>
                                                <w:left w:val="none" w:sz="0" w:space="0" w:color="auto"/>
                                                <w:bottom w:val="none" w:sz="0" w:space="0" w:color="auto"/>
                                                <w:right w:val="none" w:sz="0" w:space="0" w:color="auto"/>
                                              </w:divBdr>
                                              <w:divsChild>
                                                <w:div w:id="1456144599">
                                                  <w:marLeft w:val="0"/>
                                                  <w:marRight w:val="0"/>
                                                  <w:marTop w:val="0"/>
                                                  <w:marBottom w:val="0"/>
                                                  <w:divBdr>
                                                    <w:top w:val="none" w:sz="0" w:space="0" w:color="auto"/>
                                                    <w:left w:val="none" w:sz="0" w:space="0" w:color="auto"/>
                                                    <w:bottom w:val="none" w:sz="0" w:space="0" w:color="auto"/>
                                                    <w:right w:val="none" w:sz="0" w:space="0" w:color="auto"/>
                                                  </w:divBdr>
                                                  <w:divsChild>
                                                    <w:div w:id="416949633">
                                                      <w:marLeft w:val="0"/>
                                                      <w:marRight w:val="0"/>
                                                      <w:marTop w:val="0"/>
                                                      <w:marBottom w:val="0"/>
                                                      <w:divBdr>
                                                        <w:top w:val="none" w:sz="0" w:space="0" w:color="auto"/>
                                                        <w:left w:val="none" w:sz="0" w:space="0" w:color="auto"/>
                                                        <w:bottom w:val="none" w:sz="0" w:space="0" w:color="auto"/>
                                                        <w:right w:val="none" w:sz="0" w:space="0" w:color="auto"/>
                                                      </w:divBdr>
                                                      <w:divsChild>
                                                        <w:div w:id="1335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956016">
          <w:marLeft w:val="0"/>
          <w:marRight w:val="0"/>
          <w:marTop w:val="0"/>
          <w:marBottom w:val="0"/>
          <w:divBdr>
            <w:top w:val="none" w:sz="0" w:space="0" w:color="auto"/>
            <w:left w:val="none" w:sz="0" w:space="0" w:color="auto"/>
            <w:bottom w:val="none" w:sz="0" w:space="0" w:color="auto"/>
            <w:right w:val="none" w:sz="0" w:space="0" w:color="auto"/>
          </w:divBdr>
          <w:divsChild>
            <w:div w:id="1809012196">
              <w:marLeft w:val="0"/>
              <w:marRight w:val="0"/>
              <w:marTop w:val="0"/>
              <w:marBottom w:val="0"/>
              <w:divBdr>
                <w:top w:val="none" w:sz="0" w:space="0" w:color="auto"/>
                <w:left w:val="none" w:sz="0" w:space="0" w:color="auto"/>
                <w:bottom w:val="none" w:sz="0" w:space="0" w:color="auto"/>
                <w:right w:val="none" w:sz="0" w:space="0" w:color="auto"/>
              </w:divBdr>
              <w:divsChild>
                <w:div w:id="815297030">
                  <w:marLeft w:val="0"/>
                  <w:marRight w:val="0"/>
                  <w:marTop w:val="0"/>
                  <w:marBottom w:val="0"/>
                  <w:divBdr>
                    <w:top w:val="none" w:sz="0" w:space="0" w:color="auto"/>
                    <w:left w:val="none" w:sz="0" w:space="0" w:color="auto"/>
                    <w:bottom w:val="none" w:sz="0" w:space="0" w:color="auto"/>
                    <w:right w:val="none" w:sz="0" w:space="0" w:color="auto"/>
                  </w:divBdr>
                  <w:divsChild>
                    <w:div w:id="20648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951141">
      <w:bodyDiv w:val="1"/>
      <w:marLeft w:val="0"/>
      <w:marRight w:val="0"/>
      <w:marTop w:val="0"/>
      <w:marBottom w:val="0"/>
      <w:divBdr>
        <w:top w:val="none" w:sz="0" w:space="0" w:color="auto"/>
        <w:left w:val="none" w:sz="0" w:space="0" w:color="auto"/>
        <w:bottom w:val="none" w:sz="0" w:space="0" w:color="auto"/>
        <w:right w:val="none" w:sz="0" w:space="0" w:color="auto"/>
      </w:divBdr>
    </w:div>
    <w:div w:id="363791819">
      <w:bodyDiv w:val="1"/>
      <w:marLeft w:val="0"/>
      <w:marRight w:val="0"/>
      <w:marTop w:val="0"/>
      <w:marBottom w:val="0"/>
      <w:divBdr>
        <w:top w:val="none" w:sz="0" w:space="0" w:color="auto"/>
        <w:left w:val="none" w:sz="0" w:space="0" w:color="auto"/>
        <w:bottom w:val="none" w:sz="0" w:space="0" w:color="auto"/>
        <w:right w:val="none" w:sz="0" w:space="0" w:color="auto"/>
      </w:divBdr>
    </w:div>
    <w:div w:id="392193941">
      <w:bodyDiv w:val="1"/>
      <w:marLeft w:val="0"/>
      <w:marRight w:val="0"/>
      <w:marTop w:val="0"/>
      <w:marBottom w:val="0"/>
      <w:divBdr>
        <w:top w:val="none" w:sz="0" w:space="0" w:color="auto"/>
        <w:left w:val="none" w:sz="0" w:space="0" w:color="auto"/>
        <w:bottom w:val="none" w:sz="0" w:space="0" w:color="auto"/>
        <w:right w:val="none" w:sz="0" w:space="0" w:color="auto"/>
      </w:divBdr>
    </w:div>
    <w:div w:id="487483345">
      <w:bodyDiv w:val="1"/>
      <w:marLeft w:val="0"/>
      <w:marRight w:val="0"/>
      <w:marTop w:val="0"/>
      <w:marBottom w:val="0"/>
      <w:divBdr>
        <w:top w:val="none" w:sz="0" w:space="0" w:color="auto"/>
        <w:left w:val="none" w:sz="0" w:space="0" w:color="auto"/>
        <w:bottom w:val="none" w:sz="0" w:space="0" w:color="auto"/>
        <w:right w:val="none" w:sz="0" w:space="0" w:color="auto"/>
      </w:divBdr>
    </w:div>
    <w:div w:id="536166406">
      <w:bodyDiv w:val="1"/>
      <w:marLeft w:val="0"/>
      <w:marRight w:val="0"/>
      <w:marTop w:val="0"/>
      <w:marBottom w:val="0"/>
      <w:divBdr>
        <w:top w:val="none" w:sz="0" w:space="0" w:color="auto"/>
        <w:left w:val="none" w:sz="0" w:space="0" w:color="auto"/>
        <w:bottom w:val="none" w:sz="0" w:space="0" w:color="auto"/>
        <w:right w:val="none" w:sz="0" w:space="0" w:color="auto"/>
      </w:divBdr>
    </w:div>
    <w:div w:id="539510188">
      <w:bodyDiv w:val="1"/>
      <w:marLeft w:val="0"/>
      <w:marRight w:val="0"/>
      <w:marTop w:val="0"/>
      <w:marBottom w:val="0"/>
      <w:divBdr>
        <w:top w:val="none" w:sz="0" w:space="0" w:color="auto"/>
        <w:left w:val="none" w:sz="0" w:space="0" w:color="auto"/>
        <w:bottom w:val="none" w:sz="0" w:space="0" w:color="auto"/>
        <w:right w:val="none" w:sz="0" w:space="0" w:color="auto"/>
      </w:divBdr>
      <w:divsChild>
        <w:div w:id="157936228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1161505514">
                  <w:marLeft w:val="0"/>
                  <w:marRight w:val="0"/>
                  <w:marTop w:val="0"/>
                  <w:marBottom w:val="0"/>
                  <w:divBdr>
                    <w:top w:val="none" w:sz="0" w:space="0" w:color="auto"/>
                    <w:left w:val="none" w:sz="0" w:space="0" w:color="auto"/>
                    <w:bottom w:val="none" w:sz="0" w:space="0" w:color="auto"/>
                    <w:right w:val="none" w:sz="0" w:space="0" w:color="auto"/>
                  </w:divBdr>
                  <w:divsChild>
                    <w:div w:id="792752384">
                      <w:marLeft w:val="0"/>
                      <w:marRight w:val="0"/>
                      <w:marTop w:val="0"/>
                      <w:marBottom w:val="0"/>
                      <w:divBdr>
                        <w:top w:val="none" w:sz="0" w:space="0" w:color="auto"/>
                        <w:left w:val="none" w:sz="0" w:space="0" w:color="auto"/>
                        <w:bottom w:val="none" w:sz="0" w:space="0" w:color="auto"/>
                        <w:right w:val="none" w:sz="0" w:space="0" w:color="auto"/>
                      </w:divBdr>
                      <w:divsChild>
                        <w:div w:id="15082773">
                          <w:marLeft w:val="0"/>
                          <w:marRight w:val="0"/>
                          <w:marTop w:val="0"/>
                          <w:marBottom w:val="0"/>
                          <w:divBdr>
                            <w:top w:val="none" w:sz="0" w:space="0" w:color="auto"/>
                            <w:left w:val="none" w:sz="0" w:space="0" w:color="auto"/>
                            <w:bottom w:val="none" w:sz="0" w:space="0" w:color="auto"/>
                            <w:right w:val="none" w:sz="0" w:space="0" w:color="auto"/>
                          </w:divBdr>
                          <w:divsChild>
                            <w:div w:id="469981113">
                              <w:marLeft w:val="0"/>
                              <w:marRight w:val="0"/>
                              <w:marTop w:val="0"/>
                              <w:marBottom w:val="0"/>
                              <w:divBdr>
                                <w:top w:val="none" w:sz="0" w:space="0" w:color="auto"/>
                                <w:left w:val="none" w:sz="0" w:space="0" w:color="auto"/>
                                <w:bottom w:val="none" w:sz="0" w:space="0" w:color="auto"/>
                                <w:right w:val="none" w:sz="0" w:space="0" w:color="auto"/>
                              </w:divBdr>
                              <w:divsChild>
                                <w:div w:id="1448430858">
                                  <w:marLeft w:val="0"/>
                                  <w:marRight w:val="0"/>
                                  <w:marTop w:val="0"/>
                                  <w:marBottom w:val="0"/>
                                  <w:divBdr>
                                    <w:top w:val="none" w:sz="0" w:space="0" w:color="auto"/>
                                    <w:left w:val="none" w:sz="0" w:space="0" w:color="auto"/>
                                    <w:bottom w:val="none" w:sz="0" w:space="0" w:color="auto"/>
                                    <w:right w:val="none" w:sz="0" w:space="0" w:color="auto"/>
                                  </w:divBdr>
                                  <w:divsChild>
                                    <w:div w:id="666438495">
                                      <w:marLeft w:val="0"/>
                                      <w:marRight w:val="0"/>
                                      <w:marTop w:val="0"/>
                                      <w:marBottom w:val="0"/>
                                      <w:divBdr>
                                        <w:top w:val="none" w:sz="0" w:space="0" w:color="auto"/>
                                        <w:left w:val="none" w:sz="0" w:space="0" w:color="auto"/>
                                        <w:bottom w:val="none" w:sz="0" w:space="0" w:color="auto"/>
                                        <w:right w:val="none" w:sz="0" w:space="0" w:color="auto"/>
                                      </w:divBdr>
                                      <w:divsChild>
                                        <w:div w:id="909384487">
                                          <w:marLeft w:val="0"/>
                                          <w:marRight w:val="0"/>
                                          <w:marTop w:val="0"/>
                                          <w:marBottom w:val="0"/>
                                          <w:divBdr>
                                            <w:top w:val="none" w:sz="0" w:space="0" w:color="auto"/>
                                            <w:left w:val="none" w:sz="0" w:space="0" w:color="auto"/>
                                            <w:bottom w:val="none" w:sz="0" w:space="0" w:color="auto"/>
                                            <w:right w:val="none" w:sz="0" w:space="0" w:color="auto"/>
                                          </w:divBdr>
                                          <w:divsChild>
                                            <w:div w:id="191921163">
                                              <w:marLeft w:val="0"/>
                                              <w:marRight w:val="0"/>
                                              <w:marTop w:val="0"/>
                                              <w:marBottom w:val="0"/>
                                              <w:divBdr>
                                                <w:top w:val="none" w:sz="0" w:space="0" w:color="auto"/>
                                                <w:left w:val="none" w:sz="0" w:space="0" w:color="auto"/>
                                                <w:bottom w:val="none" w:sz="0" w:space="0" w:color="auto"/>
                                                <w:right w:val="none" w:sz="0" w:space="0" w:color="auto"/>
                                              </w:divBdr>
                                              <w:divsChild>
                                                <w:div w:id="1081947720">
                                                  <w:marLeft w:val="0"/>
                                                  <w:marRight w:val="0"/>
                                                  <w:marTop w:val="0"/>
                                                  <w:marBottom w:val="0"/>
                                                  <w:divBdr>
                                                    <w:top w:val="none" w:sz="0" w:space="0" w:color="auto"/>
                                                    <w:left w:val="none" w:sz="0" w:space="0" w:color="auto"/>
                                                    <w:bottom w:val="none" w:sz="0" w:space="0" w:color="auto"/>
                                                    <w:right w:val="none" w:sz="0" w:space="0" w:color="auto"/>
                                                  </w:divBdr>
                                                  <w:divsChild>
                                                    <w:div w:id="1890532751">
                                                      <w:marLeft w:val="0"/>
                                                      <w:marRight w:val="0"/>
                                                      <w:marTop w:val="0"/>
                                                      <w:marBottom w:val="0"/>
                                                      <w:divBdr>
                                                        <w:top w:val="none" w:sz="0" w:space="0" w:color="auto"/>
                                                        <w:left w:val="none" w:sz="0" w:space="0" w:color="auto"/>
                                                        <w:bottom w:val="none" w:sz="0" w:space="0" w:color="auto"/>
                                                        <w:right w:val="none" w:sz="0" w:space="0" w:color="auto"/>
                                                      </w:divBdr>
                                                      <w:divsChild>
                                                        <w:div w:id="4645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37831">
                                              <w:marLeft w:val="0"/>
                                              <w:marRight w:val="0"/>
                                              <w:marTop w:val="0"/>
                                              <w:marBottom w:val="0"/>
                                              <w:divBdr>
                                                <w:top w:val="none" w:sz="0" w:space="0" w:color="auto"/>
                                                <w:left w:val="none" w:sz="0" w:space="0" w:color="auto"/>
                                                <w:bottom w:val="none" w:sz="0" w:space="0" w:color="auto"/>
                                                <w:right w:val="none" w:sz="0" w:space="0" w:color="auto"/>
                                              </w:divBdr>
                                              <w:divsChild>
                                                <w:div w:id="344326355">
                                                  <w:marLeft w:val="0"/>
                                                  <w:marRight w:val="0"/>
                                                  <w:marTop w:val="0"/>
                                                  <w:marBottom w:val="0"/>
                                                  <w:divBdr>
                                                    <w:top w:val="none" w:sz="0" w:space="0" w:color="auto"/>
                                                    <w:left w:val="none" w:sz="0" w:space="0" w:color="auto"/>
                                                    <w:bottom w:val="none" w:sz="0" w:space="0" w:color="auto"/>
                                                    <w:right w:val="none" w:sz="0" w:space="0" w:color="auto"/>
                                                  </w:divBdr>
                                                  <w:divsChild>
                                                    <w:div w:id="1026950759">
                                                      <w:marLeft w:val="0"/>
                                                      <w:marRight w:val="0"/>
                                                      <w:marTop w:val="0"/>
                                                      <w:marBottom w:val="0"/>
                                                      <w:divBdr>
                                                        <w:top w:val="none" w:sz="0" w:space="0" w:color="auto"/>
                                                        <w:left w:val="none" w:sz="0" w:space="0" w:color="auto"/>
                                                        <w:bottom w:val="none" w:sz="0" w:space="0" w:color="auto"/>
                                                        <w:right w:val="none" w:sz="0" w:space="0" w:color="auto"/>
                                                      </w:divBdr>
                                                      <w:divsChild>
                                                        <w:div w:id="14870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5105813">
          <w:marLeft w:val="0"/>
          <w:marRight w:val="0"/>
          <w:marTop w:val="0"/>
          <w:marBottom w:val="0"/>
          <w:divBdr>
            <w:top w:val="none" w:sz="0" w:space="0" w:color="auto"/>
            <w:left w:val="none" w:sz="0" w:space="0" w:color="auto"/>
            <w:bottom w:val="none" w:sz="0" w:space="0" w:color="auto"/>
            <w:right w:val="none" w:sz="0" w:space="0" w:color="auto"/>
          </w:divBdr>
          <w:divsChild>
            <w:div w:id="1642615670">
              <w:marLeft w:val="0"/>
              <w:marRight w:val="0"/>
              <w:marTop w:val="0"/>
              <w:marBottom w:val="0"/>
              <w:divBdr>
                <w:top w:val="none" w:sz="0" w:space="0" w:color="auto"/>
                <w:left w:val="none" w:sz="0" w:space="0" w:color="auto"/>
                <w:bottom w:val="none" w:sz="0" w:space="0" w:color="auto"/>
                <w:right w:val="none" w:sz="0" w:space="0" w:color="auto"/>
              </w:divBdr>
              <w:divsChild>
                <w:div w:id="170997643">
                  <w:marLeft w:val="0"/>
                  <w:marRight w:val="0"/>
                  <w:marTop w:val="0"/>
                  <w:marBottom w:val="0"/>
                  <w:divBdr>
                    <w:top w:val="none" w:sz="0" w:space="0" w:color="auto"/>
                    <w:left w:val="none" w:sz="0" w:space="0" w:color="auto"/>
                    <w:bottom w:val="none" w:sz="0" w:space="0" w:color="auto"/>
                    <w:right w:val="none" w:sz="0" w:space="0" w:color="auto"/>
                  </w:divBdr>
                  <w:divsChild>
                    <w:div w:id="1310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068321">
      <w:bodyDiv w:val="1"/>
      <w:marLeft w:val="0"/>
      <w:marRight w:val="0"/>
      <w:marTop w:val="0"/>
      <w:marBottom w:val="0"/>
      <w:divBdr>
        <w:top w:val="none" w:sz="0" w:space="0" w:color="auto"/>
        <w:left w:val="none" w:sz="0" w:space="0" w:color="auto"/>
        <w:bottom w:val="none" w:sz="0" w:space="0" w:color="auto"/>
        <w:right w:val="none" w:sz="0" w:space="0" w:color="auto"/>
      </w:divBdr>
    </w:div>
    <w:div w:id="666596107">
      <w:bodyDiv w:val="1"/>
      <w:marLeft w:val="0"/>
      <w:marRight w:val="0"/>
      <w:marTop w:val="0"/>
      <w:marBottom w:val="0"/>
      <w:divBdr>
        <w:top w:val="none" w:sz="0" w:space="0" w:color="auto"/>
        <w:left w:val="none" w:sz="0" w:space="0" w:color="auto"/>
        <w:bottom w:val="none" w:sz="0" w:space="0" w:color="auto"/>
        <w:right w:val="none" w:sz="0" w:space="0" w:color="auto"/>
      </w:divBdr>
    </w:div>
    <w:div w:id="714428577">
      <w:bodyDiv w:val="1"/>
      <w:marLeft w:val="0"/>
      <w:marRight w:val="0"/>
      <w:marTop w:val="0"/>
      <w:marBottom w:val="0"/>
      <w:divBdr>
        <w:top w:val="none" w:sz="0" w:space="0" w:color="auto"/>
        <w:left w:val="none" w:sz="0" w:space="0" w:color="auto"/>
        <w:bottom w:val="none" w:sz="0" w:space="0" w:color="auto"/>
        <w:right w:val="none" w:sz="0" w:space="0" w:color="auto"/>
      </w:divBdr>
      <w:divsChild>
        <w:div w:id="1746953546">
          <w:marLeft w:val="0"/>
          <w:marRight w:val="0"/>
          <w:marTop w:val="0"/>
          <w:marBottom w:val="0"/>
          <w:divBdr>
            <w:top w:val="none" w:sz="0" w:space="0" w:color="auto"/>
            <w:left w:val="none" w:sz="0" w:space="0" w:color="auto"/>
            <w:bottom w:val="none" w:sz="0" w:space="0" w:color="auto"/>
            <w:right w:val="none" w:sz="0" w:space="0" w:color="auto"/>
          </w:divBdr>
          <w:divsChild>
            <w:div w:id="205917758">
              <w:marLeft w:val="0"/>
              <w:marRight w:val="0"/>
              <w:marTop w:val="0"/>
              <w:marBottom w:val="0"/>
              <w:divBdr>
                <w:top w:val="none" w:sz="0" w:space="0" w:color="auto"/>
                <w:left w:val="none" w:sz="0" w:space="0" w:color="auto"/>
                <w:bottom w:val="none" w:sz="0" w:space="0" w:color="auto"/>
                <w:right w:val="none" w:sz="0" w:space="0" w:color="auto"/>
              </w:divBdr>
              <w:divsChild>
                <w:div w:id="626861319">
                  <w:marLeft w:val="0"/>
                  <w:marRight w:val="0"/>
                  <w:marTop w:val="0"/>
                  <w:marBottom w:val="0"/>
                  <w:divBdr>
                    <w:top w:val="none" w:sz="0" w:space="0" w:color="auto"/>
                    <w:left w:val="none" w:sz="0" w:space="0" w:color="auto"/>
                    <w:bottom w:val="none" w:sz="0" w:space="0" w:color="auto"/>
                    <w:right w:val="none" w:sz="0" w:space="0" w:color="auto"/>
                  </w:divBdr>
                  <w:divsChild>
                    <w:div w:id="1966349211">
                      <w:marLeft w:val="0"/>
                      <w:marRight w:val="0"/>
                      <w:marTop w:val="0"/>
                      <w:marBottom w:val="0"/>
                      <w:divBdr>
                        <w:top w:val="none" w:sz="0" w:space="0" w:color="auto"/>
                        <w:left w:val="none" w:sz="0" w:space="0" w:color="auto"/>
                        <w:bottom w:val="none" w:sz="0" w:space="0" w:color="auto"/>
                        <w:right w:val="none" w:sz="0" w:space="0" w:color="auto"/>
                      </w:divBdr>
                      <w:divsChild>
                        <w:div w:id="99766044">
                          <w:marLeft w:val="0"/>
                          <w:marRight w:val="0"/>
                          <w:marTop w:val="0"/>
                          <w:marBottom w:val="0"/>
                          <w:divBdr>
                            <w:top w:val="none" w:sz="0" w:space="0" w:color="auto"/>
                            <w:left w:val="none" w:sz="0" w:space="0" w:color="auto"/>
                            <w:bottom w:val="none" w:sz="0" w:space="0" w:color="auto"/>
                            <w:right w:val="none" w:sz="0" w:space="0" w:color="auto"/>
                          </w:divBdr>
                          <w:divsChild>
                            <w:div w:id="2012832732">
                              <w:marLeft w:val="0"/>
                              <w:marRight w:val="0"/>
                              <w:marTop w:val="0"/>
                              <w:marBottom w:val="0"/>
                              <w:divBdr>
                                <w:top w:val="none" w:sz="0" w:space="0" w:color="auto"/>
                                <w:left w:val="none" w:sz="0" w:space="0" w:color="auto"/>
                                <w:bottom w:val="none" w:sz="0" w:space="0" w:color="auto"/>
                                <w:right w:val="none" w:sz="0" w:space="0" w:color="auto"/>
                              </w:divBdr>
                              <w:divsChild>
                                <w:div w:id="1689671526">
                                  <w:marLeft w:val="0"/>
                                  <w:marRight w:val="0"/>
                                  <w:marTop w:val="0"/>
                                  <w:marBottom w:val="0"/>
                                  <w:divBdr>
                                    <w:top w:val="none" w:sz="0" w:space="0" w:color="auto"/>
                                    <w:left w:val="none" w:sz="0" w:space="0" w:color="auto"/>
                                    <w:bottom w:val="none" w:sz="0" w:space="0" w:color="auto"/>
                                    <w:right w:val="none" w:sz="0" w:space="0" w:color="auto"/>
                                  </w:divBdr>
                                  <w:divsChild>
                                    <w:div w:id="16196847">
                                      <w:marLeft w:val="0"/>
                                      <w:marRight w:val="0"/>
                                      <w:marTop w:val="0"/>
                                      <w:marBottom w:val="0"/>
                                      <w:divBdr>
                                        <w:top w:val="none" w:sz="0" w:space="0" w:color="auto"/>
                                        <w:left w:val="none" w:sz="0" w:space="0" w:color="auto"/>
                                        <w:bottom w:val="none" w:sz="0" w:space="0" w:color="auto"/>
                                        <w:right w:val="none" w:sz="0" w:space="0" w:color="auto"/>
                                      </w:divBdr>
                                      <w:divsChild>
                                        <w:div w:id="8327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154912">
          <w:marLeft w:val="0"/>
          <w:marRight w:val="0"/>
          <w:marTop w:val="0"/>
          <w:marBottom w:val="0"/>
          <w:divBdr>
            <w:top w:val="none" w:sz="0" w:space="0" w:color="auto"/>
            <w:left w:val="none" w:sz="0" w:space="0" w:color="auto"/>
            <w:bottom w:val="none" w:sz="0" w:space="0" w:color="auto"/>
            <w:right w:val="none" w:sz="0" w:space="0" w:color="auto"/>
          </w:divBdr>
          <w:divsChild>
            <w:div w:id="445974220">
              <w:marLeft w:val="0"/>
              <w:marRight w:val="0"/>
              <w:marTop w:val="0"/>
              <w:marBottom w:val="0"/>
              <w:divBdr>
                <w:top w:val="none" w:sz="0" w:space="0" w:color="auto"/>
                <w:left w:val="none" w:sz="0" w:space="0" w:color="auto"/>
                <w:bottom w:val="none" w:sz="0" w:space="0" w:color="auto"/>
                <w:right w:val="none" w:sz="0" w:space="0" w:color="auto"/>
              </w:divBdr>
              <w:divsChild>
                <w:div w:id="258681660">
                  <w:marLeft w:val="0"/>
                  <w:marRight w:val="0"/>
                  <w:marTop w:val="0"/>
                  <w:marBottom w:val="0"/>
                  <w:divBdr>
                    <w:top w:val="none" w:sz="0" w:space="0" w:color="auto"/>
                    <w:left w:val="none" w:sz="0" w:space="0" w:color="auto"/>
                    <w:bottom w:val="none" w:sz="0" w:space="0" w:color="auto"/>
                    <w:right w:val="none" w:sz="0" w:space="0" w:color="auto"/>
                  </w:divBdr>
                  <w:divsChild>
                    <w:div w:id="655576890">
                      <w:marLeft w:val="0"/>
                      <w:marRight w:val="0"/>
                      <w:marTop w:val="0"/>
                      <w:marBottom w:val="0"/>
                      <w:divBdr>
                        <w:top w:val="none" w:sz="0" w:space="0" w:color="auto"/>
                        <w:left w:val="none" w:sz="0" w:space="0" w:color="auto"/>
                        <w:bottom w:val="none" w:sz="0" w:space="0" w:color="auto"/>
                        <w:right w:val="none" w:sz="0" w:space="0" w:color="auto"/>
                      </w:divBdr>
                      <w:divsChild>
                        <w:div w:id="411046154">
                          <w:marLeft w:val="0"/>
                          <w:marRight w:val="0"/>
                          <w:marTop w:val="0"/>
                          <w:marBottom w:val="0"/>
                          <w:divBdr>
                            <w:top w:val="none" w:sz="0" w:space="0" w:color="auto"/>
                            <w:left w:val="none" w:sz="0" w:space="0" w:color="auto"/>
                            <w:bottom w:val="none" w:sz="0" w:space="0" w:color="auto"/>
                            <w:right w:val="none" w:sz="0" w:space="0" w:color="auto"/>
                          </w:divBdr>
                          <w:divsChild>
                            <w:div w:id="106122653">
                              <w:marLeft w:val="0"/>
                              <w:marRight w:val="0"/>
                              <w:marTop w:val="0"/>
                              <w:marBottom w:val="0"/>
                              <w:divBdr>
                                <w:top w:val="none" w:sz="0" w:space="0" w:color="auto"/>
                                <w:left w:val="none" w:sz="0" w:space="0" w:color="auto"/>
                                <w:bottom w:val="none" w:sz="0" w:space="0" w:color="auto"/>
                                <w:right w:val="none" w:sz="0" w:space="0" w:color="auto"/>
                              </w:divBdr>
                              <w:divsChild>
                                <w:div w:id="15867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71004">
                  <w:marLeft w:val="0"/>
                  <w:marRight w:val="0"/>
                  <w:marTop w:val="0"/>
                  <w:marBottom w:val="0"/>
                  <w:divBdr>
                    <w:top w:val="none" w:sz="0" w:space="0" w:color="auto"/>
                    <w:left w:val="none" w:sz="0" w:space="0" w:color="auto"/>
                    <w:bottom w:val="none" w:sz="0" w:space="0" w:color="auto"/>
                    <w:right w:val="none" w:sz="0" w:space="0" w:color="auto"/>
                  </w:divBdr>
                  <w:divsChild>
                    <w:div w:id="1575433820">
                      <w:marLeft w:val="0"/>
                      <w:marRight w:val="0"/>
                      <w:marTop w:val="0"/>
                      <w:marBottom w:val="0"/>
                      <w:divBdr>
                        <w:top w:val="none" w:sz="0" w:space="0" w:color="auto"/>
                        <w:left w:val="none" w:sz="0" w:space="0" w:color="auto"/>
                        <w:bottom w:val="none" w:sz="0" w:space="0" w:color="auto"/>
                        <w:right w:val="none" w:sz="0" w:space="0" w:color="auto"/>
                      </w:divBdr>
                      <w:divsChild>
                        <w:div w:id="1389649632">
                          <w:marLeft w:val="0"/>
                          <w:marRight w:val="0"/>
                          <w:marTop w:val="0"/>
                          <w:marBottom w:val="0"/>
                          <w:divBdr>
                            <w:top w:val="none" w:sz="0" w:space="0" w:color="auto"/>
                            <w:left w:val="none" w:sz="0" w:space="0" w:color="auto"/>
                            <w:bottom w:val="none" w:sz="0" w:space="0" w:color="auto"/>
                            <w:right w:val="none" w:sz="0" w:space="0" w:color="auto"/>
                          </w:divBdr>
                          <w:divsChild>
                            <w:div w:id="1344699263">
                              <w:marLeft w:val="0"/>
                              <w:marRight w:val="0"/>
                              <w:marTop w:val="0"/>
                              <w:marBottom w:val="0"/>
                              <w:divBdr>
                                <w:top w:val="none" w:sz="0" w:space="0" w:color="auto"/>
                                <w:left w:val="none" w:sz="0" w:space="0" w:color="auto"/>
                                <w:bottom w:val="none" w:sz="0" w:space="0" w:color="auto"/>
                                <w:right w:val="none" w:sz="0" w:space="0" w:color="auto"/>
                              </w:divBdr>
                              <w:divsChild>
                                <w:div w:id="120996080">
                                  <w:marLeft w:val="0"/>
                                  <w:marRight w:val="0"/>
                                  <w:marTop w:val="0"/>
                                  <w:marBottom w:val="0"/>
                                  <w:divBdr>
                                    <w:top w:val="none" w:sz="0" w:space="0" w:color="auto"/>
                                    <w:left w:val="none" w:sz="0" w:space="0" w:color="auto"/>
                                    <w:bottom w:val="none" w:sz="0" w:space="0" w:color="auto"/>
                                    <w:right w:val="none" w:sz="0" w:space="0" w:color="auto"/>
                                  </w:divBdr>
                                  <w:divsChild>
                                    <w:div w:id="9186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853046">
      <w:bodyDiv w:val="1"/>
      <w:marLeft w:val="0"/>
      <w:marRight w:val="0"/>
      <w:marTop w:val="0"/>
      <w:marBottom w:val="0"/>
      <w:divBdr>
        <w:top w:val="none" w:sz="0" w:space="0" w:color="auto"/>
        <w:left w:val="none" w:sz="0" w:space="0" w:color="auto"/>
        <w:bottom w:val="none" w:sz="0" w:space="0" w:color="auto"/>
        <w:right w:val="none" w:sz="0" w:space="0" w:color="auto"/>
      </w:divBdr>
      <w:divsChild>
        <w:div w:id="7486258">
          <w:marLeft w:val="0"/>
          <w:marRight w:val="0"/>
          <w:marTop w:val="0"/>
          <w:marBottom w:val="0"/>
          <w:divBdr>
            <w:top w:val="none" w:sz="0" w:space="0" w:color="auto"/>
            <w:left w:val="none" w:sz="0" w:space="0" w:color="auto"/>
            <w:bottom w:val="none" w:sz="0" w:space="0" w:color="auto"/>
            <w:right w:val="none" w:sz="0" w:space="0" w:color="auto"/>
          </w:divBdr>
          <w:divsChild>
            <w:div w:id="88082793">
              <w:marLeft w:val="0"/>
              <w:marRight w:val="0"/>
              <w:marTop w:val="0"/>
              <w:marBottom w:val="0"/>
              <w:divBdr>
                <w:top w:val="none" w:sz="0" w:space="0" w:color="auto"/>
                <w:left w:val="none" w:sz="0" w:space="0" w:color="auto"/>
                <w:bottom w:val="none" w:sz="0" w:space="0" w:color="auto"/>
                <w:right w:val="none" w:sz="0" w:space="0" w:color="auto"/>
              </w:divBdr>
              <w:divsChild>
                <w:div w:id="1838421040">
                  <w:marLeft w:val="0"/>
                  <w:marRight w:val="0"/>
                  <w:marTop w:val="0"/>
                  <w:marBottom w:val="0"/>
                  <w:divBdr>
                    <w:top w:val="none" w:sz="0" w:space="0" w:color="auto"/>
                    <w:left w:val="none" w:sz="0" w:space="0" w:color="auto"/>
                    <w:bottom w:val="none" w:sz="0" w:space="0" w:color="auto"/>
                    <w:right w:val="none" w:sz="0" w:space="0" w:color="auto"/>
                  </w:divBdr>
                  <w:divsChild>
                    <w:div w:id="881594816">
                      <w:marLeft w:val="0"/>
                      <w:marRight w:val="0"/>
                      <w:marTop w:val="0"/>
                      <w:marBottom w:val="0"/>
                      <w:divBdr>
                        <w:top w:val="none" w:sz="0" w:space="0" w:color="auto"/>
                        <w:left w:val="none" w:sz="0" w:space="0" w:color="auto"/>
                        <w:bottom w:val="none" w:sz="0" w:space="0" w:color="auto"/>
                        <w:right w:val="none" w:sz="0" w:space="0" w:color="auto"/>
                      </w:divBdr>
                      <w:divsChild>
                        <w:div w:id="705057632">
                          <w:marLeft w:val="0"/>
                          <w:marRight w:val="0"/>
                          <w:marTop w:val="0"/>
                          <w:marBottom w:val="0"/>
                          <w:divBdr>
                            <w:top w:val="none" w:sz="0" w:space="0" w:color="auto"/>
                            <w:left w:val="none" w:sz="0" w:space="0" w:color="auto"/>
                            <w:bottom w:val="none" w:sz="0" w:space="0" w:color="auto"/>
                            <w:right w:val="none" w:sz="0" w:space="0" w:color="auto"/>
                          </w:divBdr>
                          <w:divsChild>
                            <w:div w:id="1338537847">
                              <w:marLeft w:val="0"/>
                              <w:marRight w:val="0"/>
                              <w:marTop w:val="0"/>
                              <w:marBottom w:val="0"/>
                              <w:divBdr>
                                <w:top w:val="none" w:sz="0" w:space="0" w:color="auto"/>
                                <w:left w:val="none" w:sz="0" w:space="0" w:color="auto"/>
                                <w:bottom w:val="none" w:sz="0" w:space="0" w:color="auto"/>
                                <w:right w:val="none" w:sz="0" w:space="0" w:color="auto"/>
                              </w:divBdr>
                              <w:divsChild>
                                <w:div w:id="1228223790">
                                  <w:marLeft w:val="0"/>
                                  <w:marRight w:val="0"/>
                                  <w:marTop w:val="0"/>
                                  <w:marBottom w:val="0"/>
                                  <w:divBdr>
                                    <w:top w:val="none" w:sz="0" w:space="0" w:color="auto"/>
                                    <w:left w:val="none" w:sz="0" w:space="0" w:color="auto"/>
                                    <w:bottom w:val="none" w:sz="0" w:space="0" w:color="auto"/>
                                    <w:right w:val="none" w:sz="0" w:space="0" w:color="auto"/>
                                  </w:divBdr>
                                  <w:divsChild>
                                    <w:div w:id="17776059">
                                      <w:marLeft w:val="0"/>
                                      <w:marRight w:val="0"/>
                                      <w:marTop w:val="0"/>
                                      <w:marBottom w:val="0"/>
                                      <w:divBdr>
                                        <w:top w:val="none" w:sz="0" w:space="0" w:color="auto"/>
                                        <w:left w:val="none" w:sz="0" w:space="0" w:color="auto"/>
                                        <w:bottom w:val="none" w:sz="0" w:space="0" w:color="auto"/>
                                        <w:right w:val="none" w:sz="0" w:space="0" w:color="auto"/>
                                      </w:divBdr>
                                      <w:divsChild>
                                        <w:div w:id="7315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309838">
          <w:marLeft w:val="0"/>
          <w:marRight w:val="0"/>
          <w:marTop w:val="0"/>
          <w:marBottom w:val="0"/>
          <w:divBdr>
            <w:top w:val="none" w:sz="0" w:space="0" w:color="auto"/>
            <w:left w:val="none" w:sz="0" w:space="0" w:color="auto"/>
            <w:bottom w:val="none" w:sz="0" w:space="0" w:color="auto"/>
            <w:right w:val="none" w:sz="0" w:space="0" w:color="auto"/>
          </w:divBdr>
          <w:divsChild>
            <w:div w:id="214316275">
              <w:marLeft w:val="0"/>
              <w:marRight w:val="0"/>
              <w:marTop w:val="0"/>
              <w:marBottom w:val="0"/>
              <w:divBdr>
                <w:top w:val="none" w:sz="0" w:space="0" w:color="auto"/>
                <w:left w:val="none" w:sz="0" w:space="0" w:color="auto"/>
                <w:bottom w:val="none" w:sz="0" w:space="0" w:color="auto"/>
                <w:right w:val="none" w:sz="0" w:space="0" w:color="auto"/>
              </w:divBdr>
              <w:divsChild>
                <w:div w:id="1232350894">
                  <w:marLeft w:val="0"/>
                  <w:marRight w:val="0"/>
                  <w:marTop w:val="0"/>
                  <w:marBottom w:val="0"/>
                  <w:divBdr>
                    <w:top w:val="none" w:sz="0" w:space="0" w:color="auto"/>
                    <w:left w:val="none" w:sz="0" w:space="0" w:color="auto"/>
                    <w:bottom w:val="none" w:sz="0" w:space="0" w:color="auto"/>
                    <w:right w:val="none" w:sz="0" w:space="0" w:color="auto"/>
                  </w:divBdr>
                  <w:divsChild>
                    <w:div w:id="1442725057">
                      <w:marLeft w:val="0"/>
                      <w:marRight w:val="0"/>
                      <w:marTop w:val="0"/>
                      <w:marBottom w:val="0"/>
                      <w:divBdr>
                        <w:top w:val="none" w:sz="0" w:space="0" w:color="auto"/>
                        <w:left w:val="none" w:sz="0" w:space="0" w:color="auto"/>
                        <w:bottom w:val="none" w:sz="0" w:space="0" w:color="auto"/>
                        <w:right w:val="none" w:sz="0" w:space="0" w:color="auto"/>
                      </w:divBdr>
                      <w:divsChild>
                        <w:div w:id="1771925297">
                          <w:marLeft w:val="0"/>
                          <w:marRight w:val="0"/>
                          <w:marTop w:val="0"/>
                          <w:marBottom w:val="0"/>
                          <w:divBdr>
                            <w:top w:val="none" w:sz="0" w:space="0" w:color="auto"/>
                            <w:left w:val="none" w:sz="0" w:space="0" w:color="auto"/>
                            <w:bottom w:val="none" w:sz="0" w:space="0" w:color="auto"/>
                            <w:right w:val="none" w:sz="0" w:space="0" w:color="auto"/>
                          </w:divBdr>
                          <w:divsChild>
                            <w:div w:id="1070006658">
                              <w:marLeft w:val="0"/>
                              <w:marRight w:val="0"/>
                              <w:marTop w:val="0"/>
                              <w:marBottom w:val="0"/>
                              <w:divBdr>
                                <w:top w:val="none" w:sz="0" w:space="0" w:color="auto"/>
                                <w:left w:val="none" w:sz="0" w:space="0" w:color="auto"/>
                                <w:bottom w:val="none" w:sz="0" w:space="0" w:color="auto"/>
                                <w:right w:val="none" w:sz="0" w:space="0" w:color="auto"/>
                              </w:divBdr>
                              <w:divsChild>
                                <w:div w:id="20283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765138">
                  <w:marLeft w:val="0"/>
                  <w:marRight w:val="0"/>
                  <w:marTop w:val="0"/>
                  <w:marBottom w:val="0"/>
                  <w:divBdr>
                    <w:top w:val="none" w:sz="0" w:space="0" w:color="auto"/>
                    <w:left w:val="none" w:sz="0" w:space="0" w:color="auto"/>
                    <w:bottom w:val="none" w:sz="0" w:space="0" w:color="auto"/>
                    <w:right w:val="none" w:sz="0" w:space="0" w:color="auto"/>
                  </w:divBdr>
                  <w:divsChild>
                    <w:div w:id="1371959330">
                      <w:marLeft w:val="0"/>
                      <w:marRight w:val="0"/>
                      <w:marTop w:val="0"/>
                      <w:marBottom w:val="0"/>
                      <w:divBdr>
                        <w:top w:val="none" w:sz="0" w:space="0" w:color="auto"/>
                        <w:left w:val="none" w:sz="0" w:space="0" w:color="auto"/>
                        <w:bottom w:val="none" w:sz="0" w:space="0" w:color="auto"/>
                        <w:right w:val="none" w:sz="0" w:space="0" w:color="auto"/>
                      </w:divBdr>
                      <w:divsChild>
                        <w:div w:id="468205298">
                          <w:marLeft w:val="0"/>
                          <w:marRight w:val="0"/>
                          <w:marTop w:val="0"/>
                          <w:marBottom w:val="0"/>
                          <w:divBdr>
                            <w:top w:val="none" w:sz="0" w:space="0" w:color="auto"/>
                            <w:left w:val="none" w:sz="0" w:space="0" w:color="auto"/>
                            <w:bottom w:val="none" w:sz="0" w:space="0" w:color="auto"/>
                            <w:right w:val="none" w:sz="0" w:space="0" w:color="auto"/>
                          </w:divBdr>
                          <w:divsChild>
                            <w:div w:id="6519971">
                              <w:marLeft w:val="0"/>
                              <w:marRight w:val="0"/>
                              <w:marTop w:val="0"/>
                              <w:marBottom w:val="0"/>
                              <w:divBdr>
                                <w:top w:val="none" w:sz="0" w:space="0" w:color="auto"/>
                                <w:left w:val="none" w:sz="0" w:space="0" w:color="auto"/>
                                <w:bottom w:val="none" w:sz="0" w:space="0" w:color="auto"/>
                                <w:right w:val="none" w:sz="0" w:space="0" w:color="auto"/>
                              </w:divBdr>
                              <w:divsChild>
                                <w:div w:id="244919569">
                                  <w:marLeft w:val="0"/>
                                  <w:marRight w:val="0"/>
                                  <w:marTop w:val="0"/>
                                  <w:marBottom w:val="0"/>
                                  <w:divBdr>
                                    <w:top w:val="none" w:sz="0" w:space="0" w:color="auto"/>
                                    <w:left w:val="none" w:sz="0" w:space="0" w:color="auto"/>
                                    <w:bottom w:val="none" w:sz="0" w:space="0" w:color="auto"/>
                                    <w:right w:val="none" w:sz="0" w:space="0" w:color="auto"/>
                                  </w:divBdr>
                                  <w:divsChild>
                                    <w:div w:id="17211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933772">
      <w:bodyDiv w:val="1"/>
      <w:marLeft w:val="0"/>
      <w:marRight w:val="0"/>
      <w:marTop w:val="0"/>
      <w:marBottom w:val="0"/>
      <w:divBdr>
        <w:top w:val="none" w:sz="0" w:space="0" w:color="auto"/>
        <w:left w:val="none" w:sz="0" w:space="0" w:color="auto"/>
        <w:bottom w:val="none" w:sz="0" w:space="0" w:color="auto"/>
        <w:right w:val="none" w:sz="0" w:space="0" w:color="auto"/>
      </w:divBdr>
    </w:div>
    <w:div w:id="766265455">
      <w:bodyDiv w:val="1"/>
      <w:marLeft w:val="0"/>
      <w:marRight w:val="0"/>
      <w:marTop w:val="0"/>
      <w:marBottom w:val="0"/>
      <w:divBdr>
        <w:top w:val="none" w:sz="0" w:space="0" w:color="auto"/>
        <w:left w:val="none" w:sz="0" w:space="0" w:color="auto"/>
        <w:bottom w:val="none" w:sz="0" w:space="0" w:color="auto"/>
        <w:right w:val="none" w:sz="0" w:space="0" w:color="auto"/>
      </w:divBdr>
    </w:div>
    <w:div w:id="790123757">
      <w:bodyDiv w:val="1"/>
      <w:marLeft w:val="0"/>
      <w:marRight w:val="0"/>
      <w:marTop w:val="0"/>
      <w:marBottom w:val="0"/>
      <w:divBdr>
        <w:top w:val="none" w:sz="0" w:space="0" w:color="auto"/>
        <w:left w:val="none" w:sz="0" w:space="0" w:color="auto"/>
        <w:bottom w:val="none" w:sz="0" w:space="0" w:color="auto"/>
        <w:right w:val="none" w:sz="0" w:space="0" w:color="auto"/>
      </w:divBdr>
    </w:div>
    <w:div w:id="922640615">
      <w:bodyDiv w:val="1"/>
      <w:marLeft w:val="0"/>
      <w:marRight w:val="0"/>
      <w:marTop w:val="0"/>
      <w:marBottom w:val="0"/>
      <w:divBdr>
        <w:top w:val="none" w:sz="0" w:space="0" w:color="auto"/>
        <w:left w:val="none" w:sz="0" w:space="0" w:color="auto"/>
        <w:bottom w:val="none" w:sz="0" w:space="0" w:color="auto"/>
        <w:right w:val="none" w:sz="0" w:space="0" w:color="auto"/>
      </w:divBdr>
    </w:div>
    <w:div w:id="1037436609">
      <w:bodyDiv w:val="1"/>
      <w:marLeft w:val="0"/>
      <w:marRight w:val="0"/>
      <w:marTop w:val="0"/>
      <w:marBottom w:val="0"/>
      <w:divBdr>
        <w:top w:val="none" w:sz="0" w:space="0" w:color="auto"/>
        <w:left w:val="none" w:sz="0" w:space="0" w:color="auto"/>
        <w:bottom w:val="none" w:sz="0" w:space="0" w:color="auto"/>
        <w:right w:val="none" w:sz="0" w:space="0" w:color="auto"/>
      </w:divBdr>
    </w:div>
    <w:div w:id="1096056647">
      <w:bodyDiv w:val="1"/>
      <w:marLeft w:val="0"/>
      <w:marRight w:val="0"/>
      <w:marTop w:val="0"/>
      <w:marBottom w:val="0"/>
      <w:divBdr>
        <w:top w:val="none" w:sz="0" w:space="0" w:color="auto"/>
        <w:left w:val="none" w:sz="0" w:space="0" w:color="auto"/>
        <w:bottom w:val="none" w:sz="0" w:space="0" w:color="auto"/>
        <w:right w:val="none" w:sz="0" w:space="0" w:color="auto"/>
      </w:divBdr>
    </w:div>
    <w:div w:id="1152408442">
      <w:bodyDiv w:val="1"/>
      <w:marLeft w:val="0"/>
      <w:marRight w:val="0"/>
      <w:marTop w:val="0"/>
      <w:marBottom w:val="0"/>
      <w:divBdr>
        <w:top w:val="none" w:sz="0" w:space="0" w:color="auto"/>
        <w:left w:val="none" w:sz="0" w:space="0" w:color="auto"/>
        <w:bottom w:val="none" w:sz="0" w:space="0" w:color="auto"/>
        <w:right w:val="none" w:sz="0" w:space="0" w:color="auto"/>
      </w:divBdr>
    </w:div>
    <w:div w:id="1187986292">
      <w:bodyDiv w:val="1"/>
      <w:marLeft w:val="0"/>
      <w:marRight w:val="0"/>
      <w:marTop w:val="0"/>
      <w:marBottom w:val="0"/>
      <w:divBdr>
        <w:top w:val="none" w:sz="0" w:space="0" w:color="auto"/>
        <w:left w:val="none" w:sz="0" w:space="0" w:color="auto"/>
        <w:bottom w:val="none" w:sz="0" w:space="0" w:color="auto"/>
        <w:right w:val="none" w:sz="0" w:space="0" w:color="auto"/>
      </w:divBdr>
    </w:div>
    <w:div w:id="1194685273">
      <w:bodyDiv w:val="1"/>
      <w:marLeft w:val="0"/>
      <w:marRight w:val="0"/>
      <w:marTop w:val="0"/>
      <w:marBottom w:val="0"/>
      <w:divBdr>
        <w:top w:val="none" w:sz="0" w:space="0" w:color="auto"/>
        <w:left w:val="none" w:sz="0" w:space="0" w:color="auto"/>
        <w:bottom w:val="none" w:sz="0" w:space="0" w:color="auto"/>
        <w:right w:val="none" w:sz="0" w:space="0" w:color="auto"/>
      </w:divBdr>
    </w:div>
    <w:div w:id="1314139642">
      <w:bodyDiv w:val="1"/>
      <w:marLeft w:val="0"/>
      <w:marRight w:val="0"/>
      <w:marTop w:val="0"/>
      <w:marBottom w:val="0"/>
      <w:divBdr>
        <w:top w:val="none" w:sz="0" w:space="0" w:color="auto"/>
        <w:left w:val="none" w:sz="0" w:space="0" w:color="auto"/>
        <w:bottom w:val="none" w:sz="0" w:space="0" w:color="auto"/>
        <w:right w:val="none" w:sz="0" w:space="0" w:color="auto"/>
      </w:divBdr>
    </w:div>
    <w:div w:id="1444570419">
      <w:bodyDiv w:val="1"/>
      <w:marLeft w:val="0"/>
      <w:marRight w:val="0"/>
      <w:marTop w:val="0"/>
      <w:marBottom w:val="0"/>
      <w:divBdr>
        <w:top w:val="none" w:sz="0" w:space="0" w:color="auto"/>
        <w:left w:val="none" w:sz="0" w:space="0" w:color="auto"/>
        <w:bottom w:val="none" w:sz="0" w:space="0" w:color="auto"/>
        <w:right w:val="none" w:sz="0" w:space="0" w:color="auto"/>
      </w:divBdr>
    </w:div>
    <w:div w:id="1472669253">
      <w:bodyDiv w:val="1"/>
      <w:marLeft w:val="0"/>
      <w:marRight w:val="0"/>
      <w:marTop w:val="0"/>
      <w:marBottom w:val="0"/>
      <w:divBdr>
        <w:top w:val="none" w:sz="0" w:space="0" w:color="auto"/>
        <w:left w:val="none" w:sz="0" w:space="0" w:color="auto"/>
        <w:bottom w:val="none" w:sz="0" w:space="0" w:color="auto"/>
        <w:right w:val="none" w:sz="0" w:space="0" w:color="auto"/>
      </w:divBdr>
    </w:div>
    <w:div w:id="1474712643">
      <w:bodyDiv w:val="1"/>
      <w:marLeft w:val="0"/>
      <w:marRight w:val="0"/>
      <w:marTop w:val="0"/>
      <w:marBottom w:val="0"/>
      <w:divBdr>
        <w:top w:val="none" w:sz="0" w:space="0" w:color="auto"/>
        <w:left w:val="none" w:sz="0" w:space="0" w:color="auto"/>
        <w:bottom w:val="none" w:sz="0" w:space="0" w:color="auto"/>
        <w:right w:val="none" w:sz="0" w:space="0" w:color="auto"/>
      </w:divBdr>
    </w:div>
    <w:div w:id="1563717307">
      <w:bodyDiv w:val="1"/>
      <w:marLeft w:val="0"/>
      <w:marRight w:val="0"/>
      <w:marTop w:val="0"/>
      <w:marBottom w:val="0"/>
      <w:divBdr>
        <w:top w:val="none" w:sz="0" w:space="0" w:color="auto"/>
        <w:left w:val="none" w:sz="0" w:space="0" w:color="auto"/>
        <w:bottom w:val="none" w:sz="0" w:space="0" w:color="auto"/>
        <w:right w:val="none" w:sz="0" w:space="0" w:color="auto"/>
      </w:divBdr>
    </w:div>
    <w:div w:id="1596474006">
      <w:bodyDiv w:val="1"/>
      <w:marLeft w:val="0"/>
      <w:marRight w:val="0"/>
      <w:marTop w:val="0"/>
      <w:marBottom w:val="0"/>
      <w:divBdr>
        <w:top w:val="none" w:sz="0" w:space="0" w:color="auto"/>
        <w:left w:val="none" w:sz="0" w:space="0" w:color="auto"/>
        <w:bottom w:val="none" w:sz="0" w:space="0" w:color="auto"/>
        <w:right w:val="none" w:sz="0" w:space="0" w:color="auto"/>
      </w:divBdr>
    </w:div>
    <w:div w:id="1718779677">
      <w:bodyDiv w:val="1"/>
      <w:marLeft w:val="0"/>
      <w:marRight w:val="0"/>
      <w:marTop w:val="0"/>
      <w:marBottom w:val="0"/>
      <w:divBdr>
        <w:top w:val="none" w:sz="0" w:space="0" w:color="auto"/>
        <w:left w:val="none" w:sz="0" w:space="0" w:color="auto"/>
        <w:bottom w:val="none" w:sz="0" w:space="0" w:color="auto"/>
        <w:right w:val="none" w:sz="0" w:space="0" w:color="auto"/>
      </w:divBdr>
    </w:div>
    <w:div w:id="1784226396">
      <w:bodyDiv w:val="1"/>
      <w:marLeft w:val="0"/>
      <w:marRight w:val="0"/>
      <w:marTop w:val="0"/>
      <w:marBottom w:val="0"/>
      <w:divBdr>
        <w:top w:val="none" w:sz="0" w:space="0" w:color="auto"/>
        <w:left w:val="none" w:sz="0" w:space="0" w:color="auto"/>
        <w:bottom w:val="none" w:sz="0" w:space="0" w:color="auto"/>
        <w:right w:val="none" w:sz="0" w:space="0" w:color="auto"/>
      </w:divBdr>
    </w:div>
    <w:div w:id="1803114880">
      <w:bodyDiv w:val="1"/>
      <w:marLeft w:val="0"/>
      <w:marRight w:val="0"/>
      <w:marTop w:val="0"/>
      <w:marBottom w:val="0"/>
      <w:divBdr>
        <w:top w:val="none" w:sz="0" w:space="0" w:color="auto"/>
        <w:left w:val="none" w:sz="0" w:space="0" w:color="auto"/>
        <w:bottom w:val="none" w:sz="0" w:space="0" w:color="auto"/>
        <w:right w:val="none" w:sz="0" w:space="0" w:color="auto"/>
      </w:divBdr>
    </w:div>
    <w:div w:id="1864782285">
      <w:bodyDiv w:val="1"/>
      <w:marLeft w:val="0"/>
      <w:marRight w:val="0"/>
      <w:marTop w:val="0"/>
      <w:marBottom w:val="0"/>
      <w:divBdr>
        <w:top w:val="none" w:sz="0" w:space="0" w:color="auto"/>
        <w:left w:val="none" w:sz="0" w:space="0" w:color="auto"/>
        <w:bottom w:val="none" w:sz="0" w:space="0" w:color="auto"/>
        <w:right w:val="none" w:sz="0" w:space="0" w:color="auto"/>
      </w:divBdr>
    </w:div>
    <w:div w:id="1889489824">
      <w:bodyDiv w:val="1"/>
      <w:marLeft w:val="0"/>
      <w:marRight w:val="0"/>
      <w:marTop w:val="0"/>
      <w:marBottom w:val="0"/>
      <w:divBdr>
        <w:top w:val="none" w:sz="0" w:space="0" w:color="auto"/>
        <w:left w:val="none" w:sz="0" w:space="0" w:color="auto"/>
        <w:bottom w:val="none" w:sz="0" w:space="0" w:color="auto"/>
        <w:right w:val="none" w:sz="0" w:space="0" w:color="auto"/>
      </w:divBdr>
    </w:div>
    <w:div w:id="1958221682">
      <w:bodyDiv w:val="1"/>
      <w:marLeft w:val="0"/>
      <w:marRight w:val="0"/>
      <w:marTop w:val="0"/>
      <w:marBottom w:val="0"/>
      <w:divBdr>
        <w:top w:val="none" w:sz="0" w:space="0" w:color="auto"/>
        <w:left w:val="none" w:sz="0" w:space="0" w:color="auto"/>
        <w:bottom w:val="none" w:sz="0" w:space="0" w:color="auto"/>
        <w:right w:val="none" w:sz="0" w:space="0" w:color="auto"/>
      </w:divBdr>
    </w:div>
    <w:div w:id="1959335138">
      <w:bodyDiv w:val="1"/>
      <w:marLeft w:val="0"/>
      <w:marRight w:val="0"/>
      <w:marTop w:val="0"/>
      <w:marBottom w:val="0"/>
      <w:divBdr>
        <w:top w:val="none" w:sz="0" w:space="0" w:color="auto"/>
        <w:left w:val="none" w:sz="0" w:space="0" w:color="auto"/>
        <w:bottom w:val="none" w:sz="0" w:space="0" w:color="auto"/>
        <w:right w:val="none" w:sz="0" w:space="0" w:color="auto"/>
      </w:divBdr>
    </w:div>
    <w:div w:id="2037344979">
      <w:bodyDiv w:val="1"/>
      <w:marLeft w:val="0"/>
      <w:marRight w:val="0"/>
      <w:marTop w:val="0"/>
      <w:marBottom w:val="0"/>
      <w:divBdr>
        <w:top w:val="none" w:sz="0" w:space="0" w:color="auto"/>
        <w:left w:val="none" w:sz="0" w:space="0" w:color="auto"/>
        <w:bottom w:val="none" w:sz="0" w:space="0" w:color="auto"/>
        <w:right w:val="none" w:sz="0" w:space="0" w:color="auto"/>
      </w:divBdr>
    </w:div>
    <w:div w:id="2045135546">
      <w:bodyDiv w:val="1"/>
      <w:marLeft w:val="0"/>
      <w:marRight w:val="0"/>
      <w:marTop w:val="0"/>
      <w:marBottom w:val="0"/>
      <w:divBdr>
        <w:top w:val="none" w:sz="0" w:space="0" w:color="auto"/>
        <w:left w:val="none" w:sz="0" w:space="0" w:color="auto"/>
        <w:bottom w:val="none" w:sz="0" w:space="0" w:color="auto"/>
        <w:right w:val="none" w:sz="0" w:space="0" w:color="auto"/>
      </w:divBdr>
    </w:div>
    <w:div w:id="205962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doi.org/10.1039/C0PP90034F" TargetMode="External"/><Relationship Id="rId21" Type="http://schemas.openxmlformats.org/officeDocument/2006/relationships/chart" Target="charts/chart11.xml"/><Relationship Id="rId34" Type="http://schemas.openxmlformats.org/officeDocument/2006/relationships/hyperlink" Target="https://nationalpopulation.gov.ng/" TargetMode="External"/><Relationship Id="rId42" Type="http://schemas.openxmlformats.org/officeDocument/2006/relationships/hyperlink" Target="https://doi.org/10.21203/rs.3.rs-1234567/v1" TargetMode="External"/><Relationship Id="rId47" Type="http://schemas.openxmlformats.org/officeDocument/2006/relationships/hyperlink" Target="https://doi.org/10.1175/JCLI-D-12-00225.1" TargetMode="External"/><Relationship Id="rId50" Type="http://schemas.openxmlformats.org/officeDocument/2006/relationships/hyperlink" Target="https://doi.org/10.3389/fonc.2022.866733" TargetMode="External"/><Relationship Id="rId55" Type="http://schemas.openxmlformats.org/officeDocument/2006/relationships/hyperlink" Target="https://doi.org/10.1175/JCLI-D-21-0165.1"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https://nationalpopulation.gov.ng/" TargetMode="Externa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hyperlink" Target="https://doi.org/10.1093/biomet/10.4.5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www.globalforestwatch.org" TargetMode="External"/><Relationship Id="rId37" Type="http://schemas.openxmlformats.org/officeDocument/2006/relationships/hyperlink" Target="https://doi.org/10.1038/s41558-019-0643-0" TargetMode="External"/><Relationship Id="rId40" Type="http://schemas.openxmlformats.org/officeDocument/2006/relationships/hyperlink" Target="https://doi.org/10.1038/s41598-021-00555-5" TargetMode="External"/><Relationship Id="rId45" Type="http://schemas.openxmlformats.org/officeDocument/2006/relationships/hyperlink" Target="https://doi.org/10.1016/j.wace.2014.10.002" TargetMode="External"/><Relationship Id="rId53" Type="http://schemas.openxmlformats.org/officeDocument/2006/relationships/hyperlink" Target="https://doi.org/10.1175/BAMS-D-11-00074.1" TargetMode="External"/><Relationship Id="rId58" Type="http://schemas.openxmlformats.org/officeDocument/2006/relationships/hyperlink" Target="https://doi.org/10.3141/2058-20"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s://doi.org/10.3390/en17133156" TargetMode="External"/><Relationship Id="rId36" Type="http://schemas.openxmlformats.org/officeDocument/2006/relationships/hyperlink" Target="http://www.iea.org/reports/global-energy-review-2021" TargetMode="External"/><Relationship Id="rId49" Type="http://schemas.openxmlformats.org/officeDocument/2006/relationships/hyperlink" Target="https://www.epa.gov/sunsafety/learn-about-uv-index" TargetMode="External"/><Relationship Id="rId57" Type="http://schemas.openxmlformats.org/officeDocument/2006/relationships/hyperlink" Target="https://doi.org/10.1016/j.buildenv.2011.11.012" TargetMode="External"/><Relationship Id="rId61"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hyperlink" Target="https://doi.org/10.1007/s10661-023-11922-2" TargetMode="External"/><Relationship Id="rId44" Type="http://schemas.openxmlformats.org/officeDocument/2006/relationships/hyperlink" Target="http://www.nimet.gov.ng/reports/temperature-trends-2023" TargetMode="External"/><Relationship Id="rId52" Type="http://schemas.openxmlformats.org/officeDocument/2006/relationships/hyperlink" Target="https://doi.org/10.1038/ngeo979" TargetMode="External"/><Relationship Id="rId60" Type="http://schemas.openxmlformats.org/officeDocument/2006/relationships/hyperlink" Target="https://doi.org/10.3155/1047-3289.57.8.1024"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www.britannica.com/place/Onitsha-Nigeria" TargetMode="External"/><Relationship Id="rId30" Type="http://schemas.openxmlformats.org/officeDocument/2006/relationships/hyperlink" Target="http://www.fao.org/3/i6340e/i6340e.pdf" TargetMode="External"/><Relationship Id="rId35" Type="http://schemas.openxmlformats.org/officeDocument/2006/relationships/hyperlink" Target="http://www.visualcrossing.com/weather/weather" TargetMode="External"/><Relationship Id="rId43" Type="http://schemas.openxmlformats.org/officeDocument/2006/relationships/hyperlink" Target="http://www.worldbank.org" TargetMode="External"/><Relationship Id="rId48" Type="http://schemas.openxmlformats.org/officeDocument/2006/relationships/hyperlink" Target="https://doi.org/10.5194/essd-12-1561-2020" TargetMode="External"/><Relationship Id="rId56" Type="http://schemas.openxmlformats.org/officeDocument/2006/relationships/hyperlink" Target="https://www.globalforestwatch.org/country/NGA/4/17/?category=climate"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un.org/development/desa/pd/world-population-prospects-2022"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doi.org/10.5194/essd-13-2941-2021" TargetMode="External"/><Relationship Id="rId38" Type="http://schemas.openxmlformats.org/officeDocument/2006/relationships/hyperlink" Target="https://www.macrotrends.net/cities/22013/onitsha/population" TargetMode="External"/><Relationship Id="rId46" Type="http://schemas.openxmlformats.org/officeDocument/2006/relationships/hyperlink" Target="https://doi.org/10.1038/20859" TargetMode="External"/><Relationship Id="rId59" Type="http://schemas.openxmlformats.org/officeDocument/2006/relationships/hyperlink" Target="https://doi.org/10.1016/j.enpol.2014.12.048" TargetMode="External"/><Relationship Id="rId67" Type="http://schemas.openxmlformats.org/officeDocument/2006/relationships/header" Target="header3.xml"/><Relationship Id="rId20" Type="http://schemas.openxmlformats.org/officeDocument/2006/relationships/chart" Target="charts/chart10.xml"/><Relationship Id="rId41" Type="http://schemas.openxmlformats.org/officeDocument/2006/relationships/hyperlink" Target="https://doi.org/10.5194/acp-15-8889-2015" TargetMode="External"/><Relationship Id="rId54" Type="http://schemas.openxmlformats.org/officeDocument/2006/relationships/hyperlink" Target="https://www.wmo.int/nigeria/onitsha-nnewi-temperature-rise" TargetMode="External"/><Relationship Id="rId62" Type="http://schemas.openxmlformats.org/officeDocument/2006/relationships/image" Target="media/image5.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ocuments\PG%20files\PG%20student\Ndidiamaka\Data%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2309216842403"/>
          <c:y val="7.1724628171478552E-2"/>
          <c:w val="0.83293950893500945"/>
          <c:h val="0.7667580327969209"/>
        </c:manualLayout>
      </c:layout>
      <c:scatterChart>
        <c:scatterStyle val="lineMarker"/>
        <c:varyColors val="0"/>
        <c:ser>
          <c:idx val="0"/>
          <c:order val="0"/>
          <c:tx>
            <c:strRef>
              <c:f>Sheet1!$B$6</c:f>
              <c:strCache>
                <c:ptCount val="1"/>
                <c:pt idx="0">
                  <c:v>Onitsha</c:v>
                </c:pt>
              </c:strCache>
            </c:strRef>
          </c:tx>
          <c:spPr>
            <a:ln w="19050" cap="rnd">
              <a:noFill/>
              <a:round/>
            </a:ln>
            <a:effectLst/>
          </c:spPr>
          <c:marker>
            <c:symbol val="circle"/>
            <c:size val="12"/>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5.7973192911325647E-2"/>
                  <c:y val="-0.33366256402415717"/>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-0.06x + 5.61</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Sheet1!$A$7:$A$21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Sheet1!$B$7:$B$21</c:f>
              <c:numCache>
                <c:formatCode>0.0</c:formatCode>
                <c:ptCount val="15"/>
                <c:pt idx="0">
                  <c:v>4.95</c:v>
                </c:pt>
                <c:pt idx="1">
                  <c:v>4.95</c:v>
                </c:pt>
                <c:pt idx="2">
                  <c:v>5.04</c:v>
                </c:pt>
                <c:pt idx="3">
                  <c:v>5.01</c:v>
                </c:pt>
                <c:pt idx="4">
                  <c:v>5.07</c:v>
                </c:pt>
                <c:pt idx="5">
                  <c:v>4.92</c:v>
                </c:pt>
                <c:pt idx="6">
                  <c:v>5.05</c:v>
                </c:pt>
                <c:pt idx="7">
                  <c:v>4.9800000000000004</c:v>
                </c:pt>
                <c:pt idx="8">
                  <c:v>5.07</c:v>
                </c:pt>
                <c:pt idx="9">
                  <c:v>4.9800000000000004</c:v>
                </c:pt>
                <c:pt idx="10">
                  <c:v>4.8899999999999997</c:v>
                </c:pt>
                <c:pt idx="11">
                  <c:v>4.8099999999999996</c:v>
                </c:pt>
                <c:pt idx="12">
                  <c:v>4.72</c:v>
                </c:pt>
                <c:pt idx="13">
                  <c:v>4.51</c:v>
                </c:pt>
                <c:pt idx="14">
                  <c:v>4.4400000000000004</c:v>
                </c:pt>
              </c:numCache>
            </c:numRef>
          </c:yVal>
          <c:smooth val="0"/>
          <c:extLst>
            <c:ext xmlns:c16="http://schemas.microsoft.com/office/drawing/2014/chart" uri="{C3380CC4-5D6E-409C-BE32-E72D297353CC}">
              <c16:uniqueId val="{00000001-07F0-4699-8666-75F9BDB0FE85}"/>
            </c:ext>
          </c:extLst>
        </c:ser>
        <c:ser>
          <c:idx val="1"/>
          <c:order val="1"/>
          <c:tx>
            <c:v>Nnewi</c:v>
          </c:tx>
          <c:spPr>
            <a:ln w="25400" cap="rnd">
              <a:noFill/>
              <a:round/>
            </a:ln>
            <a:effectLst/>
          </c:spPr>
          <c:marker>
            <c:symbol val="triangle"/>
            <c:size val="12"/>
            <c:spPr>
              <a:solidFill>
                <a:schemeClr val="tx1"/>
              </a:solidFill>
              <a:ln w="9525">
                <a:solidFill>
                  <a:schemeClr val="tx1"/>
                </a:solidFill>
              </a:ln>
              <a:effectLst/>
            </c:spPr>
          </c:marker>
          <c:trendline>
            <c:spPr>
              <a:ln w="57150" cap="rnd">
                <a:solidFill>
                  <a:schemeClr val="tx1"/>
                </a:solidFill>
                <a:prstDash val="sysDot"/>
              </a:ln>
              <a:effectLst/>
            </c:spPr>
            <c:trendlineType val="linear"/>
            <c:dispRSqr val="0"/>
            <c:dispEq val="1"/>
            <c:trendlineLbl>
              <c:layout>
                <c:manualLayout>
                  <c:x val="0.27492931515428698"/>
                  <c:y val="-0.2374667244264369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-0.17x + 7.76</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Sheet1!$C$7:$C$21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Sheet1!$D$7:$D$21</c:f>
              <c:numCache>
                <c:formatCode>0.0</c:formatCode>
                <c:ptCount val="15"/>
                <c:pt idx="0">
                  <c:v>6.4399999999999995</c:v>
                </c:pt>
                <c:pt idx="1">
                  <c:v>6.58</c:v>
                </c:pt>
                <c:pt idx="2">
                  <c:v>6.5100000000000007</c:v>
                </c:pt>
                <c:pt idx="3">
                  <c:v>6.43</c:v>
                </c:pt>
                <c:pt idx="4">
                  <c:v>6.4799999999999995</c:v>
                </c:pt>
                <c:pt idx="5">
                  <c:v>6.5</c:v>
                </c:pt>
                <c:pt idx="6">
                  <c:v>6.49</c:v>
                </c:pt>
                <c:pt idx="7">
                  <c:v>6.4600000000000009</c:v>
                </c:pt>
                <c:pt idx="8">
                  <c:v>6.5299999999999994</c:v>
                </c:pt>
                <c:pt idx="9">
                  <c:v>6.34</c:v>
                </c:pt>
                <c:pt idx="10">
                  <c:v>6.2700000000000005</c:v>
                </c:pt>
                <c:pt idx="11">
                  <c:v>5.99</c:v>
                </c:pt>
                <c:pt idx="12">
                  <c:v>5.66</c:v>
                </c:pt>
                <c:pt idx="13">
                  <c:v>5.27</c:v>
                </c:pt>
                <c:pt idx="14">
                  <c:v>5</c:v>
                </c:pt>
              </c:numCache>
            </c:numRef>
          </c:yVal>
          <c:smooth val="0"/>
          <c:extLst>
            <c:ext xmlns:c16="http://schemas.microsoft.com/office/drawing/2014/chart" uri="{C3380CC4-5D6E-409C-BE32-E72D297353CC}">
              <c16:uniqueId val="{00000003-07F0-4699-8666-75F9BDB0FE85}"/>
            </c:ext>
          </c:extLst>
        </c:ser>
        <c:dLbls>
          <c:showLegendKey val="0"/>
          <c:showVal val="0"/>
          <c:showCatName val="0"/>
          <c:showSerName val="0"/>
          <c:showPercent val="0"/>
          <c:showBubbleSize val="0"/>
        </c:dLbls>
        <c:axId val="337994520"/>
        <c:axId val="337996320"/>
      </c:scatterChart>
      <c:valAx>
        <c:axId val="337994520"/>
        <c:scaling>
          <c:orientation val="minMax"/>
          <c:min val="4"/>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Population x 10</a:t>
                </a:r>
                <a:r>
                  <a:rPr lang="en-US" sz="1400" b="1" baseline="30000">
                    <a:latin typeface="Times New Roman" panose="02020603050405020304" pitchFamily="18" charset="0"/>
                    <a:cs typeface="Times New Roman" panose="02020603050405020304" pitchFamily="18" charset="0"/>
                  </a:rPr>
                  <a:t>5</a:t>
                </a:r>
              </a:p>
            </c:rich>
          </c:tx>
          <c:layout>
            <c:manualLayout>
              <c:xMode val="edge"/>
              <c:yMode val="edge"/>
              <c:x val="0.43161871592973955"/>
              <c:y val="0.9169988445321887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7996320"/>
        <c:crosses val="autoZero"/>
        <c:crossBetween val="midCat"/>
      </c:valAx>
      <c:valAx>
        <c:axId val="337996320"/>
        <c:scaling>
          <c:orientation val="minMax"/>
          <c:min val="4"/>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 Change in Population per Year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7994520"/>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54682162325863115"/>
          <c:y val="2.7210884353741496E-2"/>
          <c:w val="0.29097213809812233"/>
          <c:h val="8.299289119472311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3308908153043"/>
          <c:y val="5.3300291778248549E-2"/>
          <c:w val="0.85326163093966578"/>
          <c:h val="0.74802259092613421"/>
        </c:manualLayout>
      </c:layout>
      <c:scatterChart>
        <c:scatterStyle val="lineMarker"/>
        <c:varyColors val="0"/>
        <c:ser>
          <c:idx val="0"/>
          <c:order val="0"/>
          <c:tx>
            <c:strRef>
              <c:f>temp!$B$6</c:f>
              <c:strCache>
                <c:ptCount val="1"/>
                <c:pt idx="0">
                  <c:v>Onitsha</c:v>
                </c:pt>
              </c:strCache>
            </c:strRef>
          </c:tx>
          <c:spPr>
            <a:ln w="19050" cap="rnd">
              <a:noFill/>
              <a:round/>
            </a:ln>
            <a:effectLst/>
          </c:spPr>
          <c:marker>
            <c:symbol val="circle"/>
            <c:size val="9"/>
            <c:spPr>
              <a:solidFill>
                <a:sysClr val="windowText" lastClr="000000"/>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53104382456924748"/>
                  <c:y val="0.1580038432695913"/>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-0.42x + 33.61</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temp!$A$7:$A$21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temp!$B$7:$B$21</c:f>
              <c:numCache>
                <c:formatCode>0.0</c:formatCode>
                <c:ptCount val="15"/>
                <c:pt idx="0">
                  <c:v>23.436073775388294</c:v>
                </c:pt>
                <c:pt idx="1">
                  <c:v>22.799953774819368</c:v>
                </c:pt>
                <c:pt idx="2">
                  <c:v>22.919485985800407</c:v>
                </c:pt>
                <c:pt idx="3">
                  <c:v>23.274880525686982</c:v>
                </c:pt>
                <c:pt idx="4">
                  <c:v>23.198070987654329</c:v>
                </c:pt>
                <c:pt idx="5">
                  <c:v>22.287863969960743</c:v>
                </c:pt>
                <c:pt idx="6">
                  <c:v>22.401028303052772</c:v>
                </c:pt>
                <c:pt idx="7">
                  <c:v>22.636330645161291</c:v>
                </c:pt>
                <c:pt idx="8">
                  <c:v>22.383231566820275</c:v>
                </c:pt>
                <c:pt idx="9">
                  <c:v>22.841848722762702</c:v>
                </c:pt>
                <c:pt idx="10">
                  <c:v>22.242008095414658</c:v>
                </c:pt>
                <c:pt idx="11">
                  <c:v>22.614389543152981</c:v>
                </c:pt>
                <c:pt idx="12">
                  <c:v>19.891034804005233</c:v>
                </c:pt>
                <c:pt idx="13">
                  <c:v>20.802469278033794</c:v>
                </c:pt>
                <c:pt idx="14">
                  <c:v>20.815908034206139</c:v>
                </c:pt>
              </c:numCache>
            </c:numRef>
          </c:yVal>
          <c:smooth val="0"/>
          <c:extLst>
            <c:ext xmlns:c16="http://schemas.microsoft.com/office/drawing/2014/chart" uri="{C3380CC4-5D6E-409C-BE32-E72D297353CC}">
              <c16:uniqueId val="{00000001-D51C-434F-B03F-A8E40B4EE78C}"/>
            </c:ext>
          </c:extLst>
        </c:ser>
        <c:ser>
          <c:idx val="1"/>
          <c:order val="1"/>
          <c:tx>
            <c:v>Nnewi</c:v>
          </c:tx>
          <c:spPr>
            <a:ln w="25400" cap="rnd">
              <a:noFill/>
              <a:round/>
            </a:ln>
            <a:effectLst/>
          </c:spPr>
          <c:marker>
            <c:symbol val="triangle"/>
            <c:size val="12"/>
            <c:spPr>
              <a:solidFill>
                <a:sysClr val="windowText" lastClr="000000"/>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28978000778293883"/>
                  <c:y val="3.458239595050619E-2"/>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-0.83x + 44.28</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temp!$C$7:$C$21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temp!$D$7:$D$21</c:f>
              <c:numCache>
                <c:formatCode>0.0</c:formatCode>
                <c:ptCount val="15"/>
                <c:pt idx="0">
                  <c:v>23.49181131592422</c:v>
                </c:pt>
                <c:pt idx="1">
                  <c:v>22.854887992831539</c:v>
                </c:pt>
                <c:pt idx="2">
                  <c:v>22.975378815968359</c:v>
                </c:pt>
                <c:pt idx="3">
                  <c:v>23.328727598566307</c:v>
                </c:pt>
                <c:pt idx="4">
                  <c:v>23.195234823917616</c:v>
                </c:pt>
                <c:pt idx="5">
                  <c:v>22.676432269443023</c:v>
                </c:pt>
                <c:pt idx="6">
                  <c:v>23.19487668053667</c:v>
                </c:pt>
                <c:pt idx="7">
                  <c:v>22.905875789383852</c:v>
                </c:pt>
                <c:pt idx="8">
                  <c:v>21.971300609215664</c:v>
                </c:pt>
                <c:pt idx="9">
                  <c:v>22.611048387096776</c:v>
                </c:pt>
                <c:pt idx="10">
                  <c:v>21.871601161784696</c:v>
                </c:pt>
                <c:pt idx="11">
                  <c:v>22.375304659498209</c:v>
                </c:pt>
                <c:pt idx="12">
                  <c:v>19.812373911930361</c:v>
                </c:pt>
                <c:pt idx="13">
                  <c:v>20.958004352278547</c:v>
                </c:pt>
                <c:pt idx="14">
                  <c:v>21.562451974857428</c:v>
                </c:pt>
              </c:numCache>
            </c:numRef>
          </c:yVal>
          <c:smooth val="0"/>
          <c:extLst>
            <c:ext xmlns:c16="http://schemas.microsoft.com/office/drawing/2014/chart" uri="{C3380CC4-5D6E-409C-BE32-E72D297353CC}">
              <c16:uniqueId val="{00000003-D51C-434F-B03F-A8E40B4EE78C}"/>
            </c:ext>
          </c:extLst>
        </c:ser>
        <c:dLbls>
          <c:showLegendKey val="0"/>
          <c:showVal val="0"/>
          <c:showCatName val="0"/>
          <c:showSerName val="0"/>
          <c:showPercent val="0"/>
          <c:showBubbleSize val="0"/>
        </c:dLbls>
        <c:axId val="727958904"/>
        <c:axId val="727965024"/>
      </c:scatterChart>
      <c:valAx>
        <c:axId val="727958904"/>
        <c:scaling>
          <c:orientation val="minMax"/>
          <c:max val="28.5"/>
          <c:min val="25.3"/>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 (</a:t>
                </a:r>
                <a:r>
                  <a:rPr lang="en-US" sz="1100" b="1" baseline="30000">
                    <a:latin typeface="Times New Roman" panose="02020603050405020304" pitchFamily="18" charset="0"/>
                    <a:cs typeface="Times New Roman" panose="02020603050405020304" pitchFamily="18" charset="0"/>
                  </a:rPr>
                  <a:t>o</a:t>
                </a:r>
                <a:r>
                  <a:rPr lang="en-US" sz="11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65024"/>
        <c:crosses val="autoZero"/>
        <c:crossBetween val="midCat"/>
      </c:valAx>
      <c:valAx>
        <c:axId val="72796502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DP (</a:t>
                </a:r>
                <a:r>
                  <a:rPr lang="en-US" sz="1100" b="1" baseline="30000">
                    <a:latin typeface="Times New Roman" panose="02020603050405020304" pitchFamily="18" charset="0"/>
                    <a:cs typeface="Times New Roman" panose="02020603050405020304" pitchFamily="18" charset="0"/>
                  </a:rPr>
                  <a:t>o</a:t>
                </a:r>
                <a:r>
                  <a:rPr lang="en-US" sz="1100" b="1">
                    <a:latin typeface="Times New Roman" panose="02020603050405020304" pitchFamily="18" charset="0"/>
                    <a:cs typeface="Times New Roman" panose="02020603050405020304" pitchFamily="18" charset="0"/>
                  </a:rPr>
                  <a:t>C)</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58904"/>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150807704062"/>
          <c:y val="3.6875546806649159E-2"/>
          <c:w val="0.85011892652174459"/>
          <c:h val="0.79084098862642171"/>
        </c:manualLayout>
      </c:layout>
      <c:scatterChart>
        <c:scatterStyle val="lineMarker"/>
        <c:varyColors val="0"/>
        <c:ser>
          <c:idx val="0"/>
          <c:order val="0"/>
          <c:tx>
            <c:strRef>
              <c:f>temp!$H$6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10073348486941525"/>
                  <c:y val="-0.3462784339457568"/>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-5.14x + 217.94</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temp!$G$7:$G$21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temp!$H$7:$H$21</c:f>
              <c:numCache>
                <c:formatCode>0</c:formatCode>
                <c:ptCount val="15"/>
                <c:pt idx="0">
                  <c:v>86.650915898617498</c:v>
                </c:pt>
                <c:pt idx="1">
                  <c:v>86.175575396825408</c:v>
                </c:pt>
                <c:pt idx="2">
                  <c:v>86.760103201087631</c:v>
                </c:pt>
                <c:pt idx="3">
                  <c:v>87.729667818740396</c:v>
                </c:pt>
                <c:pt idx="4">
                  <c:v>86.037005888376868</c:v>
                </c:pt>
                <c:pt idx="5">
                  <c:v>81.471112391193031</c:v>
                </c:pt>
                <c:pt idx="6">
                  <c:v>76.363663020640217</c:v>
                </c:pt>
                <c:pt idx="7">
                  <c:v>76.504389400921653</c:v>
                </c:pt>
                <c:pt idx="8">
                  <c:v>76.580556195596529</c:v>
                </c:pt>
                <c:pt idx="9">
                  <c:v>77.843563108038907</c:v>
                </c:pt>
                <c:pt idx="10">
                  <c:v>74.87808336423187</c:v>
                </c:pt>
                <c:pt idx="11">
                  <c:v>75.638231566820266</c:v>
                </c:pt>
                <c:pt idx="12">
                  <c:v>71.216888760880693</c:v>
                </c:pt>
                <c:pt idx="13">
                  <c:v>73.473879928315398</c:v>
                </c:pt>
                <c:pt idx="14" formatCode="0.0">
                  <c:v>69.514320144075427</c:v>
                </c:pt>
              </c:numCache>
            </c:numRef>
          </c:yVal>
          <c:smooth val="0"/>
          <c:extLst>
            <c:ext xmlns:c16="http://schemas.microsoft.com/office/drawing/2014/chart" uri="{C3380CC4-5D6E-409C-BE32-E72D297353CC}">
              <c16:uniqueId val="{00000001-ABCB-4D27-BA3B-BF22BAFD8346}"/>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29464491579700863"/>
                  <c:y val="-0.39809784193642461"/>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-6.47x + 252.32</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temp!$I$7:$I$21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temp!$J$7:$J$21</c:f>
              <c:numCache>
                <c:formatCode>0.0</c:formatCode>
                <c:ptCount val="15"/>
                <c:pt idx="0">
                  <c:v>86.650915898617498</c:v>
                </c:pt>
                <c:pt idx="1">
                  <c:v>86.172098694316446</c:v>
                </c:pt>
                <c:pt idx="2">
                  <c:v>86.758490297861826</c:v>
                </c:pt>
                <c:pt idx="3">
                  <c:v>87.729667818740396</c:v>
                </c:pt>
                <c:pt idx="4">
                  <c:v>85.630357142857136</c:v>
                </c:pt>
                <c:pt idx="5">
                  <c:v>84.70076292882743</c:v>
                </c:pt>
                <c:pt idx="6">
                  <c:v>85.177082560870105</c:v>
                </c:pt>
                <c:pt idx="7">
                  <c:v>82.874443804403498</c:v>
                </c:pt>
                <c:pt idx="8">
                  <c:v>79.376601290379313</c:v>
                </c:pt>
                <c:pt idx="9">
                  <c:v>80.852290706605245</c:v>
                </c:pt>
                <c:pt idx="10">
                  <c:v>77.540829934495122</c:v>
                </c:pt>
                <c:pt idx="11">
                  <c:v>78.650228494623661</c:v>
                </c:pt>
                <c:pt idx="12">
                  <c:v>73.039480926779319</c:v>
                </c:pt>
                <c:pt idx="13">
                  <c:v>75.509370839733734</c:v>
                </c:pt>
                <c:pt idx="14">
                  <c:v>74.543205014149123</c:v>
                </c:pt>
              </c:numCache>
            </c:numRef>
          </c:yVal>
          <c:smooth val="0"/>
          <c:extLst>
            <c:ext xmlns:c16="http://schemas.microsoft.com/office/drawing/2014/chart" uri="{C3380CC4-5D6E-409C-BE32-E72D297353CC}">
              <c16:uniqueId val="{00000003-ABCB-4D27-BA3B-BF22BAFD8346}"/>
            </c:ext>
          </c:extLst>
        </c:ser>
        <c:dLbls>
          <c:showLegendKey val="0"/>
          <c:showVal val="0"/>
          <c:showCatName val="0"/>
          <c:showSerName val="0"/>
          <c:showPercent val="0"/>
          <c:showBubbleSize val="0"/>
        </c:dLbls>
        <c:axId val="727958904"/>
        <c:axId val="727966464"/>
      </c:scatterChart>
      <c:valAx>
        <c:axId val="727958904"/>
        <c:scaling>
          <c:orientation val="minMax"/>
          <c:min val="25.3"/>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Temperature (</a:t>
                </a:r>
                <a:r>
                  <a:rPr lang="en-US" sz="1100" b="1" baseline="30000">
                    <a:latin typeface="Times New Roman" panose="02020603050405020304" pitchFamily="18" charset="0"/>
                    <a:cs typeface="Times New Roman" panose="02020603050405020304" pitchFamily="18" charset="0"/>
                  </a:rPr>
                  <a:t>o</a:t>
                </a:r>
                <a:r>
                  <a:rPr lang="en-US" sz="11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66464"/>
        <c:crosses val="autoZero"/>
        <c:crossBetween val="midCat"/>
      </c:valAx>
      <c:valAx>
        <c:axId val="727966464"/>
        <c:scaling>
          <c:orientation val="minMax"/>
          <c:min val="65"/>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Humidity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8575"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58904"/>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4403340813427"/>
          <c:y val="3.730606590842811E-2"/>
          <c:w val="0.8314916369012052"/>
          <c:h val="0.78122047244094484"/>
        </c:manualLayout>
      </c:layout>
      <c:scatterChart>
        <c:scatterStyle val="lineMarker"/>
        <c:varyColors val="0"/>
        <c:ser>
          <c:idx val="0"/>
          <c:order val="0"/>
          <c:tx>
            <c:strRef>
              <c:f>temp!$T$6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51139904307914297"/>
                  <c:y val="-0.21512685914260718"/>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1.75x - 31.98</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temp!$S$7:$S$21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temp!$T$7:$T$21</c:f>
              <c:numCache>
                <c:formatCode>0</c:formatCode>
                <c:ptCount val="15"/>
                <c:pt idx="0">
                  <c:v>11.649683058090119</c:v>
                </c:pt>
                <c:pt idx="1">
                  <c:v>12.622469551574502</c:v>
                </c:pt>
                <c:pt idx="2">
                  <c:v>13.010332404560621</c:v>
                </c:pt>
                <c:pt idx="3">
                  <c:v>14.878580059792627</c:v>
                </c:pt>
                <c:pt idx="4">
                  <c:v>11.685596555555556</c:v>
                </c:pt>
                <c:pt idx="5">
                  <c:v>13.776971872606246</c:v>
                </c:pt>
                <c:pt idx="6">
                  <c:v>13.3575080336176</c:v>
                </c:pt>
                <c:pt idx="7">
                  <c:v>13.439644137224782</c:v>
                </c:pt>
                <c:pt idx="8">
                  <c:v>12.781937403993853</c:v>
                </c:pt>
                <c:pt idx="9">
                  <c:v>27.950749102675363</c:v>
                </c:pt>
                <c:pt idx="10">
                  <c:v>16.170627335527129</c:v>
                </c:pt>
                <c:pt idx="11">
                  <c:v>16.335250098975937</c:v>
                </c:pt>
                <c:pt idx="12">
                  <c:v>14.578114304109063</c:v>
                </c:pt>
                <c:pt idx="13">
                  <c:v>16.733415258576546</c:v>
                </c:pt>
                <c:pt idx="14">
                  <c:v>18.488277616420362</c:v>
                </c:pt>
              </c:numCache>
            </c:numRef>
          </c:yVal>
          <c:smooth val="0"/>
          <c:extLst>
            <c:ext xmlns:c16="http://schemas.microsoft.com/office/drawing/2014/chart" uri="{C3380CC4-5D6E-409C-BE32-E72D297353CC}">
              <c16:uniqueId val="{00000001-D0DE-4FEB-B018-621D8C2BD986}"/>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29822257040804134"/>
                  <c:y val="-0.28432925051035285"/>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3.39x - 74.0</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temp!$U$7:$U$21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temp!$V$7:$V$21</c:f>
              <c:numCache>
                <c:formatCode>0</c:formatCode>
                <c:ptCount val="15"/>
                <c:pt idx="0">
                  <c:v>11.651536738351254</c:v>
                </c:pt>
                <c:pt idx="1">
                  <c:v>12.628886968766004</c:v>
                </c:pt>
                <c:pt idx="2">
                  <c:v>13.015091150661229</c:v>
                </c:pt>
                <c:pt idx="3">
                  <c:v>14.880561955965179</c:v>
                </c:pt>
                <c:pt idx="4">
                  <c:v>14.325625742601124</c:v>
                </c:pt>
                <c:pt idx="5">
                  <c:v>15.009382196620585</c:v>
                </c:pt>
                <c:pt idx="6">
                  <c:v>13.389258280274378</c:v>
                </c:pt>
                <c:pt idx="7">
                  <c:v>12.416155906426013</c:v>
                </c:pt>
                <c:pt idx="8">
                  <c:v>11.652632482014878</c:v>
                </c:pt>
                <c:pt idx="9">
                  <c:v>27.160524833589353</c:v>
                </c:pt>
                <c:pt idx="10">
                  <c:v>15.328091088864168</c:v>
                </c:pt>
                <c:pt idx="11">
                  <c:v>16.634323476702512</c:v>
                </c:pt>
                <c:pt idx="12">
                  <c:v>15.353643753200203</c:v>
                </c:pt>
                <c:pt idx="13">
                  <c:v>17.978435739887349</c:v>
                </c:pt>
                <c:pt idx="14">
                  <c:v>19.699369035981935</c:v>
                </c:pt>
              </c:numCache>
            </c:numRef>
          </c:yVal>
          <c:smooth val="0"/>
          <c:extLst>
            <c:ext xmlns:c16="http://schemas.microsoft.com/office/drawing/2014/chart" uri="{C3380CC4-5D6E-409C-BE32-E72D297353CC}">
              <c16:uniqueId val="{00000003-D0DE-4FEB-B018-621D8C2BD986}"/>
            </c:ext>
          </c:extLst>
        </c:ser>
        <c:dLbls>
          <c:showLegendKey val="0"/>
          <c:showVal val="0"/>
          <c:showCatName val="0"/>
          <c:showSerName val="0"/>
          <c:showPercent val="0"/>
          <c:showBubbleSize val="0"/>
        </c:dLbls>
        <c:axId val="727961424"/>
        <c:axId val="727959264"/>
      </c:scatterChart>
      <c:valAx>
        <c:axId val="727961424"/>
        <c:scaling>
          <c:orientation val="minMax"/>
          <c:max val="28.3"/>
          <c:min val="25.3"/>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Temperature (</a:t>
                </a:r>
                <a:r>
                  <a:rPr lang="en-US" sz="1100" b="1" baseline="30000">
                    <a:latin typeface="Times New Roman" panose="02020603050405020304" pitchFamily="18" charset="0"/>
                    <a:cs typeface="Times New Roman" panose="02020603050405020304" pitchFamily="18" charset="0"/>
                  </a:rPr>
                  <a:t>o</a:t>
                </a:r>
                <a:r>
                  <a:rPr lang="en-US" sz="11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59264"/>
        <c:crosses val="autoZero"/>
        <c:crossBetween val="midCat"/>
      </c:valAx>
      <c:valAx>
        <c:axId val="727959264"/>
        <c:scaling>
          <c:orientation val="minMax"/>
          <c:min val="1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Wind Speed (km/h)</a:t>
                </a:r>
              </a:p>
            </c:rich>
          </c:tx>
          <c:layout>
            <c:manualLayout>
              <c:xMode val="edge"/>
              <c:yMode val="edge"/>
              <c:x val="2.4524969791929467E-2"/>
              <c:y val="0.2428700058326042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61424"/>
        <c:crosses val="autoZero"/>
        <c:crossBetween val="midCat"/>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05952222073933E-2"/>
          <c:y val="3.5582540134290443E-2"/>
          <c:w val="0.85775345878375375"/>
          <c:h val="0.75864318165048661"/>
        </c:manualLayout>
      </c:layout>
      <c:scatterChart>
        <c:scatterStyle val="lineMarker"/>
        <c:varyColors val="0"/>
        <c:ser>
          <c:idx val="0"/>
          <c:order val="0"/>
          <c:tx>
            <c:strRef>
              <c:f>temp!$AL$6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57202455625250237"/>
                  <c:y val="-0.16258166524365178"/>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0.33x + 66.02</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temp!$AK$7:$AK$21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temp!$AL$7:$AL$21</c:f>
              <c:numCache>
                <c:formatCode>0</c:formatCode>
                <c:ptCount val="15"/>
                <c:pt idx="0">
                  <c:v>75.157289426523292</c:v>
                </c:pt>
                <c:pt idx="1">
                  <c:v>74.735033282130047</c:v>
                </c:pt>
                <c:pt idx="2">
                  <c:v>75.633375355333087</c:v>
                </c:pt>
                <c:pt idx="3">
                  <c:v>75.928771121351772</c:v>
                </c:pt>
                <c:pt idx="4">
                  <c:v>73.388932411674347</c:v>
                </c:pt>
                <c:pt idx="5">
                  <c:v>72.405832693292368</c:v>
                </c:pt>
                <c:pt idx="6">
                  <c:v>72.947173093560735</c:v>
                </c:pt>
                <c:pt idx="7">
                  <c:v>77.424763824884778</c:v>
                </c:pt>
                <c:pt idx="8">
                  <c:v>76.295608678955446</c:v>
                </c:pt>
                <c:pt idx="9">
                  <c:v>79.916973886328705</c:v>
                </c:pt>
                <c:pt idx="10">
                  <c:v>73.867765418366076</c:v>
                </c:pt>
                <c:pt idx="11">
                  <c:v>74.855714285714285</c:v>
                </c:pt>
                <c:pt idx="12">
                  <c:v>73.964081541218619</c:v>
                </c:pt>
                <c:pt idx="13">
                  <c:v>76.256808115719409</c:v>
                </c:pt>
                <c:pt idx="14">
                  <c:v>74.960411038720267</c:v>
                </c:pt>
              </c:numCache>
            </c:numRef>
          </c:yVal>
          <c:smooth val="0"/>
          <c:extLst>
            <c:ext xmlns:c16="http://schemas.microsoft.com/office/drawing/2014/chart" uri="{C3380CC4-5D6E-409C-BE32-E72D297353CC}">
              <c16:uniqueId val="{00000001-6822-4DC8-8B3A-6E9544228754}"/>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31920423506383738"/>
                  <c:y val="-0.13652721120703284"/>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1.51x + 36.59</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temp!$AM$7:$AM$21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temp!$AN$7:$AN$21</c:f>
              <c:numCache>
                <c:formatCode>0</c:formatCode>
                <c:ptCount val="15"/>
                <c:pt idx="0">
                  <c:v>75.157289426523292</c:v>
                </c:pt>
                <c:pt idx="1">
                  <c:v>74.721305683563742</c:v>
                </c:pt>
                <c:pt idx="2">
                  <c:v>75.62423557038683</c:v>
                </c:pt>
                <c:pt idx="3">
                  <c:v>75.928771121351772</c:v>
                </c:pt>
                <c:pt idx="4">
                  <c:v>74.011361367127492</c:v>
                </c:pt>
                <c:pt idx="5">
                  <c:v>71.792158858166928</c:v>
                </c:pt>
                <c:pt idx="6">
                  <c:v>74.849899579780001</c:v>
                </c:pt>
                <c:pt idx="7">
                  <c:v>82.838495903737837</c:v>
                </c:pt>
                <c:pt idx="8">
                  <c:v>79.388967511730002</c:v>
                </c:pt>
                <c:pt idx="9">
                  <c:v>82.222692012288789</c:v>
                </c:pt>
                <c:pt idx="10">
                  <c:v>77.157006550488205</c:v>
                </c:pt>
                <c:pt idx="11">
                  <c:v>77.665340501792102</c:v>
                </c:pt>
                <c:pt idx="12">
                  <c:v>74.539822708653375</c:v>
                </c:pt>
                <c:pt idx="13">
                  <c:v>76.562168458781358</c:v>
                </c:pt>
                <c:pt idx="14">
                  <c:v>74.119124728935617</c:v>
                </c:pt>
              </c:numCache>
            </c:numRef>
          </c:yVal>
          <c:smooth val="0"/>
          <c:extLst>
            <c:ext xmlns:c16="http://schemas.microsoft.com/office/drawing/2014/chart" uri="{C3380CC4-5D6E-409C-BE32-E72D297353CC}">
              <c16:uniqueId val="{00000003-6822-4DC8-8B3A-6E9544228754}"/>
            </c:ext>
          </c:extLst>
        </c:ser>
        <c:dLbls>
          <c:showLegendKey val="0"/>
          <c:showVal val="0"/>
          <c:showCatName val="0"/>
          <c:showSerName val="0"/>
          <c:showPercent val="0"/>
          <c:showBubbleSize val="0"/>
        </c:dLbls>
        <c:axId val="729739768"/>
        <c:axId val="729740488"/>
      </c:scatterChart>
      <c:valAx>
        <c:axId val="729739768"/>
        <c:scaling>
          <c:orientation val="minMax"/>
          <c:max val="28.3"/>
          <c:min val="25.3"/>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Temperature</a:t>
                </a:r>
                <a:r>
                  <a:rPr lang="en-US" sz="1200" b="1" baseline="0">
                    <a:latin typeface="Times New Roman" panose="02020603050405020304" pitchFamily="18" charset="0"/>
                    <a:cs typeface="Times New Roman" panose="02020603050405020304" pitchFamily="18" charset="0"/>
                  </a:rPr>
                  <a:t> (</a:t>
                </a:r>
                <a:r>
                  <a:rPr lang="en-US" sz="1200" b="1" baseline="30000">
                    <a:latin typeface="Times New Roman" panose="02020603050405020304" pitchFamily="18" charset="0"/>
                    <a:cs typeface="Times New Roman" panose="02020603050405020304" pitchFamily="18" charset="0"/>
                  </a:rPr>
                  <a:t>o</a:t>
                </a:r>
                <a:r>
                  <a:rPr lang="en-US" sz="1200" b="1" baseline="0">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40488"/>
        <c:crosses val="autoZero"/>
        <c:crossBetween val="midCat"/>
      </c:valAx>
      <c:valAx>
        <c:axId val="72974048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Cloud</a:t>
                </a:r>
                <a:r>
                  <a:rPr lang="en-US" sz="1200" b="1" baseline="0">
                    <a:latin typeface="Times New Roman" panose="02020603050405020304" pitchFamily="18" charset="0"/>
                    <a:cs typeface="Times New Roman" panose="02020603050405020304" pitchFamily="18" charset="0"/>
                  </a:rPr>
                  <a:t> Cover (%)</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39768"/>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62209279772231851"/>
          <c:y val="4.8192771084337352E-2"/>
          <c:w val="0.34564491302993899"/>
          <c:h val="9.036207823419663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4518134299427"/>
          <c:y val="3.4208696885862241E-2"/>
          <c:w val="0.86250337553306688"/>
          <c:h val="0.8194229775332138"/>
        </c:manualLayout>
      </c:layout>
      <c:scatterChart>
        <c:scatterStyle val="lineMarker"/>
        <c:varyColors val="0"/>
        <c:ser>
          <c:idx val="0"/>
          <c:order val="0"/>
          <c:tx>
            <c:strRef>
              <c:f>temp!$N$6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56229776880606397"/>
                  <c:y val="-0.587864084556997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-0.35x + 13.44</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temp!$M$7:$M$21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temp!$N$7:$N$21</c:f>
              <c:numCache>
                <c:formatCode>0.0</c:formatCode>
                <c:ptCount val="15"/>
                <c:pt idx="0">
                  <c:v>5.2492754582693282</c:v>
                </c:pt>
                <c:pt idx="1">
                  <c:v>4.7262585048643109</c:v>
                </c:pt>
                <c:pt idx="2">
                  <c:v>4.5496327116549251</c:v>
                </c:pt>
                <c:pt idx="3">
                  <c:v>5.6113629928315412</c:v>
                </c:pt>
                <c:pt idx="4">
                  <c:v>3.0387590104966722</c:v>
                </c:pt>
                <c:pt idx="5">
                  <c:v>3.34040476702509</c:v>
                </c:pt>
                <c:pt idx="6">
                  <c:v>3.6802382276603631</c:v>
                </c:pt>
                <c:pt idx="7">
                  <c:v>3.6744009216589872</c:v>
                </c:pt>
                <c:pt idx="8">
                  <c:v>3.6387429595494112</c:v>
                </c:pt>
                <c:pt idx="9">
                  <c:v>4.1123458371735788</c:v>
                </c:pt>
                <c:pt idx="10">
                  <c:v>3.1977553046594971</c:v>
                </c:pt>
                <c:pt idx="11">
                  <c:v>3.0086434933435733</c:v>
                </c:pt>
                <c:pt idx="12">
                  <c:v>4.0093913005632364</c:v>
                </c:pt>
                <c:pt idx="13">
                  <c:v>5.6803149001536086</c:v>
                </c:pt>
                <c:pt idx="14">
                  <c:v>4.2884769903066902</c:v>
                </c:pt>
              </c:numCache>
            </c:numRef>
          </c:yVal>
          <c:smooth val="0"/>
          <c:extLst>
            <c:ext xmlns:c16="http://schemas.microsoft.com/office/drawing/2014/chart" uri="{C3380CC4-5D6E-409C-BE32-E72D297353CC}">
              <c16:uniqueId val="{00000001-9E2E-47B3-B50C-88554A637563}"/>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3.122405964110174E-2"/>
                  <c:y val="-0.30410563544421815"/>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0.37x - 4.74</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temp!$O$7:$O$21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temp!$P$7:$P$21</c:f>
              <c:numCache>
                <c:formatCode>0.0</c:formatCode>
                <c:ptCount val="15"/>
                <c:pt idx="0">
                  <c:v>5.2147727854582691</c:v>
                </c:pt>
                <c:pt idx="1">
                  <c:v>4.6934082181259607</c:v>
                </c:pt>
                <c:pt idx="2">
                  <c:v>4.513849647756766</c:v>
                </c:pt>
                <c:pt idx="3">
                  <c:v>5.5713831285202247</c:v>
                </c:pt>
                <c:pt idx="4">
                  <c:v>3.0271169124423967</c:v>
                </c:pt>
                <c:pt idx="5">
                  <c:v>3.6812383870967746</c:v>
                </c:pt>
                <c:pt idx="6">
                  <c:v>5.2740032913113328</c:v>
                </c:pt>
                <c:pt idx="7">
                  <c:v>5.0440649257552481</c:v>
                </c:pt>
                <c:pt idx="8">
                  <c:v>5.8136931217075611</c:v>
                </c:pt>
                <c:pt idx="9">
                  <c:v>5.7717850742447512</c:v>
                </c:pt>
                <c:pt idx="10">
                  <c:v>4.8916261895933761</c:v>
                </c:pt>
                <c:pt idx="11">
                  <c:v>4.152332309267794</c:v>
                </c:pt>
                <c:pt idx="12">
                  <c:v>4.295284178187404</c:v>
                </c:pt>
                <c:pt idx="13">
                  <c:v>6.5197004608294939</c:v>
                </c:pt>
                <c:pt idx="14">
                  <c:v>4.9148050744213156</c:v>
                </c:pt>
              </c:numCache>
            </c:numRef>
          </c:yVal>
          <c:smooth val="0"/>
          <c:extLst>
            <c:ext xmlns:c16="http://schemas.microsoft.com/office/drawing/2014/chart" uri="{C3380CC4-5D6E-409C-BE32-E72D297353CC}">
              <c16:uniqueId val="{00000003-9E2E-47B3-B50C-88554A637563}"/>
            </c:ext>
          </c:extLst>
        </c:ser>
        <c:dLbls>
          <c:showLegendKey val="0"/>
          <c:showVal val="0"/>
          <c:showCatName val="0"/>
          <c:showSerName val="0"/>
          <c:showPercent val="0"/>
          <c:showBubbleSize val="0"/>
        </c:dLbls>
        <c:axId val="727936584"/>
        <c:axId val="727941624"/>
      </c:scatterChart>
      <c:valAx>
        <c:axId val="727936584"/>
        <c:scaling>
          <c:orientation val="minMax"/>
          <c:max val="28.3"/>
          <c:min val="25.3"/>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Temperature (</a:t>
                </a:r>
                <a:r>
                  <a:rPr lang="en-US" sz="1200" b="1" baseline="30000">
                    <a:latin typeface="Times New Roman" panose="02020603050405020304" pitchFamily="18" charset="0"/>
                    <a:cs typeface="Times New Roman" panose="02020603050405020304" pitchFamily="18" charset="0"/>
                  </a:rPr>
                  <a:t>o</a:t>
                </a:r>
                <a:r>
                  <a:rPr lang="en-US" sz="12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41624"/>
        <c:crosses val="autoZero"/>
        <c:crossBetween val="midCat"/>
      </c:valAx>
      <c:valAx>
        <c:axId val="727941624"/>
        <c:scaling>
          <c:orientation val="minMax"/>
          <c:min val="2.5"/>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Precipitation (mm)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7936584"/>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71196716709222896"/>
          <c:y val="4.633204633204633E-2"/>
          <c:w val="0.26423753058032434"/>
          <c:h val="9.862078051054429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4335764209246"/>
          <c:y val="2.5428331875182269E-2"/>
          <c:w val="0.82984677477113111"/>
          <c:h val="0.7868567291157571"/>
        </c:manualLayout>
      </c:layout>
      <c:scatterChart>
        <c:scatterStyle val="lineMarker"/>
        <c:varyColors val="0"/>
        <c:ser>
          <c:idx val="0"/>
          <c:order val="0"/>
          <c:tx>
            <c:strRef>
              <c:f>temp!$AR$6</c:f>
              <c:strCache>
                <c:ptCount val="1"/>
                <c:pt idx="0">
                  <c:v>Onitsha</c:v>
                </c:pt>
              </c:strCache>
            </c:strRef>
          </c:tx>
          <c:spPr>
            <a:ln w="19050" cap="rnd">
              <a:noFill/>
              <a:round/>
            </a:ln>
            <a:effectLst/>
          </c:spPr>
          <c:marker>
            <c:symbol val="circle"/>
            <c:size val="10"/>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8.0759848839119824E-2"/>
                  <c:y val="0.3983923884514435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14.67x - 207.75</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temp!$AQ$7:$AQ$21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temp!$AR$7:$AR$21</c:f>
              <c:numCache>
                <c:formatCode>0</c:formatCode>
                <c:ptCount val="15"/>
                <c:pt idx="0">
                  <c:v>168.53365655401944</c:v>
                </c:pt>
                <c:pt idx="1">
                  <c:v>167.11306515616999</c:v>
                </c:pt>
                <c:pt idx="2">
                  <c:v>164.82574805339266</c:v>
                </c:pt>
                <c:pt idx="3">
                  <c:v>163.08201548899126</c:v>
                </c:pt>
                <c:pt idx="4">
                  <c:v>170.52297619047616</c:v>
                </c:pt>
                <c:pt idx="5">
                  <c:v>173.34357782898101</c:v>
                </c:pt>
                <c:pt idx="6">
                  <c:v>186.93783988382154</c:v>
                </c:pt>
                <c:pt idx="7">
                  <c:v>186.5718862007169</c:v>
                </c:pt>
                <c:pt idx="8">
                  <c:v>189.06765745007681</c:v>
                </c:pt>
                <c:pt idx="9">
                  <c:v>184.45670826932925</c:v>
                </c:pt>
                <c:pt idx="10">
                  <c:v>196.20708966753182</c:v>
                </c:pt>
                <c:pt idx="11">
                  <c:v>195.11580325140812</c:v>
                </c:pt>
                <c:pt idx="12">
                  <c:v>228.35672811059908</c:v>
                </c:pt>
                <c:pt idx="13">
                  <c:v>222.98793266769076</c:v>
                </c:pt>
                <c:pt idx="14">
                  <c:v>229.69033423380478</c:v>
                </c:pt>
              </c:numCache>
            </c:numRef>
          </c:yVal>
          <c:smooth val="0"/>
          <c:extLst>
            <c:ext xmlns:c16="http://schemas.microsoft.com/office/drawing/2014/chart" uri="{C3380CC4-5D6E-409C-BE32-E72D297353CC}">
              <c16:uniqueId val="{00000001-112A-4BC9-895F-B240C7C03B9C}"/>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17710932200890611"/>
                  <c:y val="0.3575437445319334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25.95x - 500.78</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temp!$AS$7:$AS$21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temp!$AT$7:$AT$21</c:f>
              <c:numCache>
                <c:formatCode>0.0</c:formatCode>
                <c:ptCount val="15"/>
                <c:pt idx="0">
                  <c:v>168.53365655401944</c:v>
                </c:pt>
                <c:pt idx="1">
                  <c:v>167.11306515616999</c:v>
                </c:pt>
                <c:pt idx="2">
                  <c:v>164.82574805339266</c:v>
                </c:pt>
                <c:pt idx="3">
                  <c:v>163.08201548899126</c:v>
                </c:pt>
                <c:pt idx="4">
                  <c:v>170.52297619047616</c:v>
                </c:pt>
                <c:pt idx="5">
                  <c:v>169.93752944188427</c:v>
                </c:pt>
                <c:pt idx="6">
                  <c:v>167.42905017921149</c:v>
                </c:pt>
                <c:pt idx="7">
                  <c:v>173.20246863799284</c:v>
                </c:pt>
                <c:pt idx="8">
                  <c:v>185.6098777823822</c:v>
                </c:pt>
                <c:pt idx="9">
                  <c:v>181.39403161802355</c:v>
                </c:pt>
                <c:pt idx="10">
                  <c:v>193.69225991842791</c:v>
                </c:pt>
                <c:pt idx="11">
                  <c:v>191.12463069636453</c:v>
                </c:pt>
                <c:pt idx="12">
                  <c:v>221.27417882744498</c:v>
                </c:pt>
                <c:pt idx="13">
                  <c:v>217.16140681003586</c:v>
                </c:pt>
                <c:pt idx="14">
                  <c:v>222.71465581847397</c:v>
                </c:pt>
              </c:numCache>
            </c:numRef>
          </c:yVal>
          <c:smooth val="0"/>
          <c:extLst>
            <c:ext xmlns:c16="http://schemas.microsoft.com/office/drawing/2014/chart" uri="{C3380CC4-5D6E-409C-BE32-E72D297353CC}">
              <c16:uniqueId val="{00000003-112A-4BC9-895F-B240C7C03B9C}"/>
            </c:ext>
          </c:extLst>
        </c:ser>
        <c:dLbls>
          <c:showLegendKey val="0"/>
          <c:showVal val="0"/>
          <c:showCatName val="0"/>
          <c:showSerName val="0"/>
          <c:showPercent val="0"/>
          <c:showBubbleSize val="0"/>
        </c:dLbls>
        <c:axId val="729731128"/>
        <c:axId val="729729328"/>
      </c:scatterChart>
      <c:valAx>
        <c:axId val="729731128"/>
        <c:scaling>
          <c:orientation val="minMax"/>
          <c:max val="28.3"/>
          <c:min val="25.3"/>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Temperature (</a:t>
                </a:r>
                <a:r>
                  <a:rPr lang="en-US" sz="1200" b="1" baseline="30000">
                    <a:latin typeface="Times New Roman" panose="02020603050405020304" pitchFamily="18" charset="0"/>
                    <a:cs typeface="Times New Roman" panose="02020603050405020304" pitchFamily="18" charset="0"/>
                  </a:rPr>
                  <a:t>o</a:t>
                </a:r>
                <a:r>
                  <a:rPr lang="en-US" sz="12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29328"/>
        <c:crosses val="autoZero"/>
        <c:crossBetween val="midCat"/>
      </c:valAx>
      <c:valAx>
        <c:axId val="729729328"/>
        <c:scaling>
          <c:orientation val="minMax"/>
          <c:min val="1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Solar Radiation (W/m</a:t>
                </a:r>
                <a:r>
                  <a:rPr lang="en-US" sz="1200" b="1" baseline="30000">
                    <a:latin typeface="Times New Roman" panose="02020603050405020304" pitchFamily="18" charset="0"/>
                    <a:cs typeface="Times New Roman" panose="02020603050405020304" pitchFamily="18" charset="0"/>
                  </a:rPr>
                  <a:t>2</a:t>
                </a:r>
                <a:r>
                  <a:rPr lang="en-US" sz="1200" b="1">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31128"/>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16321347472015441"/>
          <c:y val="3.7037037037037035E-2"/>
          <c:w val="0.35468577663747086"/>
          <c:h val="8.869021580635753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3510423266058"/>
          <c:y val="2.8194444444444446E-2"/>
          <c:w val="0.8572214680061544"/>
          <c:h val="0.79510936132983356"/>
        </c:manualLayout>
      </c:layout>
      <c:scatterChart>
        <c:scatterStyle val="lineMarker"/>
        <c:varyColors val="0"/>
        <c:ser>
          <c:idx val="0"/>
          <c:order val="0"/>
          <c:tx>
            <c:strRef>
              <c:f>temp!$BC$6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6.9742661477660117E-2"/>
                  <c:y val="0.37990594925634297"/>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0.65x - 10.51</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temp!$BB$7:$BB$21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xVal>
          <c:yVal>
            <c:numRef>
              <c:f>temp!$BC$7:$BC$21</c:f>
              <c:numCache>
                <c:formatCode>0.0</c:formatCode>
                <c:ptCount val="15"/>
                <c:pt idx="0">
                  <c:v>6.0439580133128521</c:v>
                </c:pt>
                <c:pt idx="1">
                  <c:v>6.029505888376856</c:v>
                </c:pt>
                <c:pt idx="2">
                  <c:v>5.9314639723149183</c:v>
                </c:pt>
                <c:pt idx="3">
                  <c:v>5.8833973374295958</c:v>
                </c:pt>
                <c:pt idx="4">
                  <c:v>6.1333525345622135</c:v>
                </c:pt>
                <c:pt idx="5">
                  <c:v>6.367837941628264</c:v>
                </c:pt>
                <c:pt idx="6">
                  <c:v>6.9878197997775304</c:v>
                </c:pt>
                <c:pt idx="7">
                  <c:v>7.0158346134152589</c:v>
                </c:pt>
                <c:pt idx="8">
                  <c:v>7.0720174091141814</c:v>
                </c:pt>
                <c:pt idx="9">
                  <c:v>6.9203405017921158</c:v>
                </c:pt>
                <c:pt idx="10">
                  <c:v>7.2776789024842428</c:v>
                </c:pt>
                <c:pt idx="11">
                  <c:v>7.1744431643625193</c:v>
                </c:pt>
                <c:pt idx="12">
                  <c:v>8.5457309267793153</c:v>
                </c:pt>
                <c:pt idx="13">
                  <c:v>8.3961789554531503</c:v>
                </c:pt>
                <c:pt idx="14">
                  <c:v>8.6689867048042792</c:v>
                </c:pt>
              </c:numCache>
            </c:numRef>
          </c:yVal>
          <c:smooth val="0"/>
          <c:extLst>
            <c:ext xmlns:c16="http://schemas.microsoft.com/office/drawing/2014/chart" uri="{C3380CC4-5D6E-409C-BE32-E72D297353CC}">
              <c16:uniqueId val="{00000001-CBE4-43E6-B9F1-8BAB8F71FE6D}"/>
            </c:ext>
          </c:extLst>
        </c:ser>
        <c:ser>
          <c:idx val="1"/>
          <c:order val="1"/>
          <c:tx>
            <c:v>Nnewi</c:v>
          </c:tx>
          <c:spPr>
            <a:ln w="25400" cap="rnd">
              <a:noFill/>
              <a:round/>
            </a:ln>
            <a:effectLst/>
          </c:spPr>
          <c:marker>
            <c:symbol val="triangle"/>
            <c:size val="11"/>
            <c:spPr>
              <a:solidFill>
                <a:schemeClr val="tx1"/>
              </a:solidFill>
              <a:ln w="9525">
                <a:solidFill>
                  <a:schemeClr val="dk1"/>
                </a:solidFill>
              </a:ln>
              <a:effectLst/>
            </c:spPr>
          </c:marker>
          <c:trendline>
            <c:spPr>
              <a:ln w="38100" cap="rnd">
                <a:solidFill>
                  <a:schemeClr val="tx1"/>
                </a:solidFill>
                <a:prstDash val="sysDot"/>
              </a:ln>
              <a:effectLst/>
            </c:spPr>
            <c:trendlineType val="linear"/>
            <c:dispRSqr val="0"/>
            <c:dispEq val="1"/>
            <c:trendlineLbl>
              <c:layout>
                <c:manualLayout>
                  <c:x val="0.20755457291976426"/>
                  <c:y val="0.37601122776319629"/>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1.19x - 24.61</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temp!$BD$7:$BD$21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xVal>
          <c:yVal>
            <c:numRef>
              <c:f>temp!$BE$7:$BE$21</c:f>
              <c:numCache>
                <c:formatCode>0.0</c:formatCode>
                <c:ptCount val="15"/>
                <c:pt idx="0">
                  <c:v>6.0439580133128521</c:v>
                </c:pt>
                <c:pt idx="1">
                  <c:v>6.029505888376856</c:v>
                </c:pt>
                <c:pt idx="2">
                  <c:v>5.9314639723149183</c:v>
                </c:pt>
                <c:pt idx="3">
                  <c:v>5.8833973374295958</c:v>
                </c:pt>
                <c:pt idx="4">
                  <c:v>6.1333525345622135</c:v>
                </c:pt>
                <c:pt idx="5">
                  <c:v>6.1370135688684071</c:v>
                </c:pt>
                <c:pt idx="6">
                  <c:v>6.0638734396242748</c:v>
                </c:pt>
                <c:pt idx="7">
                  <c:v>6.6520225294418838</c:v>
                </c:pt>
                <c:pt idx="8">
                  <c:v>7.1339292951733499</c:v>
                </c:pt>
                <c:pt idx="9">
                  <c:v>6.9945724526369704</c:v>
                </c:pt>
                <c:pt idx="10">
                  <c:v>7.320498084291188</c:v>
                </c:pt>
                <c:pt idx="11">
                  <c:v>7.2308051715309789</c:v>
                </c:pt>
                <c:pt idx="12">
                  <c:v>8.422004608294932</c:v>
                </c:pt>
                <c:pt idx="13">
                  <c:v>8.2363223246287784</c:v>
                </c:pt>
                <c:pt idx="14">
                  <c:v>8.3848505514384275</c:v>
                </c:pt>
              </c:numCache>
            </c:numRef>
          </c:yVal>
          <c:smooth val="0"/>
          <c:extLst>
            <c:ext xmlns:c16="http://schemas.microsoft.com/office/drawing/2014/chart" uri="{C3380CC4-5D6E-409C-BE32-E72D297353CC}">
              <c16:uniqueId val="{00000003-CBE4-43E6-B9F1-8BAB8F71FE6D}"/>
            </c:ext>
          </c:extLst>
        </c:ser>
        <c:dLbls>
          <c:showLegendKey val="0"/>
          <c:showVal val="0"/>
          <c:showCatName val="0"/>
          <c:showSerName val="0"/>
          <c:showPercent val="0"/>
          <c:showBubbleSize val="0"/>
        </c:dLbls>
        <c:axId val="729740128"/>
        <c:axId val="729734368"/>
      </c:scatterChart>
      <c:valAx>
        <c:axId val="729740128"/>
        <c:scaling>
          <c:orientation val="minMax"/>
          <c:max val="28.3"/>
          <c:min val="25.3"/>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Temperature (</a:t>
                </a:r>
                <a:r>
                  <a:rPr lang="en-US" sz="1100" b="1" baseline="30000">
                    <a:latin typeface="Times New Roman" panose="02020603050405020304" pitchFamily="18" charset="0"/>
                    <a:cs typeface="Times New Roman" panose="02020603050405020304" pitchFamily="18" charset="0"/>
                  </a:rPr>
                  <a:t>o</a:t>
                </a:r>
                <a:r>
                  <a:rPr lang="en-US" sz="1100" b="1">
                    <a:latin typeface="Times New Roman" panose="02020603050405020304" pitchFamily="18" charset="0"/>
                    <a:cs typeface="Times New Roman" panose="02020603050405020304" pitchFamily="18" charset="0"/>
                  </a:rPr>
                  <a:t>C)</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34368"/>
        <c:crosses val="autoZero"/>
        <c:crossBetween val="midCat"/>
      </c:valAx>
      <c:valAx>
        <c:axId val="729734368"/>
        <c:scaling>
          <c:orientation val="minMax"/>
          <c:min val="5.5"/>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UV Index</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9740128"/>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13328178805235555"/>
          <c:y val="2.7777777777777776E-2"/>
          <c:w val="0.23425726956544224"/>
          <c:h val="8.3602362204724404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2488049528252"/>
          <c:y val="2.5428331875182269E-2"/>
          <c:w val="0.8154073929613288"/>
          <c:h val="0.77685987168270632"/>
        </c:manualLayout>
      </c:layout>
      <c:scatterChart>
        <c:scatterStyle val="lineMarker"/>
        <c:varyColors val="0"/>
        <c:ser>
          <c:idx val="0"/>
          <c:order val="0"/>
          <c:tx>
            <c:strRef>
              <c:f>Sheet1!$Q$6</c:f>
              <c:strCache>
                <c:ptCount val="1"/>
                <c:pt idx="0">
                  <c:v>Onitsha</c:v>
                </c:pt>
              </c:strCache>
            </c:strRef>
          </c:tx>
          <c:spPr>
            <a:ln w="19050" cap="rnd">
              <a:noFill/>
              <a:round/>
            </a:ln>
            <a:effectLst/>
          </c:spPr>
          <c:marker>
            <c:symbol val="circle"/>
            <c:size val="10"/>
            <c:spPr>
              <a:solidFill>
                <a:schemeClr val="tx1"/>
              </a:solidFill>
              <a:ln w="9525">
                <a:solidFill>
                  <a:schemeClr val="tx1"/>
                </a:solidFill>
              </a:ln>
              <a:effectLst/>
            </c:spPr>
          </c:marker>
          <c:trendline>
            <c:spPr>
              <a:ln w="47625" cap="rnd">
                <a:solidFill>
                  <a:schemeClr val="tx1"/>
                </a:solidFill>
                <a:prstDash val="solid"/>
              </a:ln>
              <a:effectLst/>
            </c:spPr>
            <c:trendlineType val="linear"/>
            <c:dispRSqr val="0"/>
            <c:dispEq val="1"/>
            <c:trendlineLbl>
              <c:layout>
                <c:manualLayout>
                  <c:x val="-0.32825837172830175"/>
                  <c:y val="0.11819298629338"/>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0.32x + 23.06</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Sheet1!$P$7:$P$21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Sheet1!$Q$7:$Q$21</c:f>
              <c:numCache>
                <c:formatCode>0.0</c:formatCode>
                <c:ptCount val="15"/>
                <c:pt idx="0">
                  <c:v>26.045530380611023</c:v>
                </c:pt>
                <c:pt idx="1">
                  <c:v>25.502375263127949</c:v>
                </c:pt>
                <c:pt idx="2">
                  <c:v>25.505727214051273</c:v>
                </c:pt>
                <c:pt idx="3">
                  <c:v>25.660917320930764</c:v>
                </c:pt>
                <c:pt idx="4">
                  <c:v>25.945727015417873</c:v>
                </c:pt>
                <c:pt idx="5">
                  <c:v>26.347191144677698</c:v>
                </c:pt>
                <c:pt idx="6">
                  <c:v>27.873567235199602</c:v>
                </c:pt>
                <c:pt idx="7">
                  <c:v>27.937533282130051</c:v>
                </c:pt>
                <c:pt idx="8">
                  <c:v>27.647291986687147</c:v>
                </c:pt>
                <c:pt idx="9">
                  <c:v>27.723942510098421</c:v>
                </c:pt>
                <c:pt idx="10">
                  <c:v>27.992463162086821</c:v>
                </c:pt>
                <c:pt idx="11">
                  <c:v>28.086687147977468</c:v>
                </c:pt>
                <c:pt idx="12">
                  <c:v>27.014989759344598</c:v>
                </c:pt>
                <c:pt idx="13">
                  <c:v>27.328127240143363</c:v>
                </c:pt>
                <c:pt idx="14">
                  <c:v>28.497250030898524</c:v>
                </c:pt>
              </c:numCache>
            </c:numRef>
          </c:yVal>
          <c:smooth val="0"/>
          <c:extLst>
            <c:ext xmlns:c16="http://schemas.microsoft.com/office/drawing/2014/chart" uri="{C3380CC4-5D6E-409C-BE32-E72D297353CC}">
              <c16:uniqueId val="{00000001-2105-4EED-A80B-86C538FAE113}"/>
            </c:ext>
          </c:extLst>
        </c:ser>
        <c:ser>
          <c:idx val="1"/>
          <c:order val="1"/>
          <c:tx>
            <c:v>Nnewi</c:v>
          </c:tx>
          <c:spPr>
            <a:ln w="25400" cap="rnd">
              <a:noFill/>
              <a:round/>
            </a:ln>
            <a:effectLst/>
          </c:spPr>
          <c:marker>
            <c:symbol val="triangle"/>
            <c:size val="12"/>
            <c:spPr>
              <a:solidFill>
                <a:schemeClr val="tx1"/>
              </a:solidFill>
              <a:ln w="9525">
                <a:solidFill>
                  <a:schemeClr val="tx1"/>
                </a:solidFill>
              </a:ln>
              <a:effectLst/>
            </c:spPr>
          </c:marker>
          <c:trendline>
            <c:spPr>
              <a:ln w="44450" cap="rnd">
                <a:solidFill>
                  <a:schemeClr val="tx1"/>
                </a:solidFill>
                <a:prstDash val="sysDot"/>
              </a:ln>
              <a:effectLst/>
            </c:spPr>
            <c:trendlineType val="linear"/>
            <c:dispRSqr val="0"/>
            <c:dispEq val="1"/>
            <c:trendlineLbl>
              <c:layout>
                <c:manualLayout>
                  <c:x val="-0.12663286284260908"/>
                  <c:y val="-0.19078448527267425"/>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0.23x + 24.36</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Sheet1!$R$7:$R$21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Sheet1!$S$7:$S$21</c:f>
              <c:numCache>
                <c:formatCode>0.0</c:formatCode>
                <c:ptCount val="15"/>
                <c:pt idx="0">
                  <c:v>26.100320020481309</c:v>
                </c:pt>
                <c:pt idx="1">
                  <c:v>25.556071428571428</c:v>
                </c:pt>
                <c:pt idx="2">
                  <c:v>25.560483252997155</c:v>
                </c:pt>
                <c:pt idx="3">
                  <c:v>25.715407706093192</c:v>
                </c:pt>
                <c:pt idx="4">
                  <c:v>26.047069181316491</c:v>
                </c:pt>
                <c:pt idx="5">
                  <c:v>25.746955182909485</c:v>
                </c:pt>
                <c:pt idx="6">
                  <c:v>26.218038046388994</c:v>
                </c:pt>
                <c:pt idx="7">
                  <c:v>26.391885774022871</c:v>
                </c:pt>
                <c:pt idx="8">
                  <c:v>26.485978896835153</c:v>
                </c:pt>
                <c:pt idx="9">
                  <c:v>26.775046082949313</c:v>
                </c:pt>
                <c:pt idx="10">
                  <c:v>27.081217711036956</c:v>
                </c:pt>
                <c:pt idx="11">
                  <c:v>27.130937019969281</c:v>
                </c:pt>
                <c:pt idx="12">
                  <c:v>26.395798131080387</c:v>
                </c:pt>
                <c:pt idx="13">
                  <c:v>26.863727598566303</c:v>
                </c:pt>
                <c:pt idx="14">
                  <c:v>27.599533095133769</c:v>
                </c:pt>
              </c:numCache>
            </c:numRef>
          </c:yVal>
          <c:smooth val="0"/>
          <c:extLst>
            <c:ext xmlns:c16="http://schemas.microsoft.com/office/drawing/2014/chart" uri="{C3380CC4-5D6E-409C-BE32-E72D297353CC}">
              <c16:uniqueId val="{00000003-2105-4EED-A80B-86C538FAE113}"/>
            </c:ext>
          </c:extLst>
        </c:ser>
        <c:dLbls>
          <c:showLegendKey val="0"/>
          <c:showVal val="0"/>
          <c:showCatName val="0"/>
          <c:showSerName val="0"/>
          <c:showPercent val="0"/>
          <c:showBubbleSize val="0"/>
        </c:dLbls>
        <c:axId val="573109160"/>
        <c:axId val="573109520"/>
      </c:scatterChart>
      <c:valAx>
        <c:axId val="573109160"/>
        <c:scaling>
          <c:orientation val="minMax"/>
          <c:min val="5"/>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Population</a:t>
                </a:r>
                <a:r>
                  <a:rPr lang="en-US" sz="1400" b="1" baseline="0">
                    <a:latin typeface="Times New Roman" panose="02020603050405020304" pitchFamily="18" charset="0"/>
                    <a:cs typeface="Times New Roman" panose="02020603050405020304" pitchFamily="18" charset="0"/>
                  </a:rPr>
                  <a:t>  x10</a:t>
                </a:r>
                <a:r>
                  <a:rPr lang="en-US" sz="1400" b="1" baseline="30000">
                    <a:latin typeface="Times New Roman" panose="02020603050405020304" pitchFamily="18" charset="0"/>
                    <a:cs typeface="Times New Roman" panose="02020603050405020304" pitchFamily="18" charset="0"/>
                  </a:rPr>
                  <a:t>5</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tx1"/>
            </a:solidFill>
            <a:prstDash val="solid"/>
            <a:miter lim="800000"/>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3109520"/>
        <c:crosses val="autoZero"/>
        <c:crossBetween val="midCat"/>
      </c:valAx>
      <c:valAx>
        <c:axId val="573109520"/>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T (</a:t>
                </a:r>
                <a:r>
                  <a:rPr lang="en-US" sz="1400" b="1" baseline="30000">
                    <a:latin typeface="Times New Roman" panose="02020603050405020304" pitchFamily="18" charset="0"/>
                    <a:cs typeface="Times New Roman" panose="02020603050405020304" pitchFamily="18" charset="0"/>
                  </a:rPr>
                  <a:t>o</a:t>
                </a:r>
                <a:r>
                  <a:rPr lang="en-US" sz="1400" b="1">
                    <a:latin typeface="Times New Roman" panose="02020603050405020304" pitchFamily="18" charset="0"/>
                    <a:cs typeface="Times New Roman" panose="02020603050405020304" pitchFamily="18" charset="0"/>
                  </a:rPr>
                  <a:t>C)</a:t>
                </a:r>
              </a:p>
            </c:rich>
          </c:tx>
          <c:layout>
            <c:manualLayout>
              <c:xMode val="edge"/>
              <c:yMode val="edge"/>
              <c:x val="1.8949318641671341E-2"/>
              <c:y val="0.34355715952172644"/>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3109160"/>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53284317788449809"/>
          <c:y val="0"/>
          <c:w val="0.28106287023719556"/>
          <c:h val="9.884222805482648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6949863751108"/>
          <c:y val="4.2857785633938626E-2"/>
          <c:w val="0.84124396074694485"/>
          <c:h val="0.74926048529648093"/>
        </c:manualLayout>
      </c:layout>
      <c:scatterChart>
        <c:scatterStyle val="lineMarker"/>
        <c:varyColors val="0"/>
        <c:ser>
          <c:idx val="0"/>
          <c:order val="0"/>
          <c:tx>
            <c:strRef>
              <c:f>Sheet1!$V$6</c:f>
              <c:strCache>
                <c:ptCount val="1"/>
                <c:pt idx="0">
                  <c:v>Onitsha</c:v>
                </c:pt>
              </c:strCache>
            </c:strRef>
          </c:tx>
          <c:spPr>
            <a:ln w="19050" cap="rnd">
              <a:noFill/>
              <a:round/>
            </a:ln>
            <a:effectLst/>
          </c:spPr>
          <c:marker>
            <c:symbol val="circle"/>
            <c:size val="10"/>
            <c:spPr>
              <a:solidFill>
                <a:sysClr val="windowText" lastClr="000000"/>
              </a:solidFill>
              <a:ln w="9525">
                <a:solidFill>
                  <a:schemeClr val="tx1"/>
                </a:solidFill>
              </a:ln>
              <a:effectLst/>
            </c:spPr>
          </c:marker>
          <c:trendline>
            <c:spPr>
              <a:ln w="34925" cap="rnd">
                <a:solidFill>
                  <a:schemeClr val="dk1"/>
                </a:solidFill>
                <a:prstDash val="solid"/>
              </a:ln>
              <a:effectLst/>
            </c:spPr>
            <c:trendlineType val="linear"/>
            <c:dispRSqr val="0"/>
            <c:dispEq val="1"/>
            <c:trendlineLbl>
              <c:layout>
                <c:manualLayout>
                  <c:x val="-0.43971814032800038"/>
                  <c:y val="8.9071294659596123E-2"/>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-0.31x + 26.13</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Sheet1!$U$7:$U$21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Sheet1!$V$7:$V$21</c:f>
              <c:numCache>
                <c:formatCode>0.0</c:formatCode>
                <c:ptCount val="15"/>
                <c:pt idx="0">
                  <c:v>23.436073775388294</c:v>
                </c:pt>
                <c:pt idx="1">
                  <c:v>22.799953774819368</c:v>
                </c:pt>
                <c:pt idx="2">
                  <c:v>22.919485985800407</c:v>
                </c:pt>
                <c:pt idx="3">
                  <c:v>23.274880525686982</c:v>
                </c:pt>
                <c:pt idx="4">
                  <c:v>23.198070987654329</c:v>
                </c:pt>
                <c:pt idx="5">
                  <c:v>22.287863969960743</c:v>
                </c:pt>
                <c:pt idx="6">
                  <c:v>22.401028303052772</c:v>
                </c:pt>
                <c:pt idx="7">
                  <c:v>22.636330645161291</c:v>
                </c:pt>
                <c:pt idx="8">
                  <c:v>22.383231566820275</c:v>
                </c:pt>
                <c:pt idx="9">
                  <c:v>22.841848722762702</c:v>
                </c:pt>
                <c:pt idx="10">
                  <c:v>22.242008095414658</c:v>
                </c:pt>
                <c:pt idx="11">
                  <c:v>22.614389543152981</c:v>
                </c:pt>
                <c:pt idx="12">
                  <c:v>19.891034804005233</c:v>
                </c:pt>
                <c:pt idx="13">
                  <c:v>20.802469278033794</c:v>
                </c:pt>
                <c:pt idx="14">
                  <c:v>20.815908034206139</c:v>
                </c:pt>
              </c:numCache>
            </c:numRef>
          </c:yVal>
          <c:smooth val="0"/>
          <c:extLst>
            <c:ext xmlns:c16="http://schemas.microsoft.com/office/drawing/2014/chart" uri="{C3380CC4-5D6E-409C-BE32-E72D297353CC}">
              <c16:uniqueId val="{00000001-8CCB-4769-93E2-F2F537E3AEDA}"/>
            </c:ext>
          </c:extLst>
        </c:ser>
        <c:ser>
          <c:idx val="1"/>
          <c:order val="1"/>
          <c:tx>
            <c:v>Nnewi</c:v>
          </c:tx>
          <c:spPr>
            <a:ln w="25400" cap="rnd">
              <a:noFill/>
              <a:round/>
            </a:ln>
            <a:effectLst/>
          </c:spPr>
          <c:marker>
            <c:symbol val="triangle"/>
            <c:size val="11"/>
            <c:spPr>
              <a:solidFill>
                <a:sysClr val="windowText" lastClr="000000"/>
              </a:solidFill>
              <a:ln w="9525">
                <a:solidFill>
                  <a:schemeClr val="tx1"/>
                </a:solidFill>
              </a:ln>
              <a:effectLst/>
            </c:spPr>
          </c:marker>
          <c:trendline>
            <c:spPr>
              <a:ln w="34925" cap="rnd">
                <a:solidFill>
                  <a:schemeClr val="dk1"/>
                </a:solidFill>
                <a:prstDash val="sysDot"/>
              </a:ln>
              <a:effectLst/>
            </c:spPr>
            <c:trendlineType val="linear"/>
            <c:dispRSqr val="0"/>
            <c:dispEq val="1"/>
            <c:trendlineLbl>
              <c:layout>
                <c:manualLayout>
                  <c:x val="-0.19399200896066335"/>
                  <c:y val="-2.8014783866302427E-2"/>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-0.34x + 25.43</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Sheet1!$W$7:$W$21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Sheet1!$X$7:$X$21</c:f>
              <c:numCache>
                <c:formatCode>0.0</c:formatCode>
                <c:ptCount val="15"/>
                <c:pt idx="0">
                  <c:v>23.49181131592422</c:v>
                </c:pt>
                <c:pt idx="1">
                  <c:v>22.854887992831539</c:v>
                </c:pt>
                <c:pt idx="2">
                  <c:v>22.975378815968359</c:v>
                </c:pt>
                <c:pt idx="3">
                  <c:v>23.328727598566307</c:v>
                </c:pt>
                <c:pt idx="4">
                  <c:v>23.195234823917616</c:v>
                </c:pt>
                <c:pt idx="5">
                  <c:v>22.676432269443023</c:v>
                </c:pt>
                <c:pt idx="6">
                  <c:v>23.19487668053667</c:v>
                </c:pt>
                <c:pt idx="7">
                  <c:v>22.905875789383852</c:v>
                </c:pt>
                <c:pt idx="8">
                  <c:v>21.971300609215664</c:v>
                </c:pt>
                <c:pt idx="9">
                  <c:v>22.611048387096776</c:v>
                </c:pt>
                <c:pt idx="10">
                  <c:v>21.871601161784696</c:v>
                </c:pt>
                <c:pt idx="11">
                  <c:v>22.375304659498209</c:v>
                </c:pt>
                <c:pt idx="12">
                  <c:v>19.812373911930361</c:v>
                </c:pt>
                <c:pt idx="13">
                  <c:v>20.958004352278547</c:v>
                </c:pt>
                <c:pt idx="14">
                  <c:v>21.562451974857428</c:v>
                </c:pt>
              </c:numCache>
            </c:numRef>
          </c:yVal>
          <c:smooth val="0"/>
          <c:extLst>
            <c:ext xmlns:c16="http://schemas.microsoft.com/office/drawing/2014/chart" uri="{C3380CC4-5D6E-409C-BE32-E72D297353CC}">
              <c16:uniqueId val="{00000003-8CCB-4769-93E2-F2F537E3AEDA}"/>
            </c:ext>
          </c:extLst>
        </c:ser>
        <c:dLbls>
          <c:showLegendKey val="0"/>
          <c:showVal val="0"/>
          <c:showCatName val="0"/>
          <c:showSerName val="0"/>
          <c:showPercent val="0"/>
          <c:showBubbleSize val="0"/>
        </c:dLbls>
        <c:axId val="573091160"/>
        <c:axId val="573093680"/>
      </c:scatterChart>
      <c:valAx>
        <c:axId val="573091160"/>
        <c:scaling>
          <c:orientation val="minMax"/>
          <c:max val="18"/>
          <c:min val="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Population</a:t>
                </a:r>
                <a:r>
                  <a:rPr lang="en-US" sz="1200" b="1" baseline="0">
                    <a:latin typeface="Times New Roman" panose="02020603050405020304" pitchFamily="18" charset="0"/>
                    <a:cs typeface="Times New Roman" panose="02020603050405020304" pitchFamily="18" charset="0"/>
                  </a:rPr>
                  <a:t> x10</a:t>
                </a:r>
                <a:r>
                  <a:rPr lang="en-US" sz="1200" b="1" baseline="30000">
                    <a:latin typeface="Times New Roman" panose="02020603050405020304" pitchFamily="18" charset="0"/>
                    <a:cs typeface="Times New Roman" panose="02020603050405020304" pitchFamily="18" charset="0"/>
                  </a:rPr>
                  <a:t>5</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3093680"/>
        <c:crosses val="autoZero"/>
        <c:crossBetween val="midCat"/>
      </c:valAx>
      <c:valAx>
        <c:axId val="5730936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Dewpoint (</a:t>
                </a:r>
                <a:r>
                  <a:rPr lang="en-US" sz="1200" b="1" baseline="30000">
                    <a:latin typeface="Times New Roman" panose="02020603050405020304" pitchFamily="18" charset="0"/>
                    <a:cs typeface="Times New Roman" panose="02020603050405020304" pitchFamily="18" charset="0"/>
                  </a:rPr>
                  <a:t>o</a:t>
                </a:r>
                <a:r>
                  <a:rPr lang="en-US" sz="1200" b="1">
                    <a:latin typeface="Times New Roman" panose="02020603050405020304" pitchFamily="18" charset="0"/>
                    <a:cs typeface="Times New Roman" panose="02020603050405020304" pitchFamily="18" charset="0"/>
                  </a:rPr>
                  <a:t>C)</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3091160"/>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71578882257552212"/>
          <c:y val="2.7210884353741496E-2"/>
          <c:w val="0.24782787501880738"/>
          <c:h val="0.1042562536825753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8143389970992"/>
          <c:y val="3.4062137581639507E-2"/>
          <c:w val="0.84880681033291905"/>
          <c:h val="0.7174261124336202"/>
        </c:manualLayout>
      </c:layout>
      <c:scatterChart>
        <c:scatterStyle val="lineMarker"/>
        <c:varyColors val="0"/>
        <c:ser>
          <c:idx val="0"/>
          <c:order val="0"/>
          <c:tx>
            <c:strRef>
              <c:f>Sheet1!$AA$6</c:f>
              <c:strCache>
                <c:ptCount val="1"/>
                <c:pt idx="0">
                  <c:v>Onitsha</c:v>
                </c:pt>
              </c:strCache>
            </c:strRef>
          </c:tx>
          <c:spPr>
            <a:ln w="19050" cap="rnd">
              <a:noFill/>
              <a:round/>
            </a:ln>
            <a:effectLst/>
          </c:spPr>
          <c:marker>
            <c:symbol val="circle"/>
            <c:size val="10"/>
            <c:spPr>
              <a:solidFill>
                <a:schemeClr val="tx1"/>
              </a:solidFill>
              <a:ln w="9525">
                <a:solidFill>
                  <a:schemeClr val="dk1"/>
                </a:solidFill>
              </a:ln>
              <a:effectLst/>
            </c:spPr>
          </c:marker>
          <c:trendline>
            <c:spPr>
              <a:ln w="31750" cap="rnd">
                <a:solidFill>
                  <a:schemeClr val="tx1"/>
                </a:solidFill>
                <a:prstDash val="solid"/>
              </a:ln>
              <a:effectLst/>
            </c:spPr>
            <c:trendlineType val="linear"/>
            <c:dispRSqr val="0"/>
            <c:dispEq val="1"/>
            <c:trendlineLbl>
              <c:layout>
                <c:manualLayout>
                  <c:x val="-0.45564459870147811"/>
                  <c:y val="-7.8666422511139603E-2"/>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Onitsha: y = -2.17x + 106.18</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Sheet1!$Z$7:$Z$20</c:f>
              <c:numCache>
                <c:formatCode>0.0</c:formatCode>
                <c:ptCount val="14"/>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numCache>
            </c:numRef>
          </c:xVal>
          <c:yVal>
            <c:numRef>
              <c:f>Sheet1!$AA$7:$AA$20</c:f>
              <c:numCache>
                <c:formatCode>0</c:formatCode>
                <c:ptCount val="14"/>
                <c:pt idx="0">
                  <c:v>86.650915898617498</c:v>
                </c:pt>
                <c:pt idx="1">
                  <c:v>86.175575396825408</c:v>
                </c:pt>
                <c:pt idx="2">
                  <c:v>86.760103201087631</c:v>
                </c:pt>
                <c:pt idx="3">
                  <c:v>87.729667818740396</c:v>
                </c:pt>
                <c:pt idx="4">
                  <c:v>86.037005888376868</c:v>
                </c:pt>
                <c:pt idx="5">
                  <c:v>81.471112391193031</c:v>
                </c:pt>
                <c:pt idx="6">
                  <c:v>76.363663020640217</c:v>
                </c:pt>
                <c:pt idx="7">
                  <c:v>76.504389400921653</c:v>
                </c:pt>
                <c:pt idx="8">
                  <c:v>76.580556195596529</c:v>
                </c:pt>
                <c:pt idx="9">
                  <c:v>77.843563108038907</c:v>
                </c:pt>
                <c:pt idx="10">
                  <c:v>74.87808336423187</c:v>
                </c:pt>
                <c:pt idx="11">
                  <c:v>75.638231566820266</c:v>
                </c:pt>
                <c:pt idx="12">
                  <c:v>71.216888760880693</c:v>
                </c:pt>
                <c:pt idx="13">
                  <c:v>73.473879928315398</c:v>
                </c:pt>
              </c:numCache>
            </c:numRef>
          </c:yVal>
          <c:smooth val="0"/>
          <c:extLst>
            <c:ext xmlns:c16="http://schemas.microsoft.com/office/drawing/2014/chart" uri="{C3380CC4-5D6E-409C-BE32-E72D297353CC}">
              <c16:uniqueId val="{00000001-2E3F-404E-BD49-6C051EE8DABA}"/>
            </c:ext>
          </c:extLst>
        </c:ser>
        <c:ser>
          <c:idx val="1"/>
          <c:order val="1"/>
          <c:tx>
            <c:v>Nnewi</c:v>
          </c:tx>
          <c:spPr>
            <a:ln w="25400" cap="rnd">
              <a:noFill/>
              <a:round/>
            </a:ln>
            <a:effectLst/>
          </c:spPr>
          <c:marker>
            <c:symbol val="triangle"/>
            <c:size val="12"/>
            <c:spPr>
              <a:solidFill>
                <a:schemeClr val="tx1"/>
              </a:solidFill>
              <a:ln w="9525">
                <a:solidFill>
                  <a:schemeClr val="dk1"/>
                </a:solidFill>
              </a:ln>
              <a:effectLst/>
            </c:spPr>
          </c:marker>
          <c:trendline>
            <c:spPr>
              <a:ln w="41275" cap="rnd">
                <a:solidFill>
                  <a:schemeClr val="tx1"/>
                </a:solidFill>
                <a:prstDash val="sysDot"/>
              </a:ln>
              <a:effectLst/>
            </c:spPr>
            <c:trendlineType val="linear"/>
            <c:dispRSqr val="0"/>
            <c:dispEq val="1"/>
            <c:trendlineLbl>
              <c:layout>
                <c:manualLayout>
                  <c:x val="-0.20782031357922365"/>
                  <c:y val="-6.3375938472807175E-2"/>
                </c:manualLayout>
              </c:layout>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baseline="0">
                        <a:latin typeface="Times New Roman" panose="02020603050405020304" pitchFamily="18" charset="0"/>
                        <a:cs typeface="Times New Roman" panose="02020603050405020304" pitchFamily="18" charset="0"/>
                      </a:rPr>
                      <a:t>Nnewi: y = -2.02x + 99.73</a:t>
                    </a:r>
                    <a:endParaRPr lang="en-US" sz="11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Sheet1!$AB$7:$AB$20</c:f>
              <c:numCache>
                <c:formatCode>0.0</c:formatCode>
                <c:ptCount val="14"/>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numCache>
            </c:numRef>
          </c:xVal>
          <c:yVal>
            <c:numRef>
              <c:f>Sheet1!$AC$7:$AC$20</c:f>
              <c:numCache>
                <c:formatCode>0.0</c:formatCode>
                <c:ptCount val="14"/>
                <c:pt idx="0">
                  <c:v>86.650915898617498</c:v>
                </c:pt>
                <c:pt idx="1">
                  <c:v>86.172098694316446</c:v>
                </c:pt>
                <c:pt idx="2">
                  <c:v>86.758490297861826</c:v>
                </c:pt>
                <c:pt idx="3">
                  <c:v>87.729667818740396</c:v>
                </c:pt>
                <c:pt idx="4">
                  <c:v>85.630357142857136</c:v>
                </c:pt>
                <c:pt idx="5">
                  <c:v>84.70076292882743</c:v>
                </c:pt>
                <c:pt idx="6">
                  <c:v>85.177082560870105</c:v>
                </c:pt>
                <c:pt idx="7">
                  <c:v>82.874443804403498</c:v>
                </c:pt>
                <c:pt idx="8">
                  <c:v>79.376601290379313</c:v>
                </c:pt>
                <c:pt idx="9">
                  <c:v>80.852290706605245</c:v>
                </c:pt>
                <c:pt idx="10">
                  <c:v>77.540829934495122</c:v>
                </c:pt>
                <c:pt idx="11">
                  <c:v>78.650228494623661</c:v>
                </c:pt>
                <c:pt idx="12">
                  <c:v>73.039480926779319</c:v>
                </c:pt>
                <c:pt idx="13">
                  <c:v>75.509370839733734</c:v>
                </c:pt>
              </c:numCache>
            </c:numRef>
          </c:yVal>
          <c:smooth val="0"/>
          <c:extLst>
            <c:ext xmlns:c16="http://schemas.microsoft.com/office/drawing/2014/chart" uri="{C3380CC4-5D6E-409C-BE32-E72D297353CC}">
              <c16:uniqueId val="{00000003-2E3F-404E-BD49-6C051EE8DABA}"/>
            </c:ext>
          </c:extLst>
        </c:ser>
        <c:dLbls>
          <c:showLegendKey val="0"/>
          <c:showVal val="0"/>
          <c:showCatName val="0"/>
          <c:showSerName val="0"/>
          <c:showPercent val="0"/>
          <c:showBubbleSize val="0"/>
        </c:dLbls>
        <c:axId val="449302272"/>
        <c:axId val="449305152"/>
      </c:scatterChart>
      <c:valAx>
        <c:axId val="449302272"/>
        <c:scaling>
          <c:orientation val="minMax"/>
          <c:min val="5"/>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Population  x10</a:t>
                </a:r>
                <a:r>
                  <a:rPr lang="en-US" sz="1100" b="1" baseline="30000">
                    <a:latin typeface="Times New Roman" panose="02020603050405020304" pitchFamily="18" charset="0"/>
                    <a:cs typeface="Times New Roman" panose="02020603050405020304" pitchFamily="18" charset="0"/>
                  </a:rPr>
                  <a:t>5</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9305152"/>
        <c:crosses val="autoZero"/>
        <c:crossBetween val="midCat"/>
      </c:valAx>
      <c:valAx>
        <c:axId val="449305152"/>
        <c:scaling>
          <c:orientation val="minMax"/>
          <c:min val="7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Humidity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9302272"/>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58777645393010081"/>
          <c:y val="1.8604651162790697E-2"/>
          <c:w val="0.39462253073628956"/>
          <c:h val="0.1046518952572788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7911888530712"/>
          <c:y val="3.2407407407407406E-2"/>
          <c:w val="0.85650812943684074"/>
          <c:h val="0.76067823380484512"/>
        </c:manualLayout>
      </c:layout>
      <c:scatterChart>
        <c:scatterStyle val="lineMarker"/>
        <c:varyColors val="0"/>
        <c:ser>
          <c:idx val="0"/>
          <c:order val="0"/>
          <c:tx>
            <c:strRef>
              <c:f>Sheet1!$AF$6</c:f>
              <c:strCache>
                <c:ptCount val="1"/>
                <c:pt idx="0">
                  <c:v>Onitsha</c:v>
                </c:pt>
              </c:strCache>
            </c:strRef>
          </c:tx>
          <c:spPr>
            <a:ln w="19050" cap="rnd">
              <a:noFill/>
              <a:round/>
            </a:ln>
            <a:effectLst/>
          </c:spPr>
          <c:marker>
            <c:symbol val="circle"/>
            <c:size val="10"/>
            <c:spPr>
              <a:solidFill>
                <a:schemeClr val="tx1"/>
              </a:solidFill>
              <a:ln w="9525">
                <a:solidFill>
                  <a:schemeClr val="dk1"/>
                </a:solidFill>
              </a:ln>
              <a:effectLst/>
            </c:spPr>
          </c:marker>
          <c:trendline>
            <c:spPr>
              <a:ln w="34925" cap="rnd">
                <a:solidFill>
                  <a:schemeClr val="tx1"/>
                </a:solidFill>
                <a:prstDash val="solid"/>
              </a:ln>
              <a:effectLst/>
            </c:spPr>
            <c:trendlineType val="linear"/>
            <c:dispRSqr val="0"/>
            <c:dispEq val="1"/>
            <c:trendlineLbl>
              <c:layout>
                <c:manualLayout>
                  <c:x val="-0.42107770085786256"/>
                  <c:y val="-0.45906115717836155"/>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Onitsha: y = -0.06x + 4.83</a:t>
                    </a: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Sheet1!$AE$7:$AE$21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Sheet1!$AF$7:$AF$21</c:f>
              <c:numCache>
                <c:formatCode>0.0</c:formatCode>
                <c:ptCount val="15"/>
                <c:pt idx="0">
                  <c:v>5.2492754582693282</c:v>
                </c:pt>
                <c:pt idx="1">
                  <c:v>4.7262585048643109</c:v>
                </c:pt>
                <c:pt idx="2">
                  <c:v>4.5496327116549251</c:v>
                </c:pt>
                <c:pt idx="3">
                  <c:v>5.6113629928315412</c:v>
                </c:pt>
                <c:pt idx="4">
                  <c:v>3.0387590104966722</c:v>
                </c:pt>
                <c:pt idx="5">
                  <c:v>3.34040476702509</c:v>
                </c:pt>
                <c:pt idx="6">
                  <c:v>3.6802382276603631</c:v>
                </c:pt>
                <c:pt idx="7">
                  <c:v>3.6744009216589872</c:v>
                </c:pt>
                <c:pt idx="8">
                  <c:v>3.6387429595494112</c:v>
                </c:pt>
                <c:pt idx="9">
                  <c:v>4.1123458371735788</c:v>
                </c:pt>
                <c:pt idx="10">
                  <c:v>3.1977553046594971</c:v>
                </c:pt>
                <c:pt idx="11">
                  <c:v>3.0086434933435733</c:v>
                </c:pt>
                <c:pt idx="12">
                  <c:v>4.0093913005632364</c:v>
                </c:pt>
                <c:pt idx="13">
                  <c:v>5.6803149001536086</c:v>
                </c:pt>
                <c:pt idx="14">
                  <c:v>4.2884769903066902</c:v>
                </c:pt>
              </c:numCache>
            </c:numRef>
          </c:yVal>
          <c:smooth val="0"/>
          <c:extLst>
            <c:ext xmlns:c16="http://schemas.microsoft.com/office/drawing/2014/chart" uri="{C3380CC4-5D6E-409C-BE32-E72D297353CC}">
              <c16:uniqueId val="{00000001-C3A5-4501-8110-67434A8F044E}"/>
            </c:ext>
          </c:extLst>
        </c:ser>
        <c:ser>
          <c:idx val="1"/>
          <c:order val="1"/>
          <c:tx>
            <c:v>Nnewi</c:v>
          </c:tx>
          <c:spPr>
            <a:ln w="25400" cap="rnd">
              <a:noFill/>
              <a:round/>
            </a:ln>
            <a:effectLst/>
          </c:spPr>
          <c:marker>
            <c:symbol val="triangle"/>
            <c:size val="12"/>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2017919991544681"/>
                  <c:y val="-0.2746201193877314"/>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Nnewi: y = 0.09x + 4.12</a:t>
                    </a: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Sheet1!$AG$7:$AG$21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Sheet1!$AH$7:$AH$21</c:f>
              <c:numCache>
                <c:formatCode>0.0</c:formatCode>
                <c:ptCount val="15"/>
                <c:pt idx="0">
                  <c:v>5.2147727854582691</c:v>
                </c:pt>
                <c:pt idx="1">
                  <c:v>4.6934082181259607</c:v>
                </c:pt>
                <c:pt idx="2">
                  <c:v>4.513849647756766</c:v>
                </c:pt>
                <c:pt idx="3">
                  <c:v>5.5713831285202247</c:v>
                </c:pt>
                <c:pt idx="4">
                  <c:v>3.0271169124423967</c:v>
                </c:pt>
                <c:pt idx="5">
                  <c:v>3.6812383870967746</c:v>
                </c:pt>
                <c:pt idx="6">
                  <c:v>5.2740032913113328</c:v>
                </c:pt>
                <c:pt idx="7">
                  <c:v>5.0440649257552481</c:v>
                </c:pt>
                <c:pt idx="8">
                  <c:v>5.8136931217075611</c:v>
                </c:pt>
                <c:pt idx="9">
                  <c:v>5.7717850742447512</c:v>
                </c:pt>
                <c:pt idx="10">
                  <c:v>4.8916261895933761</c:v>
                </c:pt>
                <c:pt idx="11">
                  <c:v>4.152332309267794</c:v>
                </c:pt>
                <c:pt idx="12">
                  <c:v>4.295284178187404</c:v>
                </c:pt>
                <c:pt idx="13">
                  <c:v>6.5197004608294939</c:v>
                </c:pt>
                <c:pt idx="14">
                  <c:v>4.9148050744213156</c:v>
                </c:pt>
              </c:numCache>
            </c:numRef>
          </c:yVal>
          <c:smooth val="0"/>
          <c:extLst>
            <c:ext xmlns:c16="http://schemas.microsoft.com/office/drawing/2014/chart" uri="{C3380CC4-5D6E-409C-BE32-E72D297353CC}">
              <c16:uniqueId val="{00000003-C3A5-4501-8110-67434A8F044E}"/>
            </c:ext>
          </c:extLst>
        </c:ser>
        <c:dLbls>
          <c:showLegendKey val="0"/>
          <c:showVal val="0"/>
          <c:showCatName val="0"/>
          <c:showSerName val="0"/>
          <c:showPercent val="0"/>
          <c:showBubbleSize val="0"/>
        </c:dLbls>
        <c:axId val="440384216"/>
        <c:axId val="440384576"/>
      </c:scatterChart>
      <c:valAx>
        <c:axId val="440384216"/>
        <c:scaling>
          <c:orientation val="minMax"/>
          <c:max val="18"/>
          <c:min val="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 x10</a:t>
                </a:r>
                <a:r>
                  <a:rPr lang="en-US" baseline="30000"/>
                  <a:t>5</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0384576"/>
        <c:crosses val="autoZero"/>
        <c:crossBetween val="midCat"/>
      </c:valAx>
      <c:valAx>
        <c:axId val="440384576"/>
        <c:scaling>
          <c:orientation val="minMax"/>
          <c:min val="2.8"/>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Precipitation (mm)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0384216"/>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71812415226620163"/>
          <c:y val="3.5398230088495575E-2"/>
          <c:w val="0.23936690799556096"/>
          <c:h val="0.1065375235175249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9256956665082"/>
          <c:y val="4.3555088947214916E-2"/>
          <c:w val="0.86231836028653031"/>
          <c:h val="0.74193665791776031"/>
        </c:manualLayout>
      </c:layout>
      <c:scatterChart>
        <c:scatterStyle val="lineMarker"/>
        <c:varyColors val="0"/>
        <c:ser>
          <c:idx val="0"/>
          <c:order val="0"/>
          <c:tx>
            <c:strRef>
              <c:f>popu!$AK$6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4.1964607605126034E-2"/>
                  <c:y val="-0.28508183143773697"/>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0.75x + 5.76</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popu!$AJ$7:$AJ$21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popu!$AK$7:$AK$21</c:f>
              <c:numCache>
                <c:formatCode>0</c:formatCode>
                <c:ptCount val="15"/>
                <c:pt idx="0">
                  <c:v>11.649683058090119</c:v>
                </c:pt>
                <c:pt idx="1">
                  <c:v>12.622469551574502</c:v>
                </c:pt>
                <c:pt idx="2">
                  <c:v>13.010332404560621</c:v>
                </c:pt>
                <c:pt idx="3">
                  <c:v>14.878580059792627</c:v>
                </c:pt>
                <c:pt idx="4">
                  <c:v>11.685596555555556</c:v>
                </c:pt>
                <c:pt idx="5">
                  <c:v>13.776971872606246</c:v>
                </c:pt>
                <c:pt idx="6">
                  <c:v>13.3575080336176</c:v>
                </c:pt>
                <c:pt idx="7">
                  <c:v>13.439644137224782</c:v>
                </c:pt>
                <c:pt idx="8">
                  <c:v>12.781937403993853</c:v>
                </c:pt>
                <c:pt idx="9">
                  <c:v>27.950749102675363</c:v>
                </c:pt>
                <c:pt idx="10">
                  <c:v>16.170627335527129</c:v>
                </c:pt>
                <c:pt idx="11">
                  <c:v>16.335250098975937</c:v>
                </c:pt>
                <c:pt idx="12">
                  <c:v>14.578114304109063</c:v>
                </c:pt>
                <c:pt idx="13">
                  <c:v>16.733415258576546</c:v>
                </c:pt>
                <c:pt idx="14">
                  <c:v>18.488277616420362</c:v>
                </c:pt>
              </c:numCache>
            </c:numRef>
          </c:yVal>
          <c:smooth val="0"/>
          <c:extLst>
            <c:ext xmlns:c16="http://schemas.microsoft.com/office/drawing/2014/chart" uri="{C3380CC4-5D6E-409C-BE32-E72D297353CC}">
              <c16:uniqueId val="{00000001-7D95-4DED-8BD9-D679C966C312}"/>
            </c:ext>
          </c:extLst>
        </c:ser>
        <c:ser>
          <c:idx val="1"/>
          <c:order val="1"/>
          <c:tx>
            <c:v>Nnewi</c:v>
          </c:tx>
          <c:spPr>
            <a:ln w="25400" cap="rnd">
              <a:noFill/>
              <a:round/>
            </a:ln>
            <a:effectLst/>
          </c:spPr>
          <c:marker>
            <c:symbol val="triangle"/>
            <c:size val="12"/>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32383244916571396"/>
                  <c:y val="-0.14984940215806358"/>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0.88x + 7.52</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popu!$AL$7:$AL$21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popu!$AM$7:$AM$21</c:f>
              <c:numCache>
                <c:formatCode>0</c:formatCode>
                <c:ptCount val="15"/>
                <c:pt idx="0">
                  <c:v>11.651536738351254</c:v>
                </c:pt>
                <c:pt idx="1">
                  <c:v>12.628886968766004</c:v>
                </c:pt>
                <c:pt idx="2">
                  <c:v>13.015091150661229</c:v>
                </c:pt>
                <c:pt idx="3">
                  <c:v>14.880561955965179</c:v>
                </c:pt>
                <c:pt idx="4">
                  <c:v>14.325625742601124</c:v>
                </c:pt>
                <c:pt idx="5">
                  <c:v>15.009382196620585</c:v>
                </c:pt>
                <c:pt idx="6">
                  <c:v>13.389258280274378</c:v>
                </c:pt>
                <c:pt idx="7">
                  <c:v>12.416155906426013</c:v>
                </c:pt>
                <c:pt idx="8">
                  <c:v>11.652632482014878</c:v>
                </c:pt>
                <c:pt idx="9">
                  <c:v>27.160524833589353</c:v>
                </c:pt>
                <c:pt idx="10">
                  <c:v>15.328091088864168</c:v>
                </c:pt>
                <c:pt idx="11">
                  <c:v>16.634323476702512</c:v>
                </c:pt>
                <c:pt idx="12">
                  <c:v>15.353643753200203</c:v>
                </c:pt>
                <c:pt idx="13">
                  <c:v>17.978435739887349</c:v>
                </c:pt>
                <c:pt idx="14">
                  <c:v>19.699369035981935</c:v>
                </c:pt>
              </c:numCache>
            </c:numRef>
          </c:yVal>
          <c:smooth val="0"/>
          <c:extLst>
            <c:ext xmlns:c16="http://schemas.microsoft.com/office/drawing/2014/chart" uri="{C3380CC4-5D6E-409C-BE32-E72D297353CC}">
              <c16:uniqueId val="{00000003-7D95-4DED-8BD9-D679C966C312}"/>
            </c:ext>
          </c:extLst>
        </c:ser>
        <c:dLbls>
          <c:showLegendKey val="0"/>
          <c:showVal val="0"/>
          <c:showCatName val="0"/>
          <c:showSerName val="0"/>
          <c:showPercent val="0"/>
          <c:showBubbleSize val="0"/>
        </c:dLbls>
        <c:axId val="112055784"/>
        <c:axId val="556752608"/>
      </c:scatterChart>
      <c:valAx>
        <c:axId val="112055784"/>
        <c:scaling>
          <c:orientation val="minMax"/>
          <c:max val="17"/>
          <c:min val="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Population x 10</a:t>
                </a:r>
                <a:r>
                  <a:rPr lang="en-US" sz="1200" b="1" baseline="30000">
                    <a:latin typeface="Times New Roman" panose="02020603050405020304" pitchFamily="18" charset="0"/>
                    <a:cs typeface="Times New Roman" panose="02020603050405020304" pitchFamily="18" charset="0"/>
                  </a:rPr>
                  <a:t>5</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6752608"/>
        <c:crosses val="autoZero"/>
        <c:crossBetween val="midCat"/>
      </c:valAx>
      <c:valAx>
        <c:axId val="556752608"/>
        <c:scaling>
          <c:orientation val="minMax"/>
          <c:min val="1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Wind Speed (km/h)</a:t>
                </a:r>
              </a:p>
            </c:rich>
          </c:tx>
          <c:layout>
            <c:manualLayout>
              <c:xMode val="edge"/>
              <c:yMode val="edge"/>
              <c:x val="1.1504369457896067E-2"/>
              <c:y val="0.1395158938466025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2055784"/>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14309403004885404"/>
          <c:y val="2.9629629629629631E-2"/>
          <c:w val="0.29619349783560905"/>
          <c:h val="0.1265180519101779"/>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4822742802561"/>
          <c:y val="4.208322749978833E-2"/>
          <c:w val="0.84106762017066705"/>
          <c:h val="0.76643721954110577"/>
        </c:manualLayout>
      </c:layout>
      <c:scatterChart>
        <c:scatterStyle val="lineMarker"/>
        <c:varyColors val="0"/>
        <c:ser>
          <c:idx val="0"/>
          <c:order val="0"/>
          <c:tx>
            <c:strRef>
              <c:f>popu!$AZ$6</c:f>
              <c:strCache>
                <c:ptCount val="1"/>
                <c:pt idx="0">
                  <c:v>Onitsha</c:v>
                </c:pt>
              </c:strCache>
            </c:strRef>
          </c:tx>
          <c:spPr>
            <a:ln w="19050" cap="rnd">
              <a:noFill/>
              <a:round/>
            </a:ln>
            <a:effectLst/>
          </c:spPr>
          <c:marker>
            <c:symbol val="circle"/>
            <c:size val="10"/>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40901872773149733"/>
                  <c:y val="-0.43004148674964016"/>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aseline="0"/>
                      <a:t> Onitsha: y = 0.09x + 74.10</a:t>
                    </a:r>
                    <a:endParaRPr lang="en-US" sz="1200"/>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popu!$AY$7:$AY$21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popu!$AZ$7:$AZ$21</c:f>
              <c:numCache>
                <c:formatCode>0</c:formatCode>
                <c:ptCount val="15"/>
                <c:pt idx="0">
                  <c:v>75.157289426523292</c:v>
                </c:pt>
                <c:pt idx="1">
                  <c:v>74.735033282130047</c:v>
                </c:pt>
                <c:pt idx="2">
                  <c:v>75.633375355333087</c:v>
                </c:pt>
                <c:pt idx="3">
                  <c:v>75.928771121351772</c:v>
                </c:pt>
                <c:pt idx="4">
                  <c:v>73.388932411674347</c:v>
                </c:pt>
                <c:pt idx="5">
                  <c:v>72.405832693292368</c:v>
                </c:pt>
                <c:pt idx="6">
                  <c:v>72.947173093560735</c:v>
                </c:pt>
                <c:pt idx="7">
                  <c:v>77.424763824884778</c:v>
                </c:pt>
                <c:pt idx="8">
                  <c:v>76.295608678955446</c:v>
                </c:pt>
                <c:pt idx="9">
                  <c:v>79.916973886328705</c:v>
                </c:pt>
                <c:pt idx="10">
                  <c:v>73.867765418366076</c:v>
                </c:pt>
                <c:pt idx="11">
                  <c:v>74.855714285714285</c:v>
                </c:pt>
                <c:pt idx="12">
                  <c:v>73.964081541218619</c:v>
                </c:pt>
                <c:pt idx="13">
                  <c:v>76.256808115719409</c:v>
                </c:pt>
                <c:pt idx="14">
                  <c:v>74.960411038720267</c:v>
                </c:pt>
              </c:numCache>
            </c:numRef>
          </c:yVal>
          <c:smooth val="0"/>
          <c:extLst>
            <c:ext xmlns:c16="http://schemas.microsoft.com/office/drawing/2014/chart" uri="{C3380CC4-5D6E-409C-BE32-E72D297353CC}">
              <c16:uniqueId val="{00000001-91F8-4E0F-9C21-D119C9AD62FD}"/>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16274183118414545"/>
                  <c:y val="-0.41419778172889676"/>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Nnewi: </a:t>
                    </a:r>
                    <a:r>
                      <a:rPr lang="en-US" sz="1200" baseline="0"/>
                      <a:t>y = 0.23x + 74.41</a:t>
                    </a:r>
                    <a:endParaRPr lang="en-US" sz="1200"/>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popu!$BA$7:$BA$21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popu!$BB$7:$BB$21</c:f>
              <c:numCache>
                <c:formatCode>0</c:formatCode>
                <c:ptCount val="15"/>
                <c:pt idx="0">
                  <c:v>75.157289426523292</c:v>
                </c:pt>
                <c:pt idx="1">
                  <c:v>74.721305683563742</c:v>
                </c:pt>
                <c:pt idx="2">
                  <c:v>75.62423557038683</c:v>
                </c:pt>
                <c:pt idx="3">
                  <c:v>75.928771121351772</c:v>
                </c:pt>
                <c:pt idx="4">
                  <c:v>74.011361367127492</c:v>
                </c:pt>
                <c:pt idx="5">
                  <c:v>71.792158858166928</c:v>
                </c:pt>
                <c:pt idx="6">
                  <c:v>74.849899579780001</c:v>
                </c:pt>
                <c:pt idx="7">
                  <c:v>82.838495903737837</c:v>
                </c:pt>
                <c:pt idx="8">
                  <c:v>79.388967511730002</c:v>
                </c:pt>
                <c:pt idx="9">
                  <c:v>82.222692012288789</c:v>
                </c:pt>
                <c:pt idx="10">
                  <c:v>77.157006550488205</c:v>
                </c:pt>
                <c:pt idx="11">
                  <c:v>77.665340501792102</c:v>
                </c:pt>
                <c:pt idx="12">
                  <c:v>74.539822708653375</c:v>
                </c:pt>
                <c:pt idx="13">
                  <c:v>76.562168458781358</c:v>
                </c:pt>
                <c:pt idx="14">
                  <c:v>74.119124728935617</c:v>
                </c:pt>
              </c:numCache>
            </c:numRef>
          </c:yVal>
          <c:smooth val="0"/>
          <c:extLst>
            <c:ext xmlns:c16="http://schemas.microsoft.com/office/drawing/2014/chart" uri="{C3380CC4-5D6E-409C-BE32-E72D297353CC}">
              <c16:uniqueId val="{00000003-91F8-4E0F-9C21-D119C9AD62FD}"/>
            </c:ext>
          </c:extLst>
        </c:ser>
        <c:dLbls>
          <c:showLegendKey val="0"/>
          <c:showVal val="0"/>
          <c:showCatName val="0"/>
          <c:showSerName val="0"/>
          <c:showPercent val="0"/>
          <c:showBubbleSize val="0"/>
        </c:dLbls>
        <c:axId val="556745408"/>
        <c:axId val="556748648"/>
      </c:scatterChart>
      <c:valAx>
        <c:axId val="556745408"/>
        <c:scaling>
          <c:orientation val="minMax"/>
          <c:max val="18"/>
          <c:min val="5"/>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 x 10</a:t>
                </a:r>
                <a:r>
                  <a:rPr lang="en-US" baseline="30000"/>
                  <a:t>5</a:t>
                </a:r>
              </a:p>
            </c:rich>
          </c:tx>
          <c:layout>
            <c:manualLayout>
              <c:xMode val="edge"/>
              <c:yMode val="edge"/>
              <c:x val="0.42000672061321054"/>
              <c:y val="0.90797900262467179"/>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tx1"/>
            </a:solidFill>
            <a:prstDash val="solid"/>
            <a:miter lim="800000"/>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6748648"/>
        <c:crosses val="autoZero"/>
        <c:crossBetween val="midCat"/>
        <c:majorUnit val="2"/>
      </c:valAx>
      <c:valAx>
        <c:axId val="556748648"/>
        <c:scaling>
          <c:orientation val="minMax"/>
          <c:max val="86"/>
          <c:min val="70"/>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Cloud Cover (%)</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6745408"/>
        <c:crosses val="autoZero"/>
        <c:crossBetween val="midCat"/>
        <c:majorUnit val="4"/>
      </c:valAx>
      <c:spPr>
        <a:noFill/>
        <a:ln>
          <a:noFill/>
        </a:ln>
        <a:effectLst/>
      </c:spPr>
    </c:plotArea>
    <c:legend>
      <c:legendPos val="t"/>
      <c:legendEntry>
        <c:idx val="2"/>
        <c:delete val="1"/>
      </c:legendEntry>
      <c:legendEntry>
        <c:idx val="3"/>
        <c:delete val="1"/>
      </c:legendEntry>
      <c:layout>
        <c:manualLayout>
          <c:xMode val="edge"/>
          <c:yMode val="edge"/>
          <c:x val="0.62498450978651821"/>
          <c:y val="1.6429599525865717E-3"/>
          <c:w val="0.37179921713938008"/>
          <c:h val="9.884222805482648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5512238494618"/>
          <c:y val="8.2360479587938851E-2"/>
          <c:w val="0.85123975138286867"/>
          <c:h val="0.76961328750314884"/>
        </c:manualLayout>
      </c:layout>
      <c:scatterChart>
        <c:scatterStyle val="lineMarker"/>
        <c:varyColors val="0"/>
        <c:ser>
          <c:idx val="0"/>
          <c:order val="0"/>
          <c:tx>
            <c:strRef>
              <c:f>popu!$BE$6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8100" cap="rnd">
                <a:solidFill>
                  <a:schemeClr val="tx1"/>
                </a:solidFill>
                <a:prstDash val="solid"/>
              </a:ln>
              <a:effectLst/>
            </c:spPr>
            <c:trendlineType val="linear"/>
            <c:dispRSqr val="0"/>
            <c:dispEq val="1"/>
            <c:trendlineLbl>
              <c:layout>
                <c:manualLayout>
                  <c:x val="-0.53330990792274746"/>
                  <c:y val="-0.28086700430051875"/>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8.02x + 88.47</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popu!$BD$7:$BD$21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popu!$BE$7:$BE$21</c:f>
              <c:numCache>
                <c:formatCode>0</c:formatCode>
                <c:ptCount val="15"/>
                <c:pt idx="0">
                  <c:v>168.53365655401944</c:v>
                </c:pt>
                <c:pt idx="1">
                  <c:v>167.11306515616999</c:v>
                </c:pt>
                <c:pt idx="2">
                  <c:v>164.82574805339266</c:v>
                </c:pt>
                <c:pt idx="3">
                  <c:v>163.08201548899126</c:v>
                </c:pt>
                <c:pt idx="4">
                  <c:v>170.52297619047616</c:v>
                </c:pt>
                <c:pt idx="5">
                  <c:v>173.34357782898101</c:v>
                </c:pt>
                <c:pt idx="6">
                  <c:v>186.93783988382154</c:v>
                </c:pt>
                <c:pt idx="7">
                  <c:v>186.5718862007169</c:v>
                </c:pt>
                <c:pt idx="8">
                  <c:v>189.06765745007681</c:v>
                </c:pt>
                <c:pt idx="9">
                  <c:v>184.45670826932925</c:v>
                </c:pt>
                <c:pt idx="10">
                  <c:v>196.20708966753182</c:v>
                </c:pt>
                <c:pt idx="11">
                  <c:v>195.11580325140812</c:v>
                </c:pt>
                <c:pt idx="12">
                  <c:v>228.35672811059908</c:v>
                </c:pt>
                <c:pt idx="13">
                  <c:v>222.98793266769076</c:v>
                </c:pt>
                <c:pt idx="14">
                  <c:v>229.69033423380478</c:v>
                </c:pt>
              </c:numCache>
            </c:numRef>
          </c:yVal>
          <c:smooth val="0"/>
          <c:extLst>
            <c:ext xmlns:c16="http://schemas.microsoft.com/office/drawing/2014/chart" uri="{C3380CC4-5D6E-409C-BE32-E72D297353CC}">
              <c16:uniqueId val="{00000001-2F97-4778-B92F-CDBAF4238C4E}"/>
            </c:ext>
          </c:extLst>
        </c:ser>
        <c:ser>
          <c:idx val="1"/>
          <c:order val="1"/>
          <c:tx>
            <c:v>Nnewi</c:v>
          </c:tx>
          <c:spPr>
            <a:ln w="25400" cap="rnd">
              <a:noFill/>
              <a:round/>
            </a:ln>
            <a:effectLst/>
          </c:spPr>
          <c:marker>
            <c:symbol val="triangle"/>
            <c:size val="11"/>
            <c:spPr>
              <a:solidFill>
                <a:sysClr val="windowText" lastClr="000000"/>
              </a:solidFill>
              <a:ln w="9525">
                <a:solidFill>
                  <a:schemeClr val="dk1"/>
                </a:solidFill>
              </a:ln>
              <a:effectLst/>
            </c:spPr>
          </c:marker>
          <c:trendline>
            <c:spPr>
              <a:ln w="38100" cap="rnd">
                <a:solidFill>
                  <a:schemeClr val="tx1"/>
                </a:solidFill>
                <a:prstDash val="sysDot"/>
              </a:ln>
              <a:effectLst/>
            </c:spPr>
            <c:trendlineType val="linear"/>
            <c:dispRSqr val="0"/>
            <c:dispEq val="1"/>
            <c:trendlineLbl>
              <c:layout>
                <c:manualLayout>
                  <c:x val="-0.2503534765254935"/>
                  <c:y val="-0.14353805774278217"/>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8.13x + 110.83</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popu!$BF$7:$BF$21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popu!$BG$7:$BG$21</c:f>
              <c:numCache>
                <c:formatCode>0.0</c:formatCode>
                <c:ptCount val="15"/>
                <c:pt idx="0">
                  <c:v>168.53365655401944</c:v>
                </c:pt>
                <c:pt idx="1">
                  <c:v>167.11306515616999</c:v>
                </c:pt>
                <c:pt idx="2">
                  <c:v>164.82574805339266</c:v>
                </c:pt>
                <c:pt idx="3">
                  <c:v>163.08201548899126</c:v>
                </c:pt>
                <c:pt idx="4">
                  <c:v>170.52297619047616</c:v>
                </c:pt>
                <c:pt idx="5">
                  <c:v>169.93752944188427</c:v>
                </c:pt>
                <c:pt idx="6">
                  <c:v>167.42905017921149</c:v>
                </c:pt>
                <c:pt idx="7">
                  <c:v>173.20246863799284</c:v>
                </c:pt>
                <c:pt idx="8">
                  <c:v>185.6098777823822</c:v>
                </c:pt>
                <c:pt idx="9">
                  <c:v>181.39403161802355</c:v>
                </c:pt>
                <c:pt idx="10">
                  <c:v>193.69225991842791</c:v>
                </c:pt>
                <c:pt idx="11">
                  <c:v>191.12463069636453</c:v>
                </c:pt>
                <c:pt idx="12">
                  <c:v>221.27417882744498</c:v>
                </c:pt>
                <c:pt idx="13">
                  <c:v>217.16140681003586</c:v>
                </c:pt>
                <c:pt idx="14">
                  <c:v>222.71465581847397</c:v>
                </c:pt>
              </c:numCache>
            </c:numRef>
          </c:yVal>
          <c:smooth val="0"/>
          <c:extLst>
            <c:ext xmlns:c16="http://schemas.microsoft.com/office/drawing/2014/chart" uri="{C3380CC4-5D6E-409C-BE32-E72D297353CC}">
              <c16:uniqueId val="{00000003-2F97-4778-B92F-CDBAF4238C4E}"/>
            </c:ext>
          </c:extLst>
        </c:ser>
        <c:dLbls>
          <c:showLegendKey val="0"/>
          <c:showVal val="0"/>
          <c:showCatName val="0"/>
          <c:showSerName val="0"/>
          <c:showPercent val="0"/>
          <c:showBubbleSize val="0"/>
        </c:dLbls>
        <c:axId val="556738928"/>
        <c:axId val="556742888"/>
      </c:scatterChart>
      <c:valAx>
        <c:axId val="556738928"/>
        <c:scaling>
          <c:orientation val="minMax"/>
          <c:max val="17"/>
          <c:min val="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Population x 10</a:t>
                </a:r>
                <a:r>
                  <a:rPr lang="en-US" sz="1200" b="1" baseline="30000">
                    <a:latin typeface="Times New Roman" panose="02020603050405020304" pitchFamily="18" charset="0"/>
                    <a:cs typeface="Times New Roman" panose="02020603050405020304" pitchFamily="18" charset="0"/>
                  </a:rPr>
                  <a:t>5</a:t>
                </a:r>
              </a:p>
            </c:rich>
          </c:tx>
          <c:layout>
            <c:manualLayout>
              <c:xMode val="edge"/>
              <c:yMode val="edge"/>
              <c:x val="0.44439795617263828"/>
              <c:y val="0.917690938787450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6742888"/>
        <c:crosses val="autoZero"/>
        <c:crossBetween val="midCat"/>
      </c:valAx>
      <c:valAx>
        <c:axId val="556742888"/>
        <c:scaling>
          <c:orientation val="minMax"/>
          <c:max val="240"/>
          <c:min val="1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Solat Radiation (W/m</a:t>
                </a:r>
                <a:r>
                  <a:rPr lang="en-US" sz="1200" b="1" baseline="30000">
                    <a:latin typeface="Times New Roman" panose="02020603050405020304" pitchFamily="18" charset="0"/>
                    <a:cs typeface="Times New Roman" panose="02020603050405020304" pitchFamily="18" charset="0"/>
                  </a:rPr>
                  <a:t>2</a:t>
                </a:r>
                <a:r>
                  <a:rPr lang="en-US" sz="1200" b="1">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6738928"/>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50983490968954326"/>
          <c:y val="6.6482034573264546E-3"/>
          <c:w val="0.25347867347200492"/>
          <c:h val="0.1261789459416164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77002874640647E-2"/>
          <c:y val="3.0764071157771945E-2"/>
          <c:w val="0.85986435028954711"/>
          <c:h val="0.80756926217556135"/>
        </c:manualLayout>
      </c:layout>
      <c:scatterChart>
        <c:scatterStyle val="lineMarker"/>
        <c:varyColors val="0"/>
        <c:ser>
          <c:idx val="0"/>
          <c:order val="0"/>
          <c:tx>
            <c:strRef>
              <c:f>popu!$BO$6</c:f>
              <c:strCache>
                <c:ptCount val="1"/>
                <c:pt idx="0">
                  <c:v>Onitsha</c:v>
                </c:pt>
              </c:strCache>
            </c:strRef>
          </c:tx>
          <c:spPr>
            <a:ln w="19050" cap="rnd">
              <a:noFill/>
              <a:round/>
            </a:ln>
            <a:effectLst/>
          </c:spPr>
          <c:marker>
            <c:symbol val="circle"/>
            <c:size val="9"/>
            <c:spPr>
              <a:solidFill>
                <a:schemeClr val="tx1"/>
              </a:solidFill>
              <a:ln w="9525">
                <a:solidFill>
                  <a:schemeClr val="tx1"/>
                </a:solidFill>
              </a:ln>
              <a:effectLst/>
            </c:spPr>
          </c:marker>
          <c:trendline>
            <c:spPr>
              <a:ln w="34925" cap="rnd">
                <a:solidFill>
                  <a:schemeClr val="tx1"/>
                </a:solidFill>
                <a:prstDash val="solid"/>
              </a:ln>
              <a:effectLst/>
            </c:spPr>
            <c:trendlineType val="linear"/>
            <c:dispRSqr val="0"/>
            <c:dispEq val="1"/>
            <c:trendlineLbl>
              <c:layout>
                <c:manualLayout>
                  <c:x val="-0.50047027454901472"/>
                  <c:y val="7.9396325459317584E-3"/>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Onitsha: y = 0.33x + 2.75</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popu!$BN$7:$BN$21</c:f>
              <c:numCache>
                <c:formatCode>0.0</c:formatCode>
                <c:ptCount val="15"/>
                <c:pt idx="0">
                  <c:v>8.69</c:v>
                </c:pt>
                <c:pt idx="1">
                  <c:v>9.1199999999999992</c:v>
                </c:pt>
                <c:pt idx="2">
                  <c:v>9.58</c:v>
                </c:pt>
                <c:pt idx="3">
                  <c:v>10.06</c:v>
                </c:pt>
                <c:pt idx="4">
                  <c:v>10.57</c:v>
                </c:pt>
                <c:pt idx="5">
                  <c:v>11.09</c:v>
                </c:pt>
                <c:pt idx="6">
                  <c:v>11.65</c:v>
                </c:pt>
                <c:pt idx="7">
                  <c:v>12.23</c:v>
                </c:pt>
                <c:pt idx="8">
                  <c:v>12.85</c:v>
                </c:pt>
                <c:pt idx="9">
                  <c:v>13.49</c:v>
                </c:pt>
                <c:pt idx="10">
                  <c:v>14.15</c:v>
                </c:pt>
                <c:pt idx="11">
                  <c:v>14.83</c:v>
                </c:pt>
                <c:pt idx="12">
                  <c:v>15.53</c:v>
                </c:pt>
                <c:pt idx="13">
                  <c:v>16.23</c:v>
                </c:pt>
                <c:pt idx="14">
                  <c:v>16.95</c:v>
                </c:pt>
              </c:numCache>
            </c:numRef>
          </c:xVal>
          <c:yVal>
            <c:numRef>
              <c:f>popu!$BO$7:$BO$21</c:f>
              <c:numCache>
                <c:formatCode>0.0</c:formatCode>
                <c:ptCount val="15"/>
                <c:pt idx="0">
                  <c:v>6.0439580133128521</c:v>
                </c:pt>
                <c:pt idx="1">
                  <c:v>6.029505888376856</c:v>
                </c:pt>
                <c:pt idx="2">
                  <c:v>5.9314639723149183</c:v>
                </c:pt>
                <c:pt idx="3">
                  <c:v>5.8833973374295958</c:v>
                </c:pt>
                <c:pt idx="4">
                  <c:v>6.1333525345622135</c:v>
                </c:pt>
                <c:pt idx="5">
                  <c:v>6.367837941628264</c:v>
                </c:pt>
                <c:pt idx="6">
                  <c:v>6.9878197997775304</c:v>
                </c:pt>
                <c:pt idx="7">
                  <c:v>7.0158346134152589</c:v>
                </c:pt>
                <c:pt idx="8">
                  <c:v>7.0720174091141814</c:v>
                </c:pt>
                <c:pt idx="9">
                  <c:v>6.9203405017921158</c:v>
                </c:pt>
                <c:pt idx="10">
                  <c:v>7.2776789024842428</c:v>
                </c:pt>
                <c:pt idx="11">
                  <c:v>7.1744431643625193</c:v>
                </c:pt>
                <c:pt idx="12">
                  <c:v>8.5457309267793153</c:v>
                </c:pt>
                <c:pt idx="13">
                  <c:v>8.3961789554531503</c:v>
                </c:pt>
                <c:pt idx="14">
                  <c:v>8.6689867048042792</c:v>
                </c:pt>
              </c:numCache>
            </c:numRef>
          </c:yVal>
          <c:smooth val="0"/>
          <c:extLst>
            <c:ext xmlns:c16="http://schemas.microsoft.com/office/drawing/2014/chart" uri="{C3380CC4-5D6E-409C-BE32-E72D297353CC}">
              <c16:uniqueId val="{00000001-4C43-42B5-91F4-599C43866FB3}"/>
            </c:ext>
          </c:extLst>
        </c:ser>
        <c:ser>
          <c:idx val="1"/>
          <c:order val="1"/>
          <c:tx>
            <c:v>Nnewi</c:v>
          </c:tx>
          <c:spPr>
            <a:ln w="25400" cap="rnd">
              <a:noFill/>
              <a:round/>
            </a:ln>
            <a:effectLst/>
          </c:spPr>
          <c:marker>
            <c:symbol val="triangle"/>
            <c:size val="11"/>
            <c:spPr>
              <a:solidFill>
                <a:schemeClr val="tx1"/>
              </a:solidFill>
              <a:ln w="9525">
                <a:solidFill>
                  <a:schemeClr val="tx1"/>
                </a:solidFill>
              </a:ln>
              <a:effectLst/>
            </c:spPr>
          </c:marker>
          <c:trendline>
            <c:spPr>
              <a:ln w="38100" cap="rnd">
                <a:solidFill>
                  <a:schemeClr val="tx1"/>
                </a:solidFill>
                <a:prstDash val="sysDot"/>
              </a:ln>
              <a:effectLst/>
            </c:spPr>
            <c:trendlineType val="linear"/>
            <c:dispRSqr val="0"/>
            <c:dispEq val="1"/>
            <c:trendlineLbl>
              <c:layout>
                <c:manualLayout>
                  <c:x val="-0.23440203307919844"/>
                  <c:y val="-0.1124157917760279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Nnewi: y = 0.37x + 3.56</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popu!$BP$7:$BP$21</c:f>
              <c:numCache>
                <c:formatCode>0.0</c:formatCode>
                <c:ptCount val="15"/>
                <c:pt idx="0">
                  <c:v>5.62</c:v>
                </c:pt>
                <c:pt idx="1">
                  <c:v>5.99</c:v>
                </c:pt>
                <c:pt idx="2">
                  <c:v>6.38</c:v>
                </c:pt>
                <c:pt idx="3">
                  <c:v>6.79</c:v>
                </c:pt>
                <c:pt idx="4">
                  <c:v>7.23</c:v>
                </c:pt>
                <c:pt idx="5">
                  <c:v>7.7</c:v>
                </c:pt>
                <c:pt idx="6">
                  <c:v>8.1999999999999993</c:v>
                </c:pt>
                <c:pt idx="7">
                  <c:v>8.73</c:v>
                </c:pt>
                <c:pt idx="8">
                  <c:v>9.3000000000000007</c:v>
                </c:pt>
                <c:pt idx="9">
                  <c:v>9.89</c:v>
                </c:pt>
                <c:pt idx="10">
                  <c:v>10.51</c:v>
                </c:pt>
                <c:pt idx="11">
                  <c:v>11.14</c:v>
                </c:pt>
                <c:pt idx="12">
                  <c:v>11.77</c:v>
                </c:pt>
                <c:pt idx="13">
                  <c:v>12.39</c:v>
                </c:pt>
                <c:pt idx="14">
                  <c:v>13.01</c:v>
                </c:pt>
              </c:numCache>
            </c:numRef>
          </c:xVal>
          <c:yVal>
            <c:numRef>
              <c:f>popu!$BQ$7:$BQ$21</c:f>
              <c:numCache>
                <c:formatCode>0.0</c:formatCode>
                <c:ptCount val="15"/>
                <c:pt idx="0">
                  <c:v>6.0439580133128521</c:v>
                </c:pt>
                <c:pt idx="1">
                  <c:v>6.029505888376856</c:v>
                </c:pt>
                <c:pt idx="2">
                  <c:v>5.9314639723149183</c:v>
                </c:pt>
                <c:pt idx="3">
                  <c:v>5.8833973374295958</c:v>
                </c:pt>
                <c:pt idx="4">
                  <c:v>6.1333525345622135</c:v>
                </c:pt>
                <c:pt idx="5">
                  <c:v>6.1370135688684071</c:v>
                </c:pt>
                <c:pt idx="6">
                  <c:v>6.0638734396242748</c:v>
                </c:pt>
                <c:pt idx="7">
                  <c:v>6.6520225294418838</c:v>
                </c:pt>
                <c:pt idx="8">
                  <c:v>7.1339292951733499</c:v>
                </c:pt>
                <c:pt idx="9">
                  <c:v>6.9945724526369704</c:v>
                </c:pt>
                <c:pt idx="10">
                  <c:v>7.320498084291188</c:v>
                </c:pt>
                <c:pt idx="11">
                  <c:v>7.2308051715309789</c:v>
                </c:pt>
                <c:pt idx="12">
                  <c:v>8.422004608294932</c:v>
                </c:pt>
                <c:pt idx="13">
                  <c:v>8.2363223246287784</c:v>
                </c:pt>
                <c:pt idx="14">
                  <c:v>8.3848505514384275</c:v>
                </c:pt>
              </c:numCache>
            </c:numRef>
          </c:yVal>
          <c:smooth val="0"/>
          <c:extLst>
            <c:ext xmlns:c16="http://schemas.microsoft.com/office/drawing/2014/chart" uri="{C3380CC4-5D6E-409C-BE32-E72D297353CC}">
              <c16:uniqueId val="{00000003-4C43-42B5-91F4-599C43866FB3}"/>
            </c:ext>
          </c:extLst>
        </c:ser>
        <c:dLbls>
          <c:showLegendKey val="0"/>
          <c:showVal val="0"/>
          <c:showCatName val="0"/>
          <c:showSerName val="0"/>
          <c:showPercent val="0"/>
          <c:showBubbleSize val="0"/>
        </c:dLbls>
        <c:axId val="566197232"/>
        <c:axId val="566187872"/>
      </c:scatterChart>
      <c:valAx>
        <c:axId val="566197232"/>
        <c:scaling>
          <c:orientation val="minMax"/>
          <c:max val="17"/>
          <c:min val="5"/>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Population x10</a:t>
                </a:r>
                <a:r>
                  <a:rPr lang="en-US" sz="1200" b="1" baseline="30000">
                    <a:latin typeface="Times New Roman" panose="02020603050405020304" pitchFamily="18" charset="0"/>
                    <a:cs typeface="Times New Roman" panose="02020603050405020304" pitchFamily="18" charset="0"/>
                  </a:rPr>
                  <a:t>5</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187872"/>
        <c:crosses val="autoZero"/>
        <c:crossBetween val="midCat"/>
      </c:valAx>
      <c:valAx>
        <c:axId val="566187872"/>
        <c:scaling>
          <c:orientation val="minMax"/>
          <c:min val="5"/>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UV Index</a:t>
                </a:r>
                <a:r>
                  <a:rPr lang="en-US" sz="1200" b="1" baseline="0">
                    <a:latin typeface="Times New Roman" panose="02020603050405020304" pitchFamily="18" charset="0"/>
                    <a:cs typeface="Times New Roman" panose="02020603050405020304" pitchFamily="18" charset="0"/>
                  </a:rPr>
                  <a:t>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7.8923467899845862E-3"/>
              <c:y val="0.2830209244677748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197232"/>
        <c:crosses val="autoZero"/>
        <c:crossBetween val="midCat"/>
      </c:valAx>
      <c:spPr>
        <a:noFill/>
        <a:ln>
          <a:noFill/>
        </a:ln>
        <a:effectLst/>
      </c:spPr>
    </c:plotArea>
    <c:legend>
      <c:legendPos val="t"/>
      <c:legendEntry>
        <c:idx val="2"/>
        <c:delete val="1"/>
      </c:legendEntry>
      <c:legendEntry>
        <c:idx val="3"/>
        <c:delete val="1"/>
      </c:legendEntry>
      <c:layout>
        <c:manualLayout>
          <c:xMode val="edge"/>
          <c:yMode val="edge"/>
          <c:x val="0.17753764112819231"/>
          <c:y val="0.18518518518518517"/>
          <c:w val="0.24704111986001751"/>
          <c:h val="8.869021580635753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10717</Words>
  <Characters>62272</Characters>
  <Application>Microsoft Office Word</Application>
  <DocSecurity>0</DocSecurity>
  <Lines>1448</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 Onuchukwu</dc:creator>
  <cp:keywords/>
  <dc:description/>
  <cp:lastModifiedBy>Chika Onuchukwu</cp:lastModifiedBy>
  <cp:revision>2</cp:revision>
  <dcterms:created xsi:type="dcterms:W3CDTF">2025-01-06T15:30:00Z</dcterms:created>
  <dcterms:modified xsi:type="dcterms:W3CDTF">2025-01-06T15:30:00Z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795177e6bc3993157fff9d7b253f2b04ab1d1cb18a4511fef751f818dc5af67d</vt:lpwstr>
  </property>
</Properties>
</file>