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273" w:rsidRPr="00C43AF5" w:rsidRDefault="00975273" w:rsidP="00975273">
      <w:pPr>
        <w:spacing w:after="0" w:line="276" w:lineRule="auto"/>
        <w:jc w:val="center"/>
        <w:rPr>
          <w:rFonts w:ascii="Times New Roman" w:hAnsi="Times New Roman" w:cs="Times New Roman"/>
          <w:b/>
          <w:sz w:val="24"/>
          <w:szCs w:val="24"/>
        </w:rPr>
      </w:pPr>
      <w:r w:rsidRPr="00C43AF5">
        <w:rPr>
          <w:rFonts w:ascii="Times New Roman" w:hAnsi="Times New Roman" w:cs="Times New Roman"/>
          <w:b/>
          <w:sz w:val="24"/>
          <w:szCs w:val="24"/>
        </w:rPr>
        <w:t xml:space="preserve">CORPORATE GOVERNANCE DETERMINANTS OF INTERNATIONAL FINANCIAL REPORTING STANDARD (IFRS) 10 </w:t>
      </w:r>
      <w:r w:rsidR="00210241">
        <w:rPr>
          <w:rFonts w:ascii="Times New Roman" w:hAnsi="Times New Roman" w:cs="Times New Roman"/>
          <w:b/>
          <w:sz w:val="24"/>
          <w:szCs w:val="24"/>
        </w:rPr>
        <w:t xml:space="preserve">AND </w:t>
      </w:r>
      <w:r w:rsidRPr="00C43AF5">
        <w:rPr>
          <w:rFonts w:ascii="Times New Roman" w:hAnsi="Times New Roman" w:cs="Times New Roman"/>
          <w:b/>
          <w:sz w:val="24"/>
          <w:szCs w:val="24"/>
        </w:rPr>
        <w:t>CONSOLIDATION ACCOUNTING PRACTICES IN NIGERIA FIRMS</w:t>
      </w:r>
    </w:p>
    <w:p w:rsidR="00236907" w:rsidRPr="00C43AF5" w:rsidRDefault="00236907" w:rsidP="00975273">
      <w:pPr>
        <w:spacing w:after="0" w:line="276" w:lineRule="auto"/>
        <w:jc w:val="both"/>
        <w:rPr>
          <w:rFonts w:ascii="Times New Roman" w:hAnsi="Times New Roman" w:cs="Times New Roman"/>
          <w:b/>
          <w:sz w:val="24"/>
          <w:szCs w:val="24"/>
        </w:rPr>
      </w:pPr>
    </w:p>
    <w:p w:rsidR="002155EB" w:rsidRDefault="002155EB" w:rsidP="00975273">
      <w:pPr>
        <w:spacing w:after="0" w:line="276" w:lineRule="auto"/>
        <w:jc w:val="both"/>
        <w:rPr>
          <w:rFonts w:ascii="Times New Roman" w:hAnsi="Times New Roman" w:cs="Times New Roman"/>
          <w:b/>
          <w:sz w:val="24"/>
          <w:szCs w:val="24"/>
        </w:rPr>
      </w:pPr>
      <w:bookmarkStart w:id="0" w:name="_GoBack"/>
      <w:bookmarkEnd w:id="0"/>
    </w:p>
    <w:p w:rsidR="002155EB" w:rsidRPr="00C43AF5" w:rsidRDefault="002155EB" w:rsidP="00975273">
      <w:pPr>
        <w:spacing w:after="0" w:line="276" w:lineRule="auto"/>
        <w:jc w:val="both"/>
        <w:rPr>
          <w:rFonts w:ascii="Times New Roman" w:hAnsi="Times New Roman" w:cs="Times New Roman"/>
          <w:b/>
          <w:sz w:val="24"/>
          <w:szCs w:val="24"/>
        </w:rPr>
      </w:pPr>
    </w:p>
    <w:p w:rsidR="00975273" w:rsidRPr="00C43AF5" w:rsidRDefault="00975273" w:rsidP="00975273">
      <w:pPr>
        <w:spacing w:after="0" w:line="276" w:lineRule="auto"/>
        <w:jc w:val="center"/>
        <w:rPr>
          <w:rFonts w:ascii="Times New Roman" w:hAnsi="Times New Roman" w:cs="Times New Roman"/>
          <w:b/>
          <w:sz w:val="24"/>
          <w:szCs w:val="24"/>
        </w:rPr>
      </w:pPr>
      <w:r w:rsidRPr="00C43AF5">
        <w:rPr>
          <w:rFonts w:ascii="Times New Roman" w:hAnsi="Times New Roman" w:cs="Times New Roman"/>
          <w:b/>
          <w:sz w:val="24"/>
          <w:szCs w:val="24"/>
        </w:rPr>
        <w:t>Abstract</w:t>
      </w:r>
    </w:p>
    <w:p w:rsidR="00975273" w:rsidRPr="00C43AF5" w:rsidRDefault="00975273" w:rsidP="00975273">
      <w:pPr>
        <w:spacing w:after="0" w:line="240" w:lineRule="auto"/>
        <w:jc w:val="both"/>
        <w:rPr>
          <w:rFonts w:ascii="Times New Roman" w:eastAsia="Times New Roman" w:hAnsi="Times New Roman" w:cs="Times New Roman"/>
          <w:sz w:val="24"/>
          <w:szCs w:val="24"/>
        </w:rPr>
      </w:pPr>
      <w:r w:rsidRPr="00C43AF5">
        <w:rPr>
          <w:rFonts w:ascii="Times New Roman" w:eastAsia="Times New Roman" w:hAnsi="Times New Roman" w:cs="Times New Roman"/>
          <w:sz w:val="24"/>
          <w:szCs w:val="24"/>
        </w:rPr>
        <w:t xml:space="preserve">The influence of several corporate governance elements, </w:t>
      </w:r>
      <w:r w:rsidR="00FD2BE5">
        <w:rPr>
          <w:rFonts w:ascii="Times New Roman" w:eastAsia="Times New Roman" w:hAnsi="Times New Roman" w:cs="Times New Roman"/>
          <w:sz w:val="24"/>
          <w:szCs w:val="24"/>
        </w:rPr>
        <w:t xml:space="preserve">particularly IFRS 10 Consolidation Accounting, presents </w:t>
      </w:r>
      <w:r w:rsidRPr="00C43AF5">
        <w:rPr>
          <w:rFonts w:ascii="Times New Roman" w:eastAsia="Times New Roman" w:hAnsi="Times New Roman" w:cs="Times New Roman"/>
          <w:sz w:val="24"/>
          <w:szCs w:val="24"/>
        </w:rPr>
        <w:t xml:space="preserve">benefits and drawbacks for Nigerians, making it difficult to follow International Financial Reporting Standards (IFRS). </w:t>
      </w:r>
      <w:r w:rsidR="00142775" w:rsidRPr="00C43AF5">
        <w:rPr>
          <w:rFonts w:ascii="Times New Roman" w:eastAsia="Times New Roman" w:hAnsi="Times New Roman" w:cs="Times New Roman"/>
          <w:sz w:val="24"/>
          <w:szCs w:val="24"/>
        </w:rPr>
        <w:t xml:space="preserve">Determining the impact of corporate governance variables of </w:t>
      </w:r>
      <w:r w:rsidR="005914D7" w:rsidRPr="00C43AF5">
        <w:rPr>
          <w:rFonts w:ascii="Times New Roman" w:eastAsia="Times New Roman" w:hAnsi="Times New Roman" w:cs="Times New Roman"/>
          <w:sz w:val="24"/>
          <w:szCs w:val="24"/>
        </w:rPr>
        <w:t xml:space="preserve">the </w:t>
      </w:r>
      <w:r w:rsidR="00142775" w:rsidRPr="00C43AF5">
        <w:rPr>
          <w:rFonts w:ascii="Times New Roman" w:eastAsia="Times New Roman" w:hAnsi="Times New Roman" w:cs="Times New Roman"/>
          <w:sz w:val="24"/>
          <w:szCs w:val="24"/>
        </w:rPr>
        <w:t>International Financial Reporting Standard (IFRS) 10 consolidation accounting methods on Nigerian enterprises is the aim of this study. A panel regression model, a quantitative technique</w:t>
      </w:r>
      <w:r w:rsidR="003C5299">
        <w:rPr>
          <w:rFonts w:ascii="Times New Roman" w:eastAsia="Times New Roman" w:hAnsi="Times New Roman" w:cs="Times New Roman"/>
          <w:sz w:val="24"/>
          <w:szCs w:val="24"/>
        </w:rPr>
        <w:t>,</w:t>
      </w:r>
      <w:r w:rsidR="00155952">
        <w:rPr>
          <w:rFonts w:ascii="Times New Roman" w:eastAsia="Times New Roman" w:hAnsi="Times New Roman" w:cs="Times New Roman"/>
          <w:sz w:val="24"/>
          <w:szCs w:val="24"/>
        </w:rPr>
        <w:t xml:space="preserve"> data from the 2014-</w:t>
      </w:r>
      <w:r w:rsidR="00142775" w:rsidRPr="00C43AF5">
        <w:rPr>
          <w:rFonts w:ascii="Times New Roman" w:eastAsia="Times New Roman" w:hAnsi="Times New Roman" w:cs="Times New Roman"/>
          <w:sz w:val="24"/>
          <w:szCs w:val="24"/>
        </w:rPr>
        <w:t>2023 ann</w:t>
      </w:r>
      <w:r w:rsidR="003E3F5E" w:rsidRPr="00C43AF5">
        <w:rPr>
          <w:rFonts w:ascii="Times New Roman" w:eastAsia="Times New Roman" w:hAnsi="Times New Roman" w:cs="Times New Roman"/>
          <w:sz w:val="24"/>
          <w:szCs w:val="24"/>
        </w:rPr>
        <w:t xml:space="preserve">ual reports of </w:t>
      </w:r>
      <w:r w:rsidR="003F1729">
        <w:rPr>
          <w:rFonts w:ascii="Times New Roman" w:eastAsia="Times New Roman" w:hAnsi="Times New Roman" w:cs="Times New Roman"/>
          <w:sz w:val="24"/>
          <w:szCs w:val="24"/>
        </w:rPr>
        <w:t>the t</w:t>
      </w:r>
      <w:r w:rsidR="003E3F5E" w:rsidRPr="00C43AF5">
        <w:rPr>
          <w:rFonts w:ascii="Times New Roman" w:eastAsia="Times New Roman" w:hAnsi="Times New Roman" w:cs="Times New Roman"/>
          <w:sz w:val="24"/>
          <w:szCs w:val="24"/>
        </w:rPr>
        <w:t xml:space="preserve">en Nigerian </w:t>
      </w:r>
      <w:r w:rsidR="00142775" w:rsidRPr="00C43AF5">
        <w:rPr>
          <w:rFonts w:ascii="Times New Roman" w:eastAsia="Times New Roman" w:hAnsi="Times New Roman" w:cs="Times New Roman"/>
          <w:sz w:val="24"/>
          <w:szCs w:val="24"/>
        </w:rPr>
        <w:t xml:space="preserve">companies that were selected were employed in the study. The findings demonstrated the statistical significance of the board's regulatory framework, executive leadership, and board independence. </w:t>
      </w:r>
      <w:commentRangeStart w:id="1"/>
      <w:r w:rsidR="00142775" w:rsidRPr="00C43AF5">
        <w:rPr>
          <w:rFonts w:ascii="Times New Roman" w:eastAsia="Times New Roman" w:hAnsi="Times New Roman" w:cs="Times New Roman"/>
          <w:sz w:val="24"/>
          <w:szCs w:val="24"/>
        </w:rPr>
        <w:t xml:space="preserve">The study included a panel regression model, a quantitative technique, and secondary data sourced from the Nigerian annual reports of the </w:t>
      </w:r>
      <w:r w:rsidR="00035E46" w:rsidRPr="00C43AF5">
        <w:rPr>
          <w:rFonts w:ascii="Times New Roman" w:eastAsia="Times New Roman" w:hAnsi="Times New Roman" w:cs="Times New Roman"/>
          <w:sz w:val="24"/>
          <w:szCs w:val="24"/>
        </w:rPr>
        <w:t>ten selected companies for 2014-</w:t>
      </w:r>
      <w:r w:rsidR="00142775" w:rsidRPr="00C43AF5">
        <w:rPr>
          <w:rFonts w:ascii="Times New Roman" w:eastAsia="Times New Roman" w:hAnsi="Times New Roman" w:cs="Times New Roman"/>
          <w:sz w:val="24"/>
          <w:szCs w:val="24"/>
        </w:rPr>
        <w:t>2023</w:t>
      </w:r>
      <w:r w:rsidR="003E3F5E" w:rsidRPr="00C43AF5">
        <w:rPr>
          <w:rFonts w:ascii="Times New Roman" w:eastAsia="Times New Roman" w:hAnsi="Times New Roman" w:cs="Times New Roman"/>
          <w:sz w:val="24"/>
          <w:szCs w:val="24"/>
        </w:rPr>
        <w:t>.</w:t>
      </w:r>
      <w:commentRangeEnd w:id="1"/>
      <w:r w:rsidR="006F1D34">
        <w:rPr>
          <w:rStyle w:val="CommentReference"/>
        </w:rPr>
        <w:commentReference w:id="1"/>
      </w:r>
      <w:r w:rsidR="003E3F5E" w:rsidRPr="00C43AF5">
        <w:rPr>
          <w:rFonts w:ascii="Times New Roman" w:eastAsia="Times New Roman" w:hAnsi="Times New Roman" w:cs="Times New Roman"/>
          <w:sz w:val="24"/>
          <w:szCs w:val="24"/>
        </w:rPr>
        <w:t xml:space="preserve"> </w:t>
      </w:r>
      <w:r w:rsidRPr="00C43AF5">
        <w:rPr>
          <w:rFonts w:ascii="Times New Roman" w:eastAsia="Times New Roman" w:hAnsi="Times New Roman" w:cs="Times New Roman"/>
          <w:sz w:val="24"/>
          <w:szCs w:val="24"/>
        </w:rPr>
        <w:t xml:space="preserve">The results showed that executive leadership, board independence, and the board's regulatory structure are statistically significant. The study concludes, that executive leadership, regulatory frameworks, </w:t>
      </w:r>
      <w:r w:rsidR="00221F25" w:rsidRPr="00C43AF5">
        <w:rPr>
          <w:rFonts w:ascii="Times New Roman" w:eastAsia="Times New Roman" w:hAnsi="Times New Roman" w:cs="Times New Roman"/>
          <w:sz w:val="24"/>
          <w:szCs w:val="24"/>
        </w:rPr>
        <w:t xml:space="preserve">and </w:t>
      </w:r>
      <w:r w:rsidRPr="00C43AF5">
        <w:rPr>
          <w:rFonts w:ascii="Times New Roman" w:eastAsia="Times New Roman" w:hAnsi="Times New Roman" w:cs="Times New Roman"/>
          <w:sz w:val="24"/>
          <w:szCs w:val="24"/>
        </w:rPr>
        <w:t>board independence play a crucial role in determining how a firm/company is governed and how it should pursue its strategic direction. Boards must successfully steer organisations towards long-term success and sustainable growth, especially by adhering to IFRS 10 and incorporating multiple perspectives; regularly assessing and upgrading governance frameworks to ensure openness, accountability, and compliance across all operations is advised, as regulatory requirements change and best practices adapt. It is recommended that there should be a balanced board that reflects the strategic needs of the company and also supports sustainable growth by creating a strong pipeline of executives with the ability to take on difficult tasks and a culture of integrity.</w:t>
      </w:r>
    </w:p>
    <w:p w:rsidR="00975273" w:rsidRPr="00C43AF5" w:rsidRDefault="00975273" w:rsidP="00975273">
      <w:pPr>
        <w:spacing w:after="0" w:line="240" w:lineRule="auto"/>
        <w:jc w:val="both"/>
        <w:rPr>
          <w:rFonts w:ascii="Times New Roman" w:eastAsia="Times New Roman" w:hAnsi="Times New Roman" w:cs="Times New Roman"/>
          <w:sz w:val="24"/>
          <w:szCs w:val="24"/>
        </w:rPr>
      </w:pPr>
    </w:p>
    <w:p w:rsidR="00975273" w:rsidRPr="00C43AF5" w:rsidRDefault="00975273" w:rsidP="00975273">
      <w:pPr>
        <w:spacing w:after="0" w:line="276" w:lineRule="auto"/>
        <w:jc w:val="both"/>
        <w:rPr>
          <w:rFonts w:ascii="Times New Roman" w:hAnsi="Times New Roman" w:cs="Times New Roman"/>
          <w:b/>
          <w:sz w:val="24"/>
          <w:szCs w:val="24"/>
        </w:rPr>
      </w:pPr>
      <w:r w:rsidRPr="00C43AF5">
        <w:rPr>
          <w:rFonts w:ascii="Times New Roman" w:hAnsi="Times New Roman" w:cs="Times New Roman"/>
          <w:b/>
          <w:sz w:val="24"/>
          <w:szCs w:val="24"/>
        </w:rPr>
        <w:t xml:space="preserve">Keywords: </w:t>
      </w:r>
      <w:r w:rsidRPr="00C43AF5">
        <w:rPr>
          <w:rFonts w:ascii="Times New Roman" w:hAnsi="Times New Roman" w:cs="Times New Roman"/>
          <w:sz w:val="24"/>
          <w:szCs w:val="24"/>
        </w:rPr>
        <w:t xml:space="preserve">Corporate Governance, </w:t>
      </w:r>
      <w:r w:rsidRPr="00C43AF5">
        <w:rPr>
          <w:rFonts w:ascii="Times New Roman" w:eastAsia="Times New Roman" w:hAnsi="Times New Roman" w:cs="Times New Roman"/>
          <w:sz w:val="24"/>
          <w:szCs w:val="24"/>
        </w:rPr>
        <w:t>Board Independence, the Board Regulatory Framework, and Executive Leadership</w:t>
      </w:r>
    </w:p>
    <w:p w:rsidR="00975273" w:rsidRDefault="00975273" w:rsidP="00975273">
      <w:pPr>
        <w:spacing w:after="0" w:line="276" w:lineRule="auto"/>
        <w:jc w:val="both"/>
        <w:rPr>
          <w:rFonts w:ascii="Times New Roman" w:hAnsi="Times New Roman" w:cs="Times New Roman"/>
          <w:b/>
          <w:sz w:val="24"/>
          <w:szCs w:val="24"/>
        </w:rPr>
      </w:pPr>
    </w:p>
    <w:p w:rsidR="00357602" w:rsidRDefault="00357602" w:rsidP="00975273">
      <w:pPr>
        <w:spacing w:after="0" w:line="276" w:lineRule="auto"/>
        <w:jc w:val="both"/>
        <w:rPr>
          <w:rFonts w:ascii="Times New Roman" w:hAnsi="Times New Roman" w:cs="Times New Roman"/>
          <w:b/>
          <w:sz w:val="24"/>
          <w:szCs w:val="24"/>
        </w:rPr>
      </w:pPr>
    </w:p>
    <w:p w:rsidR="00357602" w:rsidRDefault="00357602" w:rsidP="00975273">
      <w:pPr>
        <w:spacing w:after="0" w:line="276" w:lineRule="auto"/>
        <w:jc w:val="both"/>
        <w:rPr>
          <w:rFonts w:ascii="Times New Roman" w:hAnsi="Times New Roman" w:cs="Times New Roman"/>
          <w:b/>
          <w:sz w:val="24"/>
          <w:szCs w:val="24"/>
        </w:rPr>
      </w:pPr>
    </w:p>
    <w:p w:rsidR="00357602" w:rsidRDefault="00357602" w:rsidP="00975273">
      <w:pPr>
        <w:spacing w:after="0" w:line="276" w:lineRule="auto"/>
        <w:jc w:val="both"/>
        <w:rPr>
          <w:rFonts w:ascii="Times New Roman" w:hAnsi="Times New Roman" w:cs="Times New Roman"/>
          <w:b/>
          <w:sz w:val="24"/>
          <w:szCs w:val="24"/>
        </w:rPr>
      </w:pPr>
    </w:p>
    <w:p w:rsidR="00357602" w:rsidRDefault="00357602" w:rsidP="00975273">
      <w:pPr>
        <w:spacing w:after="0" w:line="276" w:lineRule="auto"/>
        <w:jc w:val="both"/>
        <w:rPr>
          <w:rFonts w:ascii="Times New Roman" w:hAnsi="Times New Roman" w:cs="Times New Roman"/>
          <w:b/>
          <w:sz w:val="24"/>
          <w:szCs w:val="24"/>
        </w:rPr>
      </w:pPr>
    </w:p>
    <w:p w:rsidR="00357602" w:rsidRPr="00C43AF5" w:rsidRDefault="00357602" w:rsidP="00975273">
      <w:pPr>
        <w:spacing w:after="0" w:line="276" w:lineRule="auto"/>
        <w:jc w:val="both"/>
        <w:rPr>
          <w:rFonts w:ascii="Times New Roman" w:hAnsi="Times New Roman" w:cs="Times New Roman"/>
          <w:b/>
          <w:sz w:val="24"/>
          <w:szCs w:val="24"/>
        </w:rPr>
      </w:pPr>
    </w:p>
    <w:p w:rsidR="00975273" w:rsidRPr="00C43AF5" w:rsidRDefault="008F4BF4" w:rsidP="00975273">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1.0 </w:t>
      </w:r>
      <w:r w:rsidR="00975273" w:rsidRPr="00C43AF5">
        <w:rPr>
          <w:rFonts w:ascii="Times New Roman" w:hAnsi="Times New Roman" w:cs="Times New Roman"/>
          <w:b/>
          <w:sz w:val="24"/>
          <w:szCs w:val="24"/>
        </w:rPr>
        <w:t>INTRODUCTION</w:t>
      </w:r>
    </w:p>
    <w:p w:rsidR="00975273" w:rsidRPr="00C43AF5" w:rsidRDefault="00975273" w:rsidP="00975273">
      <w:pPr>
        <w:spacing w:after="0" w:line="276" w:lineRule="auto"/>
        <w:ind w:firstLine="720"/>
        <w:jc w:val="both"/>
        <w:rPr>
          <w:rFonts w:ascii="Times New Roman" w:eastAsia="Times New Roman" w:hAnsi="Times New Roman" w:cs="Times New Roman"/>
          <w:sz w:val="24"/>
          <w:szCs w:val="24"/>
        </w:rPr>
      </w:pPr>
      <w:r w:rsidRPr="00C43AF5">
        <w:rPr>
          <w:rFonts w:ascii="Times New Roman" w:eastAsia="Times New Roman" w:hAnsi="Times New Roman" w:cs="Times New Roman"/>
          <w:sz w:val="24"/>
          <w:szCs w:val="24"/>
        </w:rPr>
        <w:t xml:space="preserve">Globally, the determinants of </w:t>
      </w:r>
      <w:r w:rsidR="001374FC" w:rsidRPr="00C43AF5">
        <w:rPr>
          <w:rFonts w:ascii="Times New Roman" w:eastAsia="Times New Roman" w:hAnsi="Times New Roman" w:cs="Times New Roman"/>
          <w:sz w:val="24"/>
          <w:szCs w:val="24"/>
        </w:rPr>
        <w:t xml:space="preserve">guaranteeing accountability, ethics, and openness, good corporate governance is essential </w:t>
      </w:r>
      <w:r w:rsidRPr="00C43AF5">
        <w:rPr>
          <w:rFonts w:ascii="Times New Roman" w:eastAsia="Times New Roman" w:hAnsi="Times New Roman" w:cs="Times New Roman"/>
          <w:sz w:val="24"/>
          <w:szCs w:val="24"/>
        </w:rPr>
        <w:t xml:space="preserve">in financial reporting practices. The implications and implementation of IFRS 10 Consolidation Accounting in companies are greatly influenced by corporate governance </w:t>
      </w:r>
      <w:commentRangeStart w:id="2"/>
      <w:r w:rsidRPr="00C43AF5">
        <w:rPr>
          <w:rFonts w:ascii="Times New Roman" w:eastAsia="Times New Roman" w:hAnsi="Times New Roman" w:cs="Times New Roman"/>
          <w:sz w:val="24"/>
          <w:szCs w:val="24"/>
        </w:rPr>
        <w:t>(</w:t>
      </w:r>
      <w:r w:rsidRPr="00C43AF5">
        <w:rPr>
          <w:rFonts w:ascii="Times New Roman" w:hAnsi="Times New Roman" w:cs="Times New Roman"/>
          <w:sz w:val="24"/>
          <w:szCs w:val="24"/>
        </w:rPr>
        <w:t>Sinervo et al., 2024</w:t>
      </w:r>
      <w:r w:rsidRPr="00C43AF5">
        <w:rPr>
          <w:rFonts w:ascii="Times New Roman" w:eastAsia="Times New Roman" w:hAnsi="Times New Roman" w:cs="Times New Roman"/>
          <w:sz w:val="24"/>
          <w:szCs w:val="24"/>
        </w:rPr>
        <w:t>)</w:t>
      </w:r>
      <w:commentRangeEnd w:id="2"/>
      <w:r w:rsidR="006F1D34">
        <w:rPr>
          <w:rStyle w:val="CommentReference"/>
        </w:rPr>
        <w:commentReference w:id="2"/>
      </w:r>
      <w:r w:rsidRPr="00C43AF5">
        <w:rPr>
          <w:rFonts w:ascii="Times New Roman" w:eastAsia="Times New Roman" w:hAnsi="Times New Roman" w:cs="Times New Roman"/>
          <w:sz w:val="24"/>
          <w:szCs w:val="24"/>
        </w:rPr>
        <w:t xml:space="preserve">. Important variables affecting how well businesses apply IFRS 10 include board independence, composition, and corporate culture. Boards with a </w:t>
      </w:r>
      <w:r w:rsidRPr="00C43AF5">
        <w:rPr>
          <w:rFonts w:ascii="Times New Roman" w:eastAsia="Times New Roman" w:hAnsi="Times New Roman" w:cs="Times New Roman"/>
          <w:sz w:val="24"/>
          <w:szCs w:val="24"/>
        </w:rPr>
        <w:lastRenderedPageBreak/>
        <w:t>broad and independent membership are more likely to be able to manage the consolidation process objectively, guaranteeing that all subsidiaries and special purpose companies are merged or deconsolidated by the standards (</w:t>
      </w:r>
      <w:r w:rsidRPr="00C43AF5">
        <w:rPr>
          <w:rFonts w:ascii="Times New Roman" w:hAnsi="Times New Roman" w:cs="Times New Roman"/>
          <w:sz w:val="24"/>
          <w:szCs w:val="24"/>
        </w:rPr>
        <w:t>Lawal &amp; Yahaya, 2024</w:t>
      </w:r>
      <w:r w:rsidRPr="00C43AF5">
        <w:rPr>
          <w:rFonts w:ascii="Times New Roman" w:eastAsia="Times New Roman" w:hAnsi="Times New Roman" w:cs="Times New Roman"/>
          <w:sz w:val="24"/>
          <w:szCs w:val="24"/>
        </w:rPr>
        <w:t xml:space="preserve">). In addition to improving the accuracy and dependability of financial statements under IFRS 10, the existence of independent audit </w:t>
      </w:r>
      <w:r w:rsidR="00A96CAA">
        <w:rPr>
          <w:rFonts w:ascii="Times New Roman" w:eastAsia="Times New Roman" w:hAnsi="Times New Roman" w:cs="Times New Roman"/>
          <w:sz w:val="24"/>
          <w:szCs w:val="24"/>
        </w:rPr>
        <w:t xml:space="preserve">committee </w:t>
      </w:r>
      <w:r w:rsidRPr="00C43AF5">
        <w:rPr>
          <w:rFonts w:ascii="Times New Roman" w:eastAsia="Times New Roman" w:hAnsi="Times New Roman" w:cs="Times New Roman"/>
          <w:sz w:val="24"/>
          <w:szCs w:val="24"/>
        </w:rPr>
        <w:t>bolsters governance by supervising the consolidation process and financial reporting in general (</w:t>
      </w:r>
      <w:r w:rsidRPr="00C43AF5">
        <w:rPr>
          <w:rFonts w:ascii="Times New Roman" w:hAnsi="Times New Roman" w:cs="Times New Roman"/>
          <w:sz w:val="24"/>
          <w:szCs w:val="24"/>
        </w:rPr>
        <w:t>Loperte, 2024</w:t>
      </w:r>
      <w:r w:rsidRPr="00C43AF5">
        <w:rPr>
          <w:rFonts w:ascii="Times New Roman" w:eastAsia="Times New Roman" w:hAnsi="Times New Roman" w:cs="Times New Roman"/>
          <w:sz w:val="24"/>
          <w:szCs w:val="24"/>
        </w:rPr>
        <w:t>).</w:t>
      </w:r>
    </w:p>
    <w:p w:rsidR="00975273" w:rsidRPr="00C43AF5" w:rsidRDefault="00975273" w:rsidP="00975273">
      <w:pPr>
        <w:spacing w:after="0" w:line="276" w:lineRule="auto"/>
        <w:ind w:firstLine="720"/>
        <w:jc w:val="both"/>
        <w:rPr>
          <w:rFonts w:ascii="Times New Roman" w:eastAsia="Times New Roman" w:hAnsi="Times New Roman" w:cs="Times New Roman"/>
          <w:sz w:val="24"/>
          <w:szCs w:val="24"/>
        </w:rPr>
      </w:pPr>
      <w:r w:rsidRPr="00C43AF5">
        <w:rPr>
          <w:rFonts w:ascii="Times New Roman" w:eastAsia="Times New Roman" w:hAnsi="Times New Roman" w:cs="Times New Roman"/>
          <w:sz w:val="24"/>
          <w:szCs w:val="24"/>
        </w:rPr>
        <w:t>A company's ability to identify and evaluate potential risks associated with consolidation, such as related-party transactions or complex group structures, and make sure these are appropriately accounted for per the standard, is largely dependent on the effectiveness of its internal controls and risk management systems. This has a significant impact on IFRS 10 compliance. Ensuring the reliability and relevance of information presented to stakeholders is boosted by effective risk management techniques, which reduce the possibility of misstatements in consolidated financial statements (</w:t>
      </w:r>
      <w:r w:rsidRPr="00C43AF5">
        <w:rPr>
          <w:rFonts w:ascii="Times New Roman" w:hAnsi="Times New Roman" w:cs="Times New Roman"/>
          <w:sz w:val="24"/>
          <w:szCs w:val="24"/>
        </w:rPr>
        <w:t>Song, 2024; Dillard, 2024</w:t>
      </w:r>
      <w:r w:rsidRPr="00C43AF5">
        <w:rPr>
          <w:rFonts w:ascii="Times New Roman" w:eastAsia="Times New Roman" w:hAnsi="Times New Roman" w:cs="Times New Roman"/>
          <w:sz w:val="24"/>
          <w:szCs w:val="24"/>
        </w:rPr>
        <w:t>). Under IFRS 10, the independence of auditors and their functions are crucial. Consolidated financial statements' fairness and accuracy are greatly enhanced by the presence of independent external auditors.</w:t>
      </w:r>
    </w:p>
    <w:p w:rsidR="00975273" w:rsidRPr="00C43AF5" w:rsidRDefault="00975273" w:rsidP="00975273">
      <w:pPr>
        <w:spacing w:after="0" w:line="276" w:lineRule="auto"/>
        <w:ind w:firstLine="720"/>
        <w:jc w:val="both"/>
        <w:rPr>
          <w:rFonts w:ascii="Times New Roman" w:eastAsia="Times New Roman" w:hAnsi="Times New Roman" w:cs="Times New Roman"/>
          <w:sz w:val="24"/>
          <w:szCs w:val="24"/>
        </w:rPr>
      </w:pPr>
      <w:r w:rsidRPr="00C43AF5">
        <w:rPr>
          <w:rFonts w:ascii="Times New Roman" w:eastAsia="Times New Roman" w:hAnsi="Times New Roman" w:cs="Times New Roman"/>
          <w:sz w:val="24"/>
          <w:szCs w:val="24"/>
        </w:rPr>
        <w:t>Investors and stakeholders are reassured about the transparency and dependability of the data provided following IFRS 10 by the unbiased assessment of the consolidation process and associated disclosures, which increases the legitimacy of financial reporting procedures (</w:t>
      </w:r>
      <w:r w:rsidRPr="00C43AF5">
        <w:rPr>
          <w:rFonts w:ascii="Times New Roman" w:hAnsi="Times New Roman" w:cs="Times New Roman"/>
          <w:sz w:val="24"/>
          <w:szCs w:val="24"/>
        </w:rPr>
        <w:t>Ahmed &amp; Anifowose, 2024; Dillard, 2024)</w:t>
      </w:r>
      <w:r w:rsidRPr="00C43AF5">
        <w:rPr>
          <w:rFonts w:ascii="Times New Roman" w:eastAsia="Times New Roman" w:hAnsi="Times New Roman" w:cs="Times New Roman"/>
          <w:sz w:val="24"/>
          <w:szCs w:val="24"/>
        </w:rPr>
        <w:t>. For IFRS 10 to be applied effectively, company culture and ethical leadership are essential elements of corporate governance. Upholding the values of transparency and integrity in their consolidation procedures is more likely to occur in businesses that place a high priority on moral behaviour and a robust corporate culture (</w:t>
      </w:r>
      <w:r w:rsidRPr="00C43AF5">
        <w:rPr>
          <w:rFonts w:ascii="Times New Roman" w:hAnsi="Times New Roman" w:cs="Times New Roman"/>
          <w:sz w:val="24"/>
          <w:szCs w:val="24"/>
        </w:rPr>
        <w:t>Dewi, 2023</w:t>
      </w:r>
      <w:r w:rsidRPr="00C43AF5">
        <w:rPr>
          <w:rFonts w:ascii="Times New Roman" w:eastAsia="Times New Roman" w:hAnsi="Times New Roman" w:cs="Times New Roman"/>
          <w:sz w:val="24"/>
          <w:szCs w:val="24"/>
        </w:rPr>
        <w:t>). This aligns with the wider goals of IFRS 10 to offer clear and comprehensive information about an entity's financial situation and performance while also fostering confidence among stakeholders and promoting sustainable long-term value development.</w:t>
      </w:r>
    </w:p>
    <w:p w:rsidR="00975273" w:rsidRPr="00C43AF5" w:rsidRDefault="00975273" w:rsidP="00A02626">
      <w:pPr>
        <w:spacing w:after="0" w:line="276" w:lineRule="auto"/>
        <w:ind w:firstLine="720"/>
        <w:jc w:val="both"/>
        <w:rPr>
          <w:rFonts w:ascii="Times New Roman" w:eastAsia="Times New Roman" w:hAnsi="Times New Roman" w:cs="Times New Roman"/>
          <w:sz w:val="24"/>
          <w:szCs w:val="24"/>
        </w:rPr>
      </w:pPr>
      <w:r w:rsidRPr="00C43AF5">
        <w:rPr>
          <w:rFonts w:ascii="Times New Roman" w:eastAsia="Times New Roman" w:hAnsi="Times New Roman" w:cs="Times New Roman"/>
          <w:sz w:val="24"/>
          <w:szCs w:val="24"/>
        </w:rPr>
        <w:t xml:space="preserve">The challenges to the implementation of International Financial Reporting Standards (IFRS) lie in various corporate governance factors impact, particularly IFRS 10 Consolidation Accounting, in Nigerian enterprises. Corporate boards' independence and composition present one of the main challenges to the determinant due to the diversity of the board members supervising the consolidation process determining how well corporate governance in Nigeria adheres to IFRS 10. Consolidated financial statements' accuracy and quality are greatly impacted by factors such as the qualifications of the board members, possible conflicts of interest, and the level of board oversight. </w:t>
      </w:r>
      <w:commentRangeStart w:id="3"/>
      <w:r w:rsidRPr="00C43AF5">
        <w:rPr>
          <w:rFonts w:ascii="Times New Roman" w:eastAsia="Times New Roman" w:hAnsi="Times New Roman" w:cs="Times New Roman"/>
          <w:sz w:val="24"/>
          <w:szCs w:val="24"/>
        </w:rPr>
        <w:t>Another factor to consider is the caliber and efficiency of risk management and internal control programs in Nigerian businesses inadequate internal controls cause mistakes or misrepresentations throughout the consolidation process, which lead to false financial reporting and erode investor trust in recent cases of Heritage Bank PLC</w:t>
      </w:r>
      <w:commentRangeEnd w:id="3"/>
      <w:r w:rsidR="0067709A">
        <w:rPr>
          <w:rStyle w:val="CommentReference"/>
        </w:rPr>
        <w:commentReference w:id="3"/>
      </w:r>
      <w:r w:rsidRPr="00C43AF5">
        <w:rPr>
          <w:rFonts w:ascii="Times New Roman" w:eastAsia="Times New Roman" w:hAnsi="Times New Roman" w:cs="Times New Roman"/>
          <w:sz w:val="24"/>
          <w:szCs w:val="24"/>
        </w:rPr>
        <w:t xml:space="preserve">. The </w:t>
      </w:r>
      <w:r w:rsidR="008439A2" w:rsidRPr="00C43AF5">
        <w:rPr>
          <w:rFonts w:ascii="Times New Roman" w:eastAsia="Times New Roman" w:hAnsi="Times New Roman" w:cs="Times New Roman"/>
          <w:sz w:val="24"/>
          <w:szCs w:val="24"/>
        </w:rPr>
        <w:t xml:space="preserve">main goal of the study is to determinethe </w:t>
      </w:r>
      <w:r w:rsidRPr="00C43AF5">
        <w:rPr>
          <w:rFonts w:ascii="Times New Roman" w:eastAsia="Times New Roman" w:hAnsi="Times New Roman" w:cs="Times New Roman"/>
          <w:sz w:val="24"/>
          <w:szCs w:val="24"/>
        </w:rPr>
        <w:t xml:space="preserve">effectiveness of </w:t>
      </w:r>
      <w:r w:rsidRPr="00C43AF5">
        <w:rPr>
          <w:rFonts w:ascii="Times New Roman" w:hAnsi="Times New Roman" w:cs="Times New Roman"/>
          <w:sz w:val="24"/>
          <w:szCs w:val="24"/>
        </w:rPr>
        <w:t>cor</w:t>
      </w:r>
      <w:r w:rsidR="00CE747C" w:rsidRPr="00C43AF5">
        <w:rPr>
          <w:rFonts w:ascii="Times New Roman" w:hAnsi="Times New Roman" w:cs="Times New Roman"/>
          <w:sz w:val="24"/>
          <w:szCs w:val="24"/>
        </w:rPr>
        <w:t>porate governance determinants and</w:t>
      </w:r>
      <w:r w:rsidRPr="00C43AF5">
        <w:rPr>
          <w:rFonts w:ascii="Times New Roman" w:hAnsi="Times New Roman" w:cs="Times New Roman"/>
          <w:sz w:val="24"/>
          <w:szCs w:val="24"/>
        </w:rPr>
        <w:t xml:space="preserve"> International Financial Reporting Standard (IFRS) 10 consolidation accounting practices on Nigerian firms.</w:t>
      </w:r>
      <w:r w:rsidRPr="00C43AF5">
        <w:rPr>
          <w:rFonts w:ascii="Times New Roman" w:eastAsia="Times New Roman" w:hAnsi="Times New Roman" w:cs="Times New Roman"/>
          <w:sz w:val="24"/>
          <w:szCs w:val="24"/>
        </w:rPr>
        <w:t xml:space="preserve">To successfully implement IFRS 10 Consolidation Accounting, effective corporate governance is essential by developing board independence, improving internal controls </w:t>
      </w:r>
      <w:r w:rsidRPr="00C43AF5">
        <w:rPr>
          <w:rFonts w:ascii="Times New Roman" w:eastAsia="Times New Roman" w:hAnsi="Times New Roman" w:cs="Times New Roman"/>
          <w:sz w:val="24"/>
          <w:szCs w:val="24"/>
        </w:rPr>
        <w:lastRenderedPageBreak/>
        <w:t>and risk management systems, guaranteeing auditor independence, and embracing moral leadership and corporate culture, organizations can improve their adherence to the standard and the caliber and dependability of their consolidated financial statements. A globally integrated marketplace and the accomplishment of strategic business objectives will be supported in the end by the outcome, which will also help to establish confidence and trust with stakeholders.</w:t>
      </w:r>
    </w:p>
    <w:p w:rsidR="00975273" w:rsidRPr="00C43AF5" w:rsidRDefault="008F4BF4" w:rsidP="0097527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 </w:t>
      </w:r>
      <w:r w:rsidR="00975273" w:rsidRPr="00C43AF5">
        <w:rPr>
          <w:rFonts w:ascii="Times New Roman" w:eastAsia="Times New Roman" w:hAnsi="Times New Roman" w:cs="Times New Roman"/>
          <w:b/>
          <w:sz w:val="24"/>
          <w:szCs w:val="24"/>
        </w:rPr>
        <w:t>LITERATURE</w:t>
      </w:r>
      <w:r w:rsidR="001D7AF8" w:rsidRPr="00C43AF5">
        <w:rPr>
          <w:rFonts w:ascii="Times New Roman" w:eastAsia="Times New Roman" w:hAnsi="Times New Roman" w:cs="Times New Roman"/>
          <w:b/>
          <w:sz w:val="24"/>
          <w:szCs w:val="24"/>
        </w:rPr>
        <w:t>REVIEW</w:t>
      </w:r>
    </w:p>
    <w:p w:rsidR="00975273" w:rsidRPr="00C43AF5" w:rsidRDefault="008F4BF4" w:rsidP="0097527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w:t>
      </w:r>
      <w:r w:rsidR="00975273" w:rsidRPr="00C43AF5">
        <w:rPr>
          <w:rFonts w:ascii="Times New Roman" w:eastAsia="Times New Roman" w:hAnsi="Times New Roman" w:cs="Times New Roman"/>
          <w:b/>
          <w:sz w:val="24"/>
          <w:szCs w:val="24"/>
        </w:rPr>
        <w:t>Conceptual Review</w:t>
      </w:r>
    </w:p>
    <w:p w:rsidR="00975273" w:rsidRPr="00C43AF5" w:rsidRDefault="008F4BF4" w:rsidP="00975273">
      <w:pPr>
        <w:spacing w:after="0" w:line="276" w:lineRule="auto"/>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2.1.1 </w:t>
      </w:r>
      <w:r w:rsidR="00975273" w:rsidRPr="00C43AF5">
        <w:rPr>
          <w:rFonts w:ascii="Times New Roman" w:hAnsi="Times New Roman" w:cs="Times New Roman"/>
          <w:b/>
          <w:sz w:val="24"/>
          <w:szCs w:val="24"/>
        </w:rPr>
        <w:t>Corporate Governance Determinants</w:t>
      </w:r>
    </w:p>
    <w:p w:rsidR="00975273" w:rsidRPr="00C43AF5" w:rsidRDefault="00975273" w:rsidP="00A02626">
      <w:pPr>
        <w:spacing w:after="0" w:line="240" w:lineRule="auto"/>
        <w:ind w:firstLine="720"/>
        <w:jc w:val="both"/>
        <w:rPr>
          <w:rFonts w:ascii="Times New Roman" w:eastAsia="Times New Roman" w:hAnsi="Times New Roman" w:cs="Times New Roman"/>
          <w:sz w:val="24"/>
          <w:szCs w:val="24"/>
        </w:rPr>
      </w:pPr>
      <w:r w:rsidRPr="00C43AF5">
        <w:rPr>
          <w:rFonts w:ascii="Times New Roman" w:eastAsia="Times New Roman" w:hAnsi="Times New Roman" w:cs="Times New Roman"/>
          <w:sz w:val="24"/>
          <w:szCs w:val="24"/>
        </w:rPr>
        <w:t xml:space="preserve">The term "corporate governance determinants" refers to a wide range of variables that, taken together, influence a company's performance, operational procedures, and strategic choices.  </w:t>
      </w:r>
      <w:commentRangeStart w:id="4"/>
      <w:r w:rsidRPr="00C43AF5">
        <w:rPr>
          <w:rFonts w:ascii="Times New Roman" w:hAnsi="Times New Roman" w:cs="Times New Roman"/>
          <w:sz w:val="24"/>
          <w:szCs w:val="24"/>
        </w:rPr>
        <w:t>Olutimehin et al. (2024</w:t>
      </w:r>
      <w:commentRangeEnd w:id="4"/>
      <w:r w:rsidR="0067709A">
        <w:rPr>
          <w:rStyle w:val="CommentReference"/>
        </w:rPr>
        <w:commentReference w:id="4"/>
      </w:r>
      <w:r w:rsidRPr="00C43AF5">
        <w:rPr>
          <w:rFonts w:ascii="Times New Roman" w:hAnsi="Times New Roman" w:cs="Times New Roman"/>
          <w:sz w:val="24"/>
          <w:szCs w:val="24"/>
        </w:rPr>
        <w:t>) posit that t</w:t>
      </w:r>
      <w:r w:rsidRPr="00C43AF5">
        <w:rPr>
          <w:rFonts w:ascii="Times New Roman" w:eastAsia="Times New Roman" w:hAnsi="Times New Roman" w:cs="Times New Roman"/>
          <w:sz w:val="24"/>
          <w:szCs w:val="24"/>
        </w:rPr>
        <w:t xml:space="preserve">hese factors are essential for encouraging openness, promoting responsibility, ethics, and openness in firms, and protecting the interests of different stakeholders like as consumers, employees, shareholders, and the community at large. Lawal and Yahaya (2024) assert that a company's governance practices, which set standards for financial reporting, board composition, executive compensation, and shareholder rights, are shaped by the regulatory environment in which it operates. This helps to ensure compliance and reduce the risk of misconduct or malpractice. </w:t>
      </w:r>
      <w:r w:rsidRPr="00C43AF5">
        <w:rPr>
          <w:rFonts w:ascii="Times New Roman" w:hAnsi="Times New Roman" w:cs="Times New Roman"/>
          <w:sz w:val="24"/>
          <w:szCs w:val="24"/>
        </w:rPr>
        <w:t xml:space="preserve">Endo </w:t>
      </w:r>
      <w:commentRangeStart w:id="5"/>
      <w:r w:rsidRPr="00C43AF5">
        <w:rPr>
          <w:rFonts w:ascii="Times New Roman" w:hAnsi="Times New Roman" w:cs="Times New Roman"/>
          <w:sz w:val="24"/>
          <w:szCs w:val="24"/>
        </w:rPr>
        <w:t>(2020)</w:t>
      </w:r>
      <w:r w:rsidR="00A02626" w:rsidRPr="00C43AF5">
        <w:rPr>
          <w:rFonts w:ascii="Times New Roman" w:hAnsi="Times New Roman" w:cs="Times New Roman"/>
          <w:sz w:val="24"/>
          <w:szCs w:val="24"/>
        </w:rPr>
        <w:t xml:space="preserve">believed </w:t>
      </w:r>
      <w:commentRangeEnd w:id="5"/>
      <w:r w:rsidR="0067709A">
        <w:rPr>
          <w:rStyle w:val="CommentReference"/>
        </w:rPr>
        <w:commentReference w:id="5"/>
      </w:r>
      <w:r w:rsidR="00A02626" w:rsidRPr="00C43AF5">
        <w:rPr>
          <w:rFonts w:ascii="Times New Roman" w:hAnsi="Times New Roman" w:cs="Times New Roman"/>
          <w:sz w:val="24"/>
          <w:szCs w:val="24"/>
        </w:rPr>
        <w:t xml:space="preserve">that the board of directors' independence, diversity, and </w:t>
      </w:r>
      <w:commentRangeStart w:id="6"/>
      <w:r w:rsidR="00A02626" w:rsidRPr="00C43AF5">
        <w:rPr>
          <w:rFonts w:ascii="Times New Roman" w:hAnsi="Times New Roman" w:cs="Times New Roman"/>
          <w:sz w:val="24"/>
          <w:szCs w:val="24"/>
        </w:rPr>
        <w:t>experience</w:t>
      </w:r>
      <w:r w:rsidRPr="00C43AF5">
        <w:rPr>
          <w:rFonts w:ascii="Times New Roman" w:eastAsia="Times New Roman" w:hAnsi="Times New Roman" w:cs="Times New Roman"/>
          <w:sz w:val="24"/>
          <w:szCs w:val="24"/>
        </w:rPr>
        <w:t>which</w:t>
      </w:r>
      <w:commentRangeEnd w:id="6"/>
      <w:r w:rsidR="0067709A">
        <w:rPr>
          <w:rStyle w:val="CommentReference"/>
        </w:rPr>
        <w:commentReference w:id="6"/>
      </w:r>
      <w:r w:rsidRPr="00C43AF5">
        <w:rPr>
          <w:rFonts w:ascii="Times New Roman" w:eastAsia="Times New Roman" w:hAnsi="Times New Roman" w:cs="Times New Roman"/>
          <w:sz w:val="24"/>
          <w:szCs w:val="24"/>
        </w:rPr>
        <w:t xml:space="preserve"> consists of qualified people with a range of experiences and backgrounds bring different viewpoints to the decision-making processes, improve oversight, and reduce the likelihood of conflicts of interest. Integrity, justice, and accountability are encouraged at all organisational levels by a strong ethical culture, which also directs behaviour and decision-making toward long-term goals (Dewi, 2023).</w:t>
      </w:r>
    </w:p>
    <w:p w:rsidR="00975273" w:rsidRPr="00C43AF5" w:rsidRDefault="008F4BF4" w:rsidP="00975273">
      <w:pPr>
        <w:spacing w:before="100" w:beforeAutospacing="1"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2.1.2 </w:t>
      </w:r>
      <w:r w:rsidR="00975273" w:rsidRPr="00C43AF5">
        <w:rPr>
          <w:rFonts w:ascii="Times New Roman" w:eastAsia="Times New Roman" w:hAnsi="Times New Roman" w:cs="Times New Roman"/>
          <w:b/>
          <w:sz w:val="24"/>
          <w:szCs w:val="24"/>
        </w:rPr>
        <w:t>Board Independent</w:t>
      </w:r>
    </w:p>
    <w:p w:rsidR="00975273" w:rsidRPr="00C43AF5" w:rsidRDefault="00975273" w:rsidP="00975273">
      <w:pPr>
        <w:spacing w:after="0" w:line="276" w:lineRule="auto"/>
        <w:ind w:firstLine="720"/>
        <w:jc w:val="both"/>
        <w:rPr>
          <w:rFonts w:ascii="Times New Roman" w:hAnsi="Times New Roman" w:cs="Times New Roman"/>
          <w:sz w:val="24"/>
          <w:szCs w:val="24"/>
        </w:rPr>
      </w:pPr>
      <w:commentRangeStart w:id="7"/>
      <w:r w:rsidRPr="00C43AF5">
        <w:rPr>
          <w:rFonts w:ascii="Times New Roman" w:hAnsi="Times New Roman" w:cs="Times New Roman"/>
          <w:sz w:val="24"/>
          <w:szCs w:val="24"/>
        </w:rPr>
        <w:t>Fabian et al.</w:t>
      </w:r>
      <w:r w:rsidRPr="00C43AF5">
        <w:rPr>
          <w:rFonts w:ascii="Times New Roman" w:eastAsia="Times New Roman" w:hAnsi="Times New Roman" w:cs="Times New Roman"/>
          <w:sz w:val="24"/>
          <w:szCs w:val="24"/>
        </w:rPr>
        <w:t xml:space="preserve"> (2023), </w:t>
      </w:r>
      <w:commentRangeEnd w:id="7"/>
      <w:r w:rsidR="002A48DC">
        <w:rPr>
          <w:rStyle w:val="CommentReference"/>
        </w:rPr>
        <w:commentReference w:id="7"/>
      </w:r>
      <w:r w:rsidRPr="00C43AF5">
        <w:rPr>
          <w:rFonts w:ascii="Times New Roman" w:eastAsia="Times New Roman" w:hAnsi="Times New Roman" w:cs="Times New Roman"/>
          <w:sz w:val="24"/>
          <w:szCs w:val="24"/>
        </w:rPr>
        <w:t xml:space="preserve">posit that </w:t>
      </w:r>
      <w:r w:rsidRPr="00C43AF5">
        <w:rPr>
          <w:rFonts w:ascii="Times New Roman" w:hAnsi="Times New Roman" w:cs="Times New Roman"/>
          <w:sz w:val="24"/>
          <w:szCs w:val="24"/>
        </w:rPr>
        <w:t xml:space="preserve">board independence is foundational to effective corporate governance, embodying the principles of accountability, transparency, and ethical stewardship within organizations. </w:t>
      </w:r>
      <w:commentRangeStart w:id="8"/>
      <w:r w:rsidRPr="00C43AF5">
        <w:rPr>
          <w:rFonts w:ascii="Times New Roman" w:hAnsi="Times New Roman" w:cs="Times New Roman"/>
          <w:sz w:val="24"/>
          <w:szCs w:val="24"/>
        </w:rPr>
        <w:t>Apalowowa et al. (2023)</w:t>
      </w:r>
      <w:commentRangeEnd w:id="8"/>
      <w:r w:rsidR="002A48DC">
        <w:rPr>
          <w:rStyle w:val="CommentReference"/>
        </w:rPr>
        <w:commentReference w:id="8"/>
      </w:r>
      <w:r w:rsidRPr="00C43AF5">
        <w:rPr>
          <w:rFonts w:ascii="Times New Roman" w:hAnsi="Times New Roman" w:cs="Times New Roman"/>
          <w:sz w:val="24"/>
          <w:szCs w:val="24"/>
        </w:rPr>
        <w:t xml:space="preserve"> opined that independent is fundamental for safeguarding the interests of all stakeholders, including shareholders, employees, customers, and the wider community. Board independence refers to the comprehensive exploration of what it means for a board to be </w:t>
      </w:r>
      <w:commentRangeStart w:id="9"/>
      <w:r w:rsidRPr="00C43AF5">
        <w:rPr>
          <w:rFonts w:ascii="Times New Roman" w:hAnsi="Times New Roman" w:cs="Times New Roman"/>
          <w:sz w:val="24"/>
          <w:szCs w:val="24"/>
        </w:rPr>
        <w:t>independent</w:t>
      </w:r>
      <w:commentRangeEnd w:id="9"/>
      <w:r w:rsidR="002A48DC">
        <w:rPr>
          <w:rStyle w:val="CommentReference"/>
        </w:rPr>
        <w:commentReference w:id="9"/>
      </w:r>
      <w:r w:rsidRPr="00C43AF5">
        <w:rPr>
          <w:rFonts w:ascii="Times New Roman" w:hAnsi="Times New Roman" w:cs="Times New Roman"/>
          <w:sz w:val="24"/>
          <w:szCs w:val="24"/>
        </w:rPr>
        <w:t xml:space="preserve"> and its significance in contemporary business contexts (Groenewald, 2020). Board independence refers to the composition of a board of directors where the majority or a significant portion of members are free from any relationships or conflicts of interest that could compromise their ability to act impartially (</w:t>
      </w:r>
      <w:commentRangeStart w:id="10"/>
      <w:r w:rsidRPr="00C43AF5">
        <w:rPr>
          <w:rFonts w:ascii="Times New Roman" w:hAnsi="Times New Roman" w:cs="Times New Roman"/>
          <w:sz w:val="24"/>
          <w:szCs w:val="24"/>
        </w:rPr>
        <w:t>Liu et al., 2024</w:t>
      </w:r>
      <w:commentRangeEnd w:id="10"/>
      <w:r w:rsidR="002A48DC">
        <w:rPr>
          <w:rStyle w:val="CommentReference"/>
        </w:rPr>
        <w:commentReference w:id="10"/>
      </w:r>
      <w:r w:rsidRPr="00C43AF5">
        <w:rPr>
          <w:rFonts w:ascii="Times New Roman" w:hAnsi="Times New Roman" w:cs="Times New Roman"/>
          <w:sz w:val="24"/>
          <w:szCs w:val="24"/>
        </w:rPr>
        <w:t>). Board independence is fundamental to upholding the principles of good corporate governance, development trust, accountability, and sustainable business practices.</w:t>
      </w:r>
    </w:p>
    <w:p w:rsidR="005B50D9" w:rsidRDefault="005B50D9" w:rsidP="00975273">
      <w:pPr>
        <w:spacing w:after="0" w:line="276" w:lineRule="auto"/>
        <w:jc w:val="both"/>
        <w:rPr>
          <w:rFonts w:ascii="Times New Roman" w:eastAsia="Times New Roman" w:hAnsi="Times New Roman" w:cs="Times New Roman"/>
          <w:b/>
          <w:sz w:val="24"/>
          <w:szCs w:val="24"/>
        </w:rPr>
      </w:pPr>
    </w:p>
    <w:p w:rsidR="00975273" w:rsidRPr="00C43AF5" w:rsidRDefault="008F4BF4" w:rsidP="0097527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2.1.3 </w:t>
      </w:r>
      <w:r w:rsidR="00975273" w:rsidRPr="00C43AF5">
        <w:rPr>
          <w:rFonts w:ascii="Times New Roman" w:eastAsia="Times New Roman" w:hAnsi="Times New Roman" w:cs="Times New Roman"/>
          <w:b/>
          <w:sz w:val="24"/>
          <w:szCs w:val="24"/>
        </w:rPr>
        <w:t>Board Composition</w:t>
      </w:r>
    </w:p>
    <w:p w:rsidR="00975273" w:rsidRPr="00C43AF5" w:rsidRDefault="00975273" w:rsidP="00975273">
      <w:pPr>
        <w:spacing w:after="0" w:line="276" w:lineRule="auto"/>
        <w:ind w:firstLine="720"/>
        <w:jc w:val="both"/>
        <w:rPr>
          <w:rFonts w:ascii="Times New Roman" w:eastAsia="Times New Roman" w:hAnsi="Times New Roman" w:cs="Times New Roman"/>
          <w:sz w:val="24"/>
          <w:szCs w:val="24"/>
        </w:rPr>
      </w:pPr>
      <w:r w:rsidRPr="00C43AF5">
        <w:rPr>
          <w:rFonts w:ascii="Times New Roman" w:hAnsi="Times New Roman" w:cs="Times New Roman"/>
          <w:sz w:val="24"/>
          <w:szCs w:val="24"/>
        </w:rPr>
        <w:t xml:space="preserve">Board composition is </w:t>
      </w:r>
      <w:commentRangeStart w:id="11"/>
      <w:r w:rsidRPr="00C43AF5">
        <w:rPr>
          <w:rFonts w:ascii="Times New Roman" w:hAnsi="Times New Roman" w:cs="Times New Roman"/>
          <w:sz w:val="24"/>
          <w:szCs w:val="24"/>
        </w:rPr>
        <w:t xml:space="preserve">a </w:t>
      </w:r>
      <w:commentRangeEnd w:id="11"/>
      <w:r w:rsidR="002A48DC">
        <w:rPr>
          <w:rStyle w:val="CommentReference"/>
        </w:rPr>
        <w:commentReference w:id="11"/>
      </w:r>
      <w:r w:rsidRPr="00C43AF5">
        <w:rPr>
          <w:rFonts w:ascii="Times New Roman" w:hAnsi="Times New Roman" w:cs="Times New Roman"/>
          <w:sz w:val="24"/>
          <w:szCs w:val="24"/>
        </w:rPr>
        <w:t xml:space="preserve">cornerstone of effective corporate governance, influencing the strategic direction, oversight, and long-term sustainability of organizations (Dragomir &amp; Dumitru, 2023). As cited by </w:t>
      </w:r>
      <w:commentRangeStart w:id="12"/>
      <w:r w:rsidRPr="00C43AF5">
        <w:rPr>
          <w:rFonts w:ascii="Times New Roman" w:hAnsi="Times New Roman" w:cs="Times New Roman"/>
          <w:sz w:val="24"/>
          <w:szCs w:val="24"/>
        </w:rPr>
        <w:t xml:space="preserve">Qaderi et al. (2022) </w:t>
      </w:r>
      <w:commentRangeEnd w:id="12"/>
      <w:r w:rsidR="000B4373">
        <w:rPr>
          <w:rStyle w:val="CommentReference"/>
        </w:rPr>
        <w:commentReference w:id="12"/>
      </w:r>
      <w:r w:rsidRPr="00C43AF5">
        <w:rPr>
          <w:rFonts w:ascii="Times New Roman" w:hAnsi="Times New Roman" w:cs="Times New Roman"/>
          <w:sz w:val="24"/>
          <w:szCs w:val="24"/>
        </w:rPr>
        <w:t xml:space="preserve">that board composition encompasses the diversity, expertise, independence, and dynamics of the individuals who serve as directors, shaping their ability to guide and govern the company in the best interests of shareholders and </w:t>
      </w:r>
      <w:r w:rsidRPr="00C43AF5">
        <w:rPr>
          <w:rFonts w:ascii="Times New Roman" w:hAnsi="Times New Roman" w:cs="Times New Roman"/>
          <w:sz w:val="24"/>
          <w:szCs w:val="24"/>
        </w:rPr>
        <w:lastRenderedPageBreak/>
        <w:t xml:space="preserve">stakeholders alike. Zouari and Dhifi (2022) posit that board composition is a dynamic and multifaceted aspect of corporate governance critical to organizational success and sustainability. By cultivating a diverse, skilled, and independent board, companies can enhance decision-making, strengthen oversight, and foster long-term value creation for all stakeholders (Song, 2024). Regular evaluation, alignment with regulatory standards, and responsiveness to evolving governance trends are essential for maintaining effective board composition in today's complex business environment </w:t>
      </w:r>
      <w:commentRangeStart w:id="13"/>
      <w:r w:rsidRPr="00C43AF5">
        <w:rPr>
          <w:rFonts w:ascii="Times New Roman" w:hAnsi="Times New Roman" w:cs="Times New Roman"/>
          <w:sz w:val="24"/>
          <w:szCs w:val="24"/>
        </w:rPr>
        <w:t>(Adedeji et al., 2020).</w:t>
      </w:r>
      <w:commentRangeEnd w:id="13"/>
      <w:r w:rsidR="000B4373">
        <w:rPr>
          <w:rStyle w:val="CommentReference"/>
        </w:rPr>
        <w:commentReference w:id="13"/>
      </w:r>
    </w:p>
    <w:p w:rsidR="00975273" w:rsidRPr="00C43AF5" w:rsidRDefault="008F4BF4" w:rsidP="00975273">
      <w:pPr>
        <w:spacing w:after="0" w:line="276" w:lineRule="auto"/>
        <w:jc w:val="both"/>
        <w:rPr>
          <w:rFonts w:ascii="Times New Roman" w:hAnsi="Times New Roman" w:cs="Times New Roman"/>
          <w:sz w:val="24"/>
          <w:szCs w:val="24"/>
        </w:rPr>
      </w:pPr>
      <w:r>
        <w:rPr>
          <w:rStyle w:val="Strong"/>
          <w:rFonts w:ascii="Times New Roman" w:hAnsi="Times New Roman" w:cs="Times New Roman"/>
          <w:sz w:val="24"/>
          <w:szCs w:val="24"/>
        </w:rPr>
        <w:t xml:space="preserve">2.1.4 </w:t>
      </w:r>
      <w:r w:rsidR="00975273" w:rsidRPr="00C43AF5">
        <w:rPr>
          <w:rStyle w:val="Strong"/>
          <w:rFonts w:ascii="Times New Roman" w:hAnsi="Times New Roman" w:cs="Times New Roman"/>
          <w:sz w:val="24"/>
          <w:szCs w:val="24"/>
        </w:rPr>
        <w:t>Executive Leadership</w:t>
      </w:r>
    </w:p>
    <w:p w:rsidR="00975273" w:rsidRPr="00C43AF5" w:rsidRDefault="00975273" w:rsidP="00975273">
      <w:pPr>
        <w:spacing w:after="0" w:line="276" w:lineRule="auto"/>
        <w:ind w:firstLine="720"/>
        <w:jc w:val="both"/>
        <w:rPr>
          <w:rFonts w:ascii="Times New Roman" w:eastAsia="Times New Roman" w:hAnsi="Times New Roman" w:cs="Times New Roman"/>
          <w:sz w:val="24"/>
          <w:szCs w:val="24"/>
        </w:rPr>
      </w:pPr>
      <w:r w:rsidRPr="00C43AF5">
        <w:rPr>
          <w:rFonts w:ascii="Times New Roman" w:hAnsi="Times New Roman" w:cs="Times New Roman"/>
          <w:sz w:val="24"/>
          <w:szCs w:val="24"/>
        </w:rPr>
        <w:t xml:space="preserve">Leaders who prioritize ethical conduct, long-term value creation, and stakeholder interests contribute to a positive governance culture, building trust and sustainability </w:t>
      </w:r>
      <w:commentRangeStart w:id="14"/>
      <w:r w:rsidRPr="00C43AF5">
        <w:rPr>
          <w:rFonts w:ascii="Times New Roman" w:hAnsi="Times New Roman" w:cs="Times New Roman"/>
          <w:sz w:val="24"/>
          <w:szCs w:val="24"/>
        </w:rPr>
        <w:t>(Noor et al., 2022).</w:t>
      </w:r>
      <w:commentRangeEnd w:id="14"/>
      <w:r w:rsidR="000B4373">
        <w:rPr>
          <w:rStyle w:val="CommentReference"/>
        </w:rPr>
        <w:commentReference w:id="14"/>
      </w:r>
      <w:r w:rsidRPr="00C43AF5">
        <w:rPr>
          <w:rFonts w:ascii="Times New Roman" w:hAnsi="Times New Roman" w:cs="Times New Roman"/>
          <w:sz w:val="24"/>
          <w:szCs w:val="24"/>
        </w:rPr>
        <w:t xml:space="preserve"> The effectiveness and integrity of senior executives, particularly the CEO, influence corporate governance practices profoundly. Abdulfatah et al. (2023) as cited in Adedeji et al. (2020) postulate that executive leadership is an integral element in shaping organizational culture, driving performance, and navigating complexity in today's globalized economy by promoting a culture of innovation, ethical conduct, and stakeholder engagement, effective leaders can position their organizations for sustainable growth, resilience, and long-term success in a rapidly changing business environment. </w:t>
      </w:r>
      <w:r w:rsidRPr="00C43AF5">
        <w:rPr>
          <w:rStyle w:val="Strong"/>
          <w:rFonts w:ascii="Times New Roman" w:hAnsi="Times New Roman" w:cs="Times New Roman"/>
          <w:b w:val="0"/>
          <w:sz w:val="24"/>
          <w:szCs w:val="24"/>
        </w:rPr>
        <w:t>Executive leadership refers to c</w:t>
      </w:r>
      <w:r w:rsidRPr="00C43AF5">
        <w:rPr>
          <w:rFonts w:ascii="Times New Roman" w:hAnsi="Times New Roman" w:cs="Times New Roman"/>
          <w:sz w:val="24"/>
          <w:szCs w:val="24"/>
        </w:rPr>
        <w:t>ontinuous development of leadership capabilities, alignment with stakeholder expectations, and proactive management of organizational challenges are essential for achieving and sustaining leadership excellence (Abubakar et al., 2023).</w:t>
      </w:r>
    </w:p>
    <w:p w:rsidR="00975273" w:rsidRPr="00C43AF5" w:rsidRDefault="008F4BF4" w:rsidP="00975273">
      <w:pPr>
        <w:spacing w:after="0" w:line="276" w:lineRule="auto"/>
        <w:jc w:val="both"/>
        <w:rPr>
          <w:rFonts w:ascii="Times New Roman" w:hAnsi="Times New Roman" w:cs="Times New Roman"/>
          <w:sz w:val="24"/>
          <w:szCs w:val="24"/>
        </w:rPr>
      </w:pPr>
      <w:r>
        <w:rPr>
          <w:rStyle w:val="Strong"/>
          <w:rFonts w:ascii="Times New Roman" w:hAnsi="Times New Roman" w:cs="Times New Roman"/>
          <w:sz w:val="24"/>
          <w:szCs w:val="24"/>
        </w:rPr>
        <w:t xml:space="preserve">2.1.5 </w:t>
      </w:r>
      <w:r w:rsidR="00975273" w:rsidRPr="00C43AF5">
        <w:rPr>
          <w:rStyle w:val="Strong"/>
          <w:rFonts w:ascii="Times New Roman" w:hAnsi="Times New Roman" w:cs="Times New Roman"/>
          <w:sz w:val="24"/>
          <w:szCs w:val="24"/>
        </w:rPr>
        <w:t>Regulatory Framework</w:t>
      </w:r>
    </w:p>
    <w:p w:rsidR="00107A0F" w:rsidRPr="00C43AF5" w:rsidRDefault="00975273" w:rsidP="00107A0F">
      <w:pPr>
        <w:spacing w:after="0" w:line="276" w:lineRule="auto"/>
        <w:ind w:firstLine="720"/>
        <w:jc w:val="both"/>
        <w:rPr>
          <w:rFonts w:ascii="Times New Roman" w:hAnsi="Times New Roman" w:cs="Times New Roman"/>
          <w:b/>
          <w:sz w:val="24"/>
          <w:szCs w:val="24"/>
        </w:rPr>
      </w:pPr>
      <w:commentRangeStart w:id="15"/>
      <w:r w:rsidRPr="00C43AF5">
        <w:rPr>
          <w:rFonts w:ascii="Times New Roman" w:hAnsi="Times New Roman" w:cs="Times New Roman"/>
          <w:sz w:val="24"/>
          <w:szCs w:val="24"/>
        </w:rPr>
        <w:t>Abrahams et al. (2024)</w:t>
      </w:r>
      <w:commentRangeEnd w:id="15"/>
      <w:r w:rsidR="000B4373">
        <w:rPr>
          <w:rStyle w:val="CommentReference"/>
        </w:rPr>
        <w:commentReference w:id="15"/>
      </w:r>
      <w:r w:rsidRPr="00C43AF5">
        <w:rPr>
          <w:rFonts w:ascii="Times New Roman" w:hAnsi="Times New Roman" w:cs="Times New Roman"/>
          <w:sz w:val="24"/>
          <w:szCs w:val="24"/>
        </w:rPr>
        <w:t>, articulate that the regulatory environment in which a company operates sets the foundation for its governance practices to establish standards for financial reporting, board composition, executive compensation, and shareholder rights, ensuring compliance and minimizing risks associated with misconduct or malpractice. The regulatory framework forms the bedrock of governance in any society, providing the rules, standards, and guidelines that govern the behavior and operations of individuals, organizations, and institutions (</w:t>
      </w:r>
      <w:commentRangeStart w:id="16"/>
      <w:r w:rsidRPr="00C43AF5">
        <w:rPr>
          <w:rFonts w:ascii="Times New Roman" w:hAnsi="Times New Roman" w:cs="Times New Roman"/>
          <w:sz w:val="24"/>
          <w:szCs w:val="24"/>
        </w:rPr>
        <w:t>Adaga et al., 2024</w:t>
      </w:r>
      <w:commentRangeEnd w:id="16"/>
      <w:r w:rsidR="000B4373">
        <w:rPr>
          <w:rStyle w:val="CommentReference"/>
        </w:rPr>
        <w:commentReference w:id="16"/>
      </w:r>
      <w:r w:rsidRPr="00C43AF5">
        <w:rPr>
          <w:rFonts w:ascii="Times New Roman" w:hAnsi="Times New Roman" w:cs="Times New Roman"/>
          <w:sz w:val="24"/>
          <w:szCs w:val="24"/>
        </w:rPr>
        <w:t xml:space="preserve">). In the realm of business and finance, a robust regulatory framework is essential for ensuring fairness, transparency, accountability, and stability within the marketplace. </w:t>
      </w:r>
      <w:r w:rsidR="00107A0F" w:rsidRPr="00C43AF5">
        <w:rPr>
          <w:rFonts w:ascii="Times New Roman" w:eastAsia="Times New Roman" w:hAnsi="Times New Roman" w:cs="Times New Roman"/>
          <w:sz w:val="24"/>
          <w:szCs w:val="24"/>
        </w:rPr>
        <w:t xml:space="preserve">In addition to supporting compliance, reducing risks, and safeguarding stakeholders, a well-crafted regulatory framework is necessary for a transparent and resilient business environment. Regulatory frameworks are also vital for maintaining economic growth, encouraging innovation, and guaranteeing corporate accountability. </w:t>
      </w:r>
    </w:p>
    <w:p w:rsidR="00975273" w:rsidRPr="00C43AF5" w:rsidRDefault="00975273" w:rsidP="00975273">
      <w:pPr>
        <w:spacing w:after="0" w:line="276" w:lineRule="auto"/>
        <w:ind w:firstLine="720"/>
        <w:jc w:val="both"/>
        <w:rPr>
          <w:rFonts w:ascii="Times New Roman" w:hAnsi="Times New Roman" w:cs="Times New Roman"/>
          <w:sz w:val="24"/>
          <w:szCs w:val="24"/>
        </w:rPr>
      </w:pPr>
      <w:r w:rsidRPr="00C43AF5">
        <w:rPr>
          <w:rFonts w:ascii="Times New Roman" w:hAnsi="Times New Roman" w:cs="Times New Roman"/>
          <w:sz w:val="24"/>
          <w:szCs w:val="24"/>
        </w:rPr>
        <w:t xml:space="preserve">Robust internal control systems and effective risk management frameworks are essential for maintaining sound governance practices, these mechanisms safeguard against fraud, ensure compliance with regulations, and optimize operational efficiency, thereby protecting shareholder value and organizational reputation (Adeleke et al., 2019). Effective internal controls incorporate a range of activities and responsibilities distributed throughout an organization starting with the tone set by senior management, emphasizing integrity and ethical values that permeate through all levels </w:t>
      </w:r>
      <w:commentRangeStart w:id="17"/>
      <w:r w:rsidRPr="00C43AF5">
        <w:rPr>
          <w:rFonts w:ascii="Times New Roman" w:hAnsi="Times New Roman" w:cs="Times New Roman"/>
          <w:sz w:val="24"/>
          <w:szCs w:val="24"/>
        </w:rPr>
        <w:t xml:space="preserve">(Uchechukwu et al., 2023). </w:t>
      </w:r>
      <w:commentRangeEnd w:id="17"/>
      <w:r w:rsidR="000B4373">
        <w:rPr>
          <w:rStyle w:val="CommentReference"/>
        </w:rPr>
        <w:commentReference w:id="17"/>
      </w:r>
      <w:r w:rsidRPr="00C43AF5">
        <w:rPr>
          <w:rFonts w:ascii="Times New Roman" w:hAnsi="Times New Roman" w:cs="Times New Roman"/>
          <w:sz w:val="24"/>
          <w:szCs w:val="24"/>
        </w:rPr>
        <w:t xml:space="preserve">Policies and procedures are established to guide operations, </w:t>
      </w:r>
      <w:r w:rsidRPr="00C43AF5">
        <w:rPr>
          <w:rFonts w:ascii="Times New Roman" w:hAnsi="Times New Roman" w:cs="Times New Roman"/>
          <w:sz w:val="24"/>
          <w:szCs w:val="24"/>
        </w:rPr>
        <w:lastRenderedPageBreak/>
        <w:t>minimize errors, prevent fraud, and ensure that all activities are conducted following established guidelines (Nakpodia and Olan, 2022).</w:t>
      </w:r>
    </w:p>
    <w:p w:rsidR="00975273" w:rsidRPr="00C43AF5" w:rsidRDefault="008F4BF4" w:rsidP="0097527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 </w:t>
      </w:r>
      <w:r w:rsidR="00975273" w:rsidRPr="00C43AF5">
        <w:rPr>
          <w:rFonts w:ascii="Times New Roman" w:eastAsia="Times New Roman" w:hAnsi="Times New Roman" w:cs="Times New Roman"/>
          <w:b/>
          <w:sz w:val="24"/>
          <w:szCs w:val="24"/>
        </w:rPr>
        <w:t>Theoretical Review</w:t>
      </w:r>
    </w:p>
    <w:p w:rsidR="008F4BF4" w:rsidRPr="008F4BF4" w:rsidRDefault="008F4BF4" w:rsidP="00ED3A69">
      <w:pPr>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study reviewed the following two theories Resource Dependence Theory and </w:t>
      </w:r>
      <w:r w:rsidRPr="008F4BF4">
        <w:rPr>
          <w:rFonts w:ascii="Times New Roman" w:eastAsia="Times New Roman" w:hAnsi="Times New Roman" w:cs="Times New Roman"/>
          <w:bCs/>
          <w:sz w:val="24"/>
          <w:szCs w:val="24"/>
        </w:rPr>
        <w:t>Transaction Cost Economics</w:t>
      </w:r>
      <w:r>
        <w:rPr>
          <w:rFonts w:ascii="Times New Roman" w:eastAsia="Times New Roman" w:hAnsi="Times New Roman" w:cs="Times New Roman"/>
          <w:bCs/>
          <w:sz w:val="24"/>
          <w:szCs w:val="24"/>
        </w:rPr>
        <w:t xml:space="preserve">. However the study is anchored on Resource Dependence Theory because the theory explains the connection between </w:t>
      </w:r>
      <w:r w:rsidRPr="008F4BF4">
        <w:rPr>
          <w:rFonts w:ascii="Times New Roman" w:hAnsi="Times New Roman" w:cs="Times New Roman"/>
          <w:sz w:val="24"/>
          <w:szCs w:val="24"/>
        </w:rPr>
        <w:t>corporate governance determinants of International Financial Reporting Standard (IFRS) 10 and consolidation accounting practices</w:t>
      </w:r>
      <w:r>
        <w:rPr>
          <w:rFonts w:ascii="Times New Roman" w:hAnsi="Times New Roman" w:cs="Times New Roman"/>
          <w:sz w:val="24"/>
          <w:szCs w:val="24"/>
        </w:rPr>
        <w:t>.</w:t>
      </w:r>
    </w:p>
    <w:p w:rsidR="00ED3A69" w:rsidRPr="00C43AF5" w:rsidRDefault="008F4BF4" w:rsidP="00ED3A69">
      <w:pPr>
        <w:spacing w:after="0"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2.2.1 </w:t>
      </w:r>
      <w:r w:rsidR="00975273" w:rsidRPr="00C43AF5">
        <w:rPr>
          <w:rFonts w:ascii="Times New Roman" w:eastAsia="Times New Roman" w:hAnsi="Times New Roman" w:cs="Times New Roman"/>
          <w:b/>
          <w:bCs/>
          <w:sz w:val="24"/>
          <w:szCs w:val="24"/>
        </w:rPr>
        <w:t>Resource Dependence Theory (RDT)</w:t>
      </w:r>
    </w:p>
    <w:p w:rsidR="00975273" w:rsidRPr="00C43AF5" w:rsidRDefault="00D5402F" w:rsidP="00ED3A69">
      <w:pPr>
        <w:spacing w:after="0" w:line="276" w:lineRule="auto"/>
        <w:jc w:val="both"/>
        <w:rPr>
          <w:rFonts w:ascii="Times New Roman" w:eastAsia="Times New Roman" w:hAnsi="Times New Roman" w:cs="Times New Roman"/>
          <w:b/>
          <w:bCs/>
          <w:sz w:val="24"/>
          <w:szCs w:val="24"/>
        </w:rPr>
      </w:pPr>
      <w:r w:rsidRPr="00C43AF5">
        <w:rPr>
          <w:rFonts w:ascii="Times New Roman" w:eastAsia="Times New Roman" w:hAnsi="Times New Roman" w:cs="Times New Roman"/>
          <w:sz w:val="24"/>
          <w:szCs w:val="24"/>
        </w:rPr>
        <w:t xml:space="preserve">The Resource-Dependency Theory (RDT), which was mainly developed by Pfeffer and Salancik in the 1970s, asserts that an organization's behavior is determined by the resources it needs to live and grow. </w:t>
      </w:r>
      <w:r w:rsidR="00975273" w:rsidRPr="00C43AF5">
        <w:rPr>
          <w:rFonts w:ascii="Times New Roman" w:eastAsia="Times New Roman" w:hAnsi="Times New Roman" w:cs="Times New Roman"/>
          <w:sz w:val="24"/>
          <w:szCs w:val="24"/>
        </w:rPr>
        <w:t xml:space="preserve"> Resource Dependence Theory (RDT) offers a compelling framework for understanding how organizations manage their external environment and dependencies to achieve strategic goals and organizational effectiveness </w:t>
      </w:r>
      <w:r w:rsidR="00975273" w:rsidRPr="00C43AF5">
        <w:rPr>
          <w:rFonts w:ascii="Times New Roman" w:hAnsi="Times New Roman" w:cs="Times New Roman"/>
          <w:sz w:val="24"/>
          <w:szCs w:val="24"/>
        </w:rPr>
        <w:t>(</w:t>
      </w:r>
      <w:commentRangeStart w:id="18"/>
      <w:r w:rsidR="00975273" w:rsidRPr="00C43AF5">
        <w:rPr>
          <w:rFonts w:ascii="Times New Roman" w:hAnsi="Times New Roman" w:cs="Times New Roman"/>
          <w:sz w:val="24"/>
          <w:szCs w:val="24"/>
        </w:rPr>
        <w:t>Pantić et al., 2021)</w:t>
      </w:r>
      <w:commentRangeEnd w:id="18"/>
      <w:r w:rsidR="00D675B3">
        <w:rPr>
          <w:rStyle w:val="CommentReference"/>
        </w:rPr>
        <w:commentReference w:id="18"/>
      </w:r>
      <w:r w:rsidR="00975273" w:rsidRPr="00C43AF5">
        <w:rPr>
          <w:rFonts w:ascii="Times New Roman" w:eastAsia="Times New Roman" w:hAnsi="Times New Roman" w:cs="Times New Roman"/>
          <w:sz w:val="24"/>
          <w:szCs w:val="24"/>
        </w:rPr>
        <w:t>. Resource Dependence Theory challenges of traditional view of organizations as autonomous entities operating in isolation, it emphasizes that organizations exist within complex environments where they must interact with various external stakeholders, including suppliers, customers, regulators, and communities (</w:t>
      </w:r>
      <w:r w:rsidR="00975273" w:rsidRPr="00C43AF5">
        <w:rPr>
          <w:rFonts w:ascii="Times New Roman" w:hAnsi="Times New Roman" w:cs="Times New Roman"/>
          <w:sz w:val="24"/>
          <w:szCs w:val="24"/>
        </w:rPr>
        <w:t>Groenewald, 2020)</w:t>
      </w:r>
      <w:r w:rsidR="00975273" w:rsidRPr="00C43AF5">
        <w:rPr>
          <w:rFonts w:ascii="Times New Roman" w:eastAsia="Times New Roman" w:hAnsi="Times New Roman" w:cs="Times New Roman"/>
          <w:sz w:val="24"/>
          <w:szCs w:val="24"/>
        </w:rPr>
        <w:t>, in which stakeholders control critical resources such as capital, raw materials, technology, and knowledge, which are essential for the organization's operations and success.</w:t>
      </w:r>
    </w:p>
    <w:p w:rsidR="00975273" w:rsidRPr="00C43AF5" w:rsidRDefault="00975273" w:rsidP="00975273">
      <w:pPr>
        <w:spacing w:after="0" w:line="276" w:lineRule="auto"/>
        <w:ind w:firstLine="720"/>
        <w:jc w:val="both"/>
        <w:rPr>
          <w:rFonts w:ascii="Times New Roman" w:eastAsia="Times New Roman" w:hAnsi="Times New Roman" w:cs="Times New Roman"/>
          <w:b/>
          <w:bCs/>
          <w:sz w:val="24"/>
          <w:szCs w:val="24"/>
        </w:rPr>
      </w:pPr>
      <w:r w:rsidRPr="00C43AF5">
        <w:rPr>
          <w:rFonts w:ascii="Times New Roman" w:eastAsia="Times New Roman" w:hAnsi="Times New Roman" w:cs="Times New Roman"/>
          <w:sz w:val="24"/>
          <w:szCs w:val="24"/>
        </w:rPr>
        <w:t>Firms depend on external resources such as capital, raw materials, and knowledge (</w:t>
      </w:r>
      <w:commentRangeStart w:id="19"/>
      <w:r w:rsidRPr="00C43AF5">
        <w:rPr>
          <w:rFonts w:ascii="Times New Roman" w:hAnsi="Times New Roman" w:cs="Times New Roman"/>
          <w:sz w:val="24"/>
          <w:szCs w:val="24"/>
        </w:rPr>
        <w:t>Ilugbusi et al., 2020</w:t>
      </w:r>
      <w:commentRangeEnd w:id="19"/>
      <w:r w:rsidR="00D675B3">
        <w:rPr>
          <w:rStyle w:val="CommentReference"/>
        </w:rPr>
        <w:commentReference w:id="19"/>
      </w:r>
      <w:r w:rsidRPr="00C43AF5">
        <w:rPr>
          <w:rFonts w:ascii="Times New Roman" w:eastAsia="Times New Roman" w:hAnsi="Times New Roman" w:cs="Times New Roman"/>
          <w:sz w:val="24"/>
          <w:szCs w:val="24"/>
        </w:rPr>
        <w:t>). Resource dependence theory emphasizes how governance structures are shaped by interactions with external stakeholders, including investors, creditors, regulators, and suppliers (</w:t>
      </w:r>
      <w:r w:rsidRPr="00C43AF5">
        <w:rPr>
          <w:rFonts w:ascii="Times New Roman" w:hAnsi="Times New Roman" w:cs="Times New Roman"/>
          <w:sz w:val="24"/>
          <w:szCs w:val="24"/>
        </w:rPr>
        <w:t>Adedeji et al., 2020; Adeleke et al., 2019)</w:t>
      </w:r>
      <w:r w:rsidRPr="00C43AF5">
        <w:rPr>
          <w:rFonts w:ascii="Times New Roman" w:eastAsia="Times New Roman" w:hAnsi="Times New Roman" w:cs="Times New Roman"/>
          <w:sz w:val="24"/>
          <w:szCs w:val="24"/>
        </w:rPr>
        <w:t xml:space="preserve">. Corporate governance practices are influenced by the need to manage dependencies and maintain access to critical resources. </w:t>
      </w:r>
      <w:r w:rsidRPr="00C43AF5">
        <w:rPr>
          <w:rFonts w:ascii="Times New Roman" w:hAnsi="Times New Roman" w:cs="Times New Roman"/>
          <w:sz w:val="24"/>
          <w:szCs w:val="24"/>
        </w:rPr>
        <w:t>In practice, resource dependence theory has been instrumental in guiding organizational strategies across various industries and sectors. It underscores the importance of strategic management of external relationships, proactive engagement with stakeholders, and continuous adaptation to changing environments (Ozili, 2020). Understanding and applying RDT principles, firms enhance their resilience, optimize resource allocation, and mitigate risks associated with dependency, and sustainable growth and competitive advantage in today's interconnected global economy.</w:t>
      </w:r>
    </w:p>
    <w:p w:rsidR="00975273" w:rsidRPr="00C43AF5" w:rsidRDefault="008F4BF4" w:rsidP="0097527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2.2.2 </w:t>
      </w:r>
      <w:r w:rsidR="00975273" w:rsidRPr="00C43AF5">
        <w:rPr>
          <w:rFonts w:ascii="Times New Roman" w:eastAsia="Times New Roman" w:hAnsi="Times New Roman" w:cs="Times New Roman"/>
          <w:b/>
          <w:bCs/>
          <w:sz w:val="24"/>
          <w:szCs w:val="24"/>
        </w:rPr>
        <w:t>Transaction Cost Economics</w:t>
      </w:r>
    </w:p>
    <w:p w:rsidR="00975273" w:rsidRPr="00C43AF5" w:rsidRDefault="00975273" w:rsidP="00975273">
      <w:pPr>
        <w:spacing w:after="0" w:line="276" w:lineRule="auto"/>
        <w:ind w:firstLine="720"/>
        <w:jc w:val="both"/>
        <w:rPr>
          <w:rFonts w:ascii="Times New Roman" w:eastAsia="Times New Roman" w:hAnsi="Times New Roman" w:cs="Times New Roman"/>
          <w:sz w:val="24"/>
          <w:szCs w:val="24"/>
        </w:rPr>
      </w:pPr>
      <w:r w:rsidRPr="00C43AF5">
        <w:rPr>
          <w:rFonts w:ascii="Times New Roman" w:eastAsia="Times New Roman" w:hAnsi="Times New Roman" w:cs="Times New Roman"/>
          <w:sz w:val="24"/>
          <w:szCs w:val="24"/>
        </w:rPr>
        <w:t xml:space="preserve">The theory of transaction cost economics was </w:t>
      </w:r>
      <w:r w:rsidRPr="00C43AF5">
        <w:rPr>
          <w:rFonts w:ascii="Times New Roman" w:hAnsi="Times New Roman" w:cs="Times New Roman"/>
          <w:sz w:val="24"/>
          <w:szCs w:val="24"/>
        </w:rPr>
        <w:t>developed by Oliver E. Williamson and elaborated upon by scholars such as Ronald Coase, TCE has become a cornerstone of organizational economics, explaining how firms choose between market transactions and internal governance structures to minimize costs and maximize efficiency (</w:t>
      </w:r>
      <w:commentRangeStart w:id="20"/>
      <w:r w:rsidRPr="00C43AF5">
        <w:rPr>
          <w:rFonts w:ascii="Times New Roman" w:hAnsi="Times New Roman" w:cs="Times New Roman"/>
          <w:sz w:val="24"/>
          <w:szCs w:val="24"/>
        </w:rPr>
        <w:t>Osemene et al., 2021</w:t>
      </w:r>
      <w:commentRangeEnd w:id="20"/>
      <w:r w:rsidR="00D675B3">
        <w:rPr>
          <w:rStyle w:val="CommentReference"/>
        </w:rPr>
        <w:commentReference w:id="20"/>
      </w:r>
      <w:r w:rsidRPr="00C43AF5">
        <w:rPr>
          <w:rFonts w:ascii="Times New Roman" w:hAnsi="Times New Roman" w:cs="Times New Roman"/>
          <w:sz w:val="24"/>
          <w:szCs w:val="24"/>
        </w:rPr>
        <w:t xml:space="preserve">).  </w:t>
      </w:r>
      <w:r w:rsidRPr="00C43AF5">
        <w:rPr>
          <w:rFonts w:ascii="Times New Roman" w:eastAsia="Times New Roman" w:hAnsi="Times New Roman" w:cs="Times New Roman"/>
          <w:sz w:val="24"/>
          <w:szCs w:val="24"/>
        </w:rPr>
        <w:t>According to this theory, governance structures are influenced by the costs associated with conducting transactions within an organization versus through external markets (</w:t>
      </w:r>
      <w:r w:rsidRPr="00C43AF5">
        <w:rPr>
          <w:rFonts w:ascii="Times New Roman" w:hAnsi="Times New Roman" w:cs="Times New Roman"/>
          <w:sz w:val="24"/>
          <w:szCs w:val="24"/>
        </w:rPr>
        <w:t>Solomon, 2020)</w:t>
      </w:r>
      <w:r w:rsidRPr="00C43AF5">
        <w:rPr>
          <w:rFonts w:ascii="Times New Roman" w:eastAsia="Times New Roman" w:hAnsi="Times New Roman" w:cs="Times New Roman"/>
          <w:sz w:val="24"/>
          <w:szCs w:val="24"/>
        </w:rPr>
        <w:t xml:space="preserve">. Corporate governance mechanisms such as hierarchical controls, contractual </w:t>
      </w:r>
      <w:r w:rsidRPr="00C43AF5">
        <w:rPr>
          <w:rFonts w:ascii="Times New Roman" w:eastAsia="Times New Roman" w:hAnsi="Times New Roman" w:cs="Times New Roman"/>
          <w:sz w:val="24"/>
          <w:szCs w:val="24"/>
        </w:rPr>
        <w:lastRenderedPageBreak/>
        <w:t>arrangements, and monitoring systems are designed to reduce transaction costs and mitigate opportunistic behavior (</w:t>
      </w:r>
      <w:r w:rsidRPr="00C43AF5">
        <w:rPr>
          <w:rFonts w:ascii="Times New Roman" w:hAnsi="Times New Roman" w:cs="Times New Roman"/>
          <w:sz w:val="24"/>
          <w:szCs w:val="24"/>
        </w:rPr>
        <w:t>Abubakar et al., 2023)</w:t>
      </w:r>
      <w:r w:rsidRPr="00C43AF5">
        <w:rPr>
          <w:rFonts w:ascii="Times New Roman" w:eastAsia="Times New Roman" w:hAnsi="Times New Roman" w:cs="Times New Roman"/>
          <w:sz w:val="24"/>
          <w:szCs w:val="24"/>
        </w:rPr>
        <w:t>.</w:t>
      </w:r>
    </w:p>
    <w:p w:rsidR="00975273" w:rsidRPr="00C43AF5" w:rsidRDefault="00975273" w:rsidP="00975273">
      <w:pPr>
        <w:spacing w:after="0" w:line="276" w:lineRule="auto"/>
        <w:ind w:firstLine="720"/>
        <w:jc w:val="both"/>
        <w:rPr>
          <w:rFonts w:ascii="Times New Roman" w:eastAsia="Times New Roman" w:hAnsi="Times New Roman" w:cs="Times New Roman"/>
          <w:b/>
          <w:sz w:val="24"/>
          <w:szCs w:val="24"/>
        </w:rPr>
      </w:pPr>
      <w:r w:rsidRPr="00C43AF5">
        <w:rPr>
          <w:rFonts w:ascii="Times New Roman" w:hAnsi="Times New Roman" w:cs="Times New Roman"/>
          <w:sz w:val="24"/>
          <w:szCs w:val="24"/>
        </w:rPr>
        <w:t>Transaction Cost Economics (TCE) provides a robust framework for understanding how organizations make economic decisions in the face of transaction costs, which arise from the complexity, uncertainty, and imperfections inherent in conducting economic exchanges (Ahmed &amp; Anifowose, 2024). Transaction cost economics provides a powerful lens through which to analyze organizational decision-making in the context of economic transactions to consider transaction costs, asset specificity, bounded rationality, and strategic behavior, TCE helps organizations navigate complex economic environments, optimize resource allocation, and design governance structures that foster efficiency, flexibility, and competitive advantage in today's dynamic business landscape (Convery, et al., 2022).</w:t>
      </w:r>
    </w:p>
    <w:p w:rsidR="00975273" w:rsidRPr="00C43AF5" w:rsidRDefault="00CB7780" w:rsidP="0097527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 </w:t>
      </w:r>
      <w:r w:rsidR="00975273" w:rsidRPr="00C43AF5">
        <w:rPr>
          <w:rFonts w:ascii="Times New Roman" w:eastAsia="Times New Roman" w:hAnsi="Times New Roman" w:cs="Times New Roman"/>
          <w:b/>
          <w:sz w:val="24"/>
          <w:szCs w:val="24"/>
        </w:rPr>
        <w:t>Empirical Review</w:t>
      </w:r>
    </w:p>
    <w:p w:rsidR="00863A32" w:rsidRPr="00C43AF5" w:rsidRDefault="00975273" w:rsidP="005B50D9">
      <w:pPr>
        <w:spacing w:after="0" w:line="276" w:lineRule="auto"/>
        <w:ind w:firstLine="720"/>
        <w:jc w:val="both"/>
        <w:rPr>
          <w:rFonts w:ascii="Times New Roman" w:hAnsi="Times New Roman" w:cs="Times New Roman"/>
          <w:sz w:val="24"/>
          <w:szCs w:val="24"/>
        </w:rPr>
      </w:pPr>
      <w:r w:rsidRPr="00C43AF5">
        <w:rPr>
          <w:rFonts w:ascii="Times New Roman" w:hAnsi="Times New Roman" w:cs="Times New Roman"/>
          <w:sz w:val="24"/>
          <w:szCs w:val="24"/>
        </w:rPr>
        <w:t xml:space="preserve">Lawal and Yahaya (2024) examined the impact of corporate governance in integrated reporting. The data </w:t>
      </w:r>
      <w:r w:rsidR="006B7961" w:rsidRPr="00C43AF5">
        <w:rPr>
          <w:rFonts w:ascii="Times New Roman" w:hAnsi="Times New Roman" w:cs="Times New Roman"/>
          <w:sz w:val="24"/>
          <w:szCs w:val="24"/>
        </w:rPr>
        <w:t xml:space="preserve">from </w:t>
      </w:r>
      <w:r w:rsidRPr="00C43AF5">
        <w:rPr>
          <w:rFonts w:ascii="Times New Roman" w:hAnsi="Times New Roman" w:cs="Times New Roman"/>
          <w:sz w:val="24"/>
          <w:szCs w:val="24"/>
        </w:rPr>
        <w:t xml:space="preserve">a sample of 155 publicly listed firms in Nigeria for ten years (2013-2022) were </w:t>
      </w:r>
      <w:r w:rsidR="006B7961" w:rsidRPr="00C43AF5">
        <w:rPr>
          <w:rFonts w:ascii="Times New Roman" w:hAnsi="Times New Roman" w:cs="Times New Roman"/>
          <w:sz w:val="24"/>
          <w:szCs w:val="24"/>
        </w:rPr>
        <w:t>analyzed</w:t>
      </w:r>
      <w:r w:rsidRPr="00C43AF5">
        <w:rPr>
          <w:rFonts w:ascii="Times New Roman" w:hAnsi="Times New Roman" w:cs="Times New Roman"/>
          <w:sz w:val="24"/>
          <w:szCs w:val="24"/>
        </w:rPr>
        <w:t xml:space="preserve"> using Generalised Methods of Moments (GMM). Their findings found that board gender diversity and firm size have statistically significant effects on integrated reporting</w:t>
      </w:r>
      <w:r w:rsidR="009B5EDF">
        <w:rPr>
          <w:rFonts w:ascii="Times New Roman" w:hAnsi="Times New Roman" w:cs="Times New Roman"/>
          <w:sz w:val="24"/>
          <w:szCs w:val="24"/>
        </w:rPr>
        <w:t>. In contrast,</w:t>
      </w:r>
      <w:r w:rsidRPr="00C43AF5">
        <w:rPr>
          <w:rFonts w:ascii="Times New Roman" w:hAnsi="Times New Roman" w:cs="Times New Roman"/>
          <w:sz w:val="24"/>
          <w:szCs w:val="24"/>
        </w:rPr>
        <w:t xml:space="preserve"> managerial ownership, board independence, big4 auditor, profitability, and leverage have insignificant effects on integrated reporting.</w:t>
      </w:r>
    </w:p>
    <w:p w:rsidR="001D7AF8" w:rsidRDefault="00863A32" w:rsidP="001D7AF8">
      <w:pPr>
        <w:spacing w:after="0" w:line="276" w:lineRule="auto"/>
        <w:ind w:firstLine="720"/>
        <w:jc w:val="both"/>
        <w:rPr>
          <w:rFonts w:ascii="Times New Roman" w:hAnsi="Times New Roman" w:cs="Times New Roman"/>
          <w:sz w:val="24"/>
          <w:szCs w:val="24"/>
        </w:rPr>
      </w:pPr>
      <w:r w:rsidRPr="00C43AF5">
        <w:rPr>
          <w:rFonts w:ascii="Times New Roman" w:eastAsia="Times New Roman" w:hAnsi="Times New Roman" w:cs="Times New Roman"/>
          <w:sz w:val="24"/>
          <w:szCs w:val="24"/>
        </w:rPr>
        <w:t xml:space="preserve">Song (2024) looked into a study on </w:t>
      </w:r>
      <w:r w:rsidR="007E0418">
        <w:rPr>
          <w:rFonts w:ascii="Times New Roman" w:hAnsi="Times New Roman" w:cs="Times New Roman"/>
          <w:sz w:val="24"/>
          <w:szCs w:val="24"/>
        </w:rPr>
        <w:t>t</w:t>
      </w:r>
      <w:r w:rsidR="007E0418" w:rsidRPr="00C43AF5">
        <w:rPr>
          <w:rFonts w:ascii="Times New Roman" w:hAnsi="Times New Roman" w:cs="Times New Roman"/>
          <w:sz w:val="24"/>
          <w:szCs w:val="24"/>
        </w:rPr>
        <w:t>he impacts of board diversity on CSR performance based on the UK Corporate Governance Code 202</w:t>
      </w:r>
      <w:r w:rsidRPr="00C43AF5">
        <w:rPr>
          <w:rFonts w:ascii="Times New Roman" w:eastAsia="Times New Roman" w:hAnsi="Times New Roman" w:cs="Times New Roman"/>
          <w:sz w:val="24"/>
          <w:szCs w:val="24"/>
        </w:rPr>
        <w:t xml:space="preserve">. </w:t>
      </w:r>
      <w:r w:rsidR="007E0418">
        <w:rPr>
          <w:rFonts w:ascii="Times New Roman" w:eastAsia="Times New Roman" w:hAnsi="Times New Roman" w:cs="Times New Roman"/>
          <w:sz w:val="24"/>
          <w:szCs w:val="24"/>
        </w:rPr>
        <w:t>The objective is to examine the effect of c</w:t>
      </w:r>
      <w:r w:rsidRPr="00C43AF5">
        <w:rPr>
          <w:rFonts w:ascii="Times New Roman" w:eastAsia="Times New Roman" w:hAnsi="Times New Roman" w:cs="Times New Roman"/>
          <w:sz w:val="24"/>
          <w:szCs w:val="24"/>
        </w:rPr>
        <w:t xml:space="preserve">orporate social responsibility, or CSR, has gained more prominence </w:t>
      </w:r>
      <w:r w:rsidR="009B5EDF">
        <w:rPr>
          <w:rFonts w:ascii="Times New Roman" w:eastAsia="Times New Roman" w:hAnsi="Times New Roman" w:cs="Times New Roman"/>
          <w:sz w:val="24"/>
          <w:szCs w:val="24"/>
        </w:rPr>
        <w:t>due to</w:t>
      </w:r>
      <w:r w:rsidRPr="00C43AF5">
        <w:rPr>
          <w:rFonts w:ascii="Times New Roman" w:eastAsia="Times New Roman" w:hAnsi="Times New Roman" w:cs="Times New Roman"/>
          <w:sz w:val="24"/>
          <w:szCs w:val="24"/>
        </w:rPr>
        <w:t xml:space="preserve"> the globalization process and the quick growth of businesses. Businesses are expected to satisfy corporate social responsibility (CSR) by contributing to the prosperity of society and the environment in addition to achieving economic success, according to the triple bottom line (TBL). The make-up of the board of directors has long drawn attention because it is an essential component of corporate management. The UK Corporate Governance Code 2024, which will serve as the theoretical foundation for this study, is one of the numerous standards and indicators for corporate governance (CG).</w:t>
      </w:r>
    </w:p>
    <w:p w:rsidR="007F0C90" w:rsidRPr="001D7AF8" w:rsidRDefault="00EC6E35" w:rsidP="001D7AF8">
      <w:pPr>
        <w:spacing w:after="0" w:line="276" w:lineRule="auto"/>
        <w:ind w:firstLine="720"/>
        <w:jc w:val="both"/>
        <w:rPr>
          <w:rFonts w:ascii="Times New Roman" w:hAnsi="Times New Roman" w:cs="Times New Roman"/>
          <w:sz w:val="24"/>
          <w:szCs w:val="24"/>
        </w:rPr>
      </w:pPr>
      <w:r w:rsidRPr="00C43AF5">
        <w:rPr>
          <w:rFonts w:ascii="Times New Roman" w:eastAsia="Times New Roman" w:hAnsi="Times New Roman" w:cs="Times New Roman"/>
          <w:sz w:val="24"/>
          <w:szCs w:val="24"/>
        </w:rPr>
        <w:t xml:space="preserve">Ahmed and Anifowose (2024) </w:t>
      </w:r>
      <w:r w:rsidR="00DC6B17">
        <w:rPr>
          <w:rFonts w:ascii="Times New Roman" w:eastAsia="Times New Roman" w:hAnsi="Times New Roman" w:cs="Times New Roman"/>
          <w:sz w:val="24"/>
          <w:szCs w:val="24"/>
        </w:rPr>
        <w:t>conducted</w:t>
      </w:r>
      <w:r w:rsidR="00C965D8">
        <w:rPr>
          <w:rFonts w:ascii="Times New Roman" w:eastAsia="Times New Roman" w:hAnsi="Times New Roman" w:cs="Times New Roman"/>
          <w:sz w:val="24"/>
          <w:szCs w:val="24"/>
        </w:rPr>
        <w:t xml:space="preserve"> a study on </w:t>
      </w:r>
      <w:r w:rsidR="00C965D8">
        <w:rPr>
          <w:rFonts w:ascii="Times New Roman" w:hAnsi="Times New Roman" w:cs="Times New Roman"/>
          <w:bCs/>
          <w:color w:val="131314"/>
          <w:sz w:val="24"/>
          <w:szCs w:val="24"/>
          <w:shd w:val="clear" w:color="auto" w:fill="FFFFFF"/>
        </w:rPr>
        <w:t>corruption</w:t>
      </w:r>
      <w:r w:rsidR="00C965D8" w:rsidRPr="00C965D8">
        <w:rPr>
          <w:rFonts w:ascii="Times New Roman" w:hAnsi="Times New Roman" w:cs="Times New Roman"/>
          <w:bCs/>
          <w:color w:val="131314"/>
          <w:sz w:val="24"/>
          <w:szCs w:val="24"/>
          <w:shd w:val="clear" w:color="auto" w:fill="FFFFFF"/>
        </w:rPr>
        <w:t>, corporate governance, and sustainable development goals in Africa</w:t>
      </w:r>
      <w:r w:rsidR="00C965D8">
        <w:rPr>
          <w:rFonts w:ascii="Times New Roman" w:hAnsi="Times New Roman" w:cs="Times New Roman"/>
          <w:bCs/>
          <w:color w:val="131314"/>
          <w:sz w:val="24"/>
          <w:szCs w:val="24"/>
          <w:shd w:val="clear" w:color="auto" w:fill="FFFFFF"/>
        </w:rPr>
        <w:t xml:space="preserve">, the objective </w:t>
      </w:r>
      <w:r w:rsidR="002C0737">
        <w:rPr>
          <w:rFonts w:ascii="Times New Roman" w:hAnsi="Times New Roman" w:cs="Times New Roman"/>
          <w:bCs/>
          <w:color w:val="131314"/>
          <w:sz w:val="24"/>
          <w:szCs w:val="24"/>
          <w:shd w:val="clear" w:color="auto" w:fill="FFFFFF"/>
        </w:rPr>
        <w:t>was to examine</w:t>
      </w:r>
      <w:r w:rsidR="009B5EDF">
        <w:rPr>
          <w:rFonts w:ascii="Times New Roman" w:eastAsia="Times New Roman" w:hAnsi="Times New Roman" w:cs="Times New Roman"/>
          <w:sz w:val="24"/>
          <w:szCs w:val="24"/>
        </w:rPr>
        <w:t xml:space="preserve"> the connection between corporate governance, corruption, and Africa's Sustainable Development Goals (SDGs)</w:t>
      </w:r>
      <w:r w:rsidRPr="00C43AF5">
        <w:rPr>
          <w:rFonts w:ascii="Times New Roman" w:eastAsia="Times New Roman" w:hAnsi="Times New Roman" w:cs="Times New Roman"/>
          <w:sz w:val="24"/>
          <w:szCs w:val="24"/>
        </w:rPr>
        <w:t xml:space="preserve">. Using panel data from 42 African countries from 2017 to 2020 and ordinary least square regression, the study hypotheses are assessed. Other estimate techniques, such </w:t>
      </w:r>
      <w:r w:rsidR="00216422">
        <w:rPr>
          <w:rFonts w:ascii="Times New Roman" w:eastAsia="Times New Roman" w:hAnsi="Times New Roman" w:cs="Times New Roman"/>
          <w:sz w:val="24"/>
          <w:szCs w:val="24"/>
        </w:rPr>
        <w:t xml:space="preserve">as </w:t>
      </w:r>
      <w:r w:rsidRPr="00C43AF5">
        <w:rPr>
          <w:rFonts w:ascii="Times New Roman" w:eastAsia="Times New Roman" w:hAnsi="Times New Roman" w:cs="Times New Roman"/>
          <w:sz w:val="24"/>
          <w:szCs w:val="24"/>
        </w:rPr>
        <w:t>the expanded method of moment and fixed effect and random effect regressions, are also available. Their research indicates that whereas corruption has a detrimental effect on sustainable development (SD), corporate governance has a significant and positive impact. Furthermore, in countries where corruption is more prevalent, corporate governance has a stronger positive effect on</w:t>
      </w:r>
      <w:r w:rsidR="00D80979" w:rsidRPr="00C43AF5">
        <w:rPr>
          <w:rFonts w:ascii="Times New Roman" w:eastAsia="Times New Roman" w:hAnsi="Times New Roman" w:cs="Times New Roman"/>
          <w:sz w:val="24"/>
          <w:szCs w:val="24"/>
        </w:rPr>
        <w:t>sustainable development</w:t>
      </w:r>
      <w:r w:rsidR="00D80979">
        <w:rPr>
          <w:rFonts w:ascii="Times New Roman" w:eastAsia="Times New Roman" w:hAnsi="Times New Roman" w:cs="Times New Roman"/>
          <w:sz w:val="24"/>
          <w:szCs w:val="24"/>
        </w:rPr>
        <w:t xml:space="preserve"> (</w:t>
      </w:r>
      <w:r w:rsidRPr="00C43AF5">
        <w:rPr>
          <w:rFonts w:ascii="Times New Roman" w:eastAsia="Times New Roman" w:hAnsi="Times New Roman" w:cs="Times New Roman"/>
          <w:sz w:val="24"/>
          <w:szCs w:val="24"/>
        </w:rPr>
        <w:t>SD</w:t>
      </w:r>
      <w:r w:rsidR="00D80979">
        <w:rPr>
          <w:rFonts w:ascii="Times New Roman" w:eastAsia="Times New Roman" w:hAnsi="Times New Roman" w:cs="Times New Roman"/>
          <w:sz w:val="24"/>
          <w:szCs w:val="24"/>
        </w:rPr>
        <w:t>)</w:t>
      </w:r>
      <w:r w:rsidRPr="00C43AF5">
        <w:rPr>
          <w:rFonts w:ascii="Times New Roman" w:eastAsia="Times New Roman" w:hAnsi="Times New Roman" w:cs="Times New Roman"/>
          <w:sz w:val="24"/>
          <w:szCs w:val="24"/>
        </w:rPr>
        <w:t>.</w:t>
      </w:r>
    </w:p>
    <w:p w:rsidR="005B50D9" w:rsidRDefault="007F0C90" w:rsidP="005B50D9">
      <w:pPr>
        <w:spacing w:after="0" w:line="240" w:lineRule="auto"/>
        <w:ind w:firstLine="720"/>
        <w:jc w:val="both"/>
        <w:rPr>
          <w:rFonts w:ascii="Times New Roman" w:eastAsia="Times New Roman" w:hAnsi="Times New Roman" w:cs="Times New Roman"/>
          <w:sz w:val="24"/>
          <w:szCs w:val="24"/>
        </w:rPr>
      </w:pPr>
      <w:r w:rsidRPr="00C43AF5">
        <w:rPr>
          <w:rFonts w:ascii="Times New Roman" w:eastAsia="Times New Roman" w:hAnsi="Times New Roman" w:cs="Times New Roman"/>
          <w:sz w:val="24"/>
          <w:szCs w:val="24"/>
        </w:rPr>
        <w:t>Dewi (2023)</w:t>
      </w:r>
      <w:r w:rsidR="004B4775">
        <w:t xml:space="preserve">Integrating corporate governance practices into new financing projects and executive pay structures, the objective was to </w:t>
      </w:r>
      <w:r w:rsidR="004B4775">
        <w:rPr>
          <w:rFonts w:ascii="Times New Roman" w:eastAsia="Times New Roman" w:hAnsi="Times New Roman" w:cs="Times New Roman"/>
          <w:sz w:val="24"/>
          <w:szCs w:val="24"/>
        </w:rPr>
        <w:t>investigate</w:t>
      </w:r>
      <w:r w:rsidRPr="00C43AF5">
        <w:rPr>
          <w:rFonts w:ascii="Times New Roman" w:eastAsia="Times New Roman" w:hAnsi="Times New Roman" w:cs="Times New Roman"/>
          <w:sz w:val="24"/>
          <w:szCs w:val="24"/>
        </w:rPr>
        <w:t xml:space="preserve"> the incorporation of corporate governance standards into novel financing initiatives and executive compensation schemes, emphasizing </w:t>
      </w:r>
      <w:r w:rsidRPr="00C43AF5">
        <w:rPr>
          <w:rFonts w:ascii="Times New Roman" w:eastAsia="Times New Roman" w:hAnsi="Times New Roman" w:cs="Times New Roman"/>
          <w:sz w:val="24"/>
          <w:szCs w:val="24"/>
        </w:rPr>
        <w:lastRenderedPageBreak/>
        <w:t>their influence on stakeholder trust, organizational performance, and transparency. Regression modeling, statistical analysis, and survey instruments were used in a quantitative descriptive research approach to investigate how governance practices are integrated across different organizations. The research found that strong corporate governance frameworks have a major impact on financing decisions made by businesses as well as executive compensation plans. Moreover, good governance practices improve risk management, accountability, and transparency, which reduces financing costs and boosts investor confidence while also improving project outcomes.</w:t>
      </w:r>
    </w:p>
    <w:p w:rsidR="00657243" w:rsidRPr="00C43AF5" w:rsidRDefault="00021C9C" w:rsidP="005B50D9">
      <w:pPr>
        <w:spacing w:after="0" w:line="240" w:lineRule="auto"/>
        <w:ind w:firstLine="720"/>
        <w:jc w:val="both"/>
        <w:rPr>
          <w:rFonts w:ascii="Times New Roman" w:eastAsia="Times New Roman" w:hAnsi="Times New Roman" w:cs="Times New Roman"/>
          <w:sz w:val="24"/>
          <w:szCs w:val="24"/>
        </w:rPr>
      </w:pPr>
      <w:r w:rsidRPr="00C43AF5">
        <w:rPr>
          <w:rFonts w:ascii="Times New Roman" w:eastAsia="Times New Roman" w:hAnsi="Times New Roman" w:cs="Times New Roman"/>
          <w:sz w:val="24"/>
          <w:szCs w:val="24"/>
        </w:rPr>
        <w:t xml:space="preserve">The impact of the qualities of the board of directors on the quality of integrated reporting in Malaysia is examined by </w:t>
      </w:r>
      <w:commentRangeStart w:id="21"/>
      <w:r w:rsidRPr="00C43AF5">
        <w:rPr>
          <w:rFonts w:ascii="Times New Roman" w:eastAsia="Times New Roman" w:hAnsi="Times New Roman" w:cs="Times New Roman"/>
          <w:sz w:val="24"/>
          <w:szCs w:val="24"/>
        </w:rPr>
        <w:t>Fayad et al. (2022</w:t>
      </w:r>
      <w:commentRangeEnd w:id="21"/>
      <w:r w:rsidR="00D675B3">
        <w:rPr>
          <w:rStyle w:val="CommentReference"/>
        </w:rPr>
        <w:commentReference w:id="21"/>
      </w:r>
      <w:r w:rsidRPr="00C43AF5">
        <w:rPr>
          <w:rFonts w:ascii="Times New Roman" w:eastAsia="Times New Roman" w:hAnsi="Times New Roman" w:cs="Times New Roman"/>
          <w:sz w:val="24"/>
          <w:szCs w:val="24"/>
        </w:rPr>
        <w:t xml:space="preserve">). Independence and gender diversity on the boards of 64 firms between 2017 and 2020 are taken into consideration, for a total of 173 integrated reports. The results show a positive correlation between IRQ and the gender diversity of the board. </w:t>
      </w:r>
      <w:r w:rsidRPr="00C43AF5">
        <w:rPr>
          <w:rFonts w:ascii="Times New Roman" w:eastAsia="Times New Roman" w:hAnsi="Times New Roman" w:cs="Times New Roman"/>
          <w:sz w:val="24"/>
          <w:szCs w:val="24"/>
        </w:rPr>
        <w:br/>
        <w:t>In their 2022 study, Zouari and Dhifi investigate how ownership structure affects the amount of financial and non-financial information disclosed in 431 European companies that fall under the common or civil law during the period between 2012 and 2019. The findings of the regressions support the connections between integrated repo</w:t>
      </w:r>
      <w:r w:rsidR="00657243" w:rsidRPr="00C43AF5">
        <w:rPr>
          <w:rFonts w:ascii="Times New Roman" w:eastAsia="Times New Roman" w:hAnsi="Times New Roman" w:cs="Times New Roman"/>
          <w:sz w:val="24"/>
          <w:szCs w:val="24"/>
        </w:rPr>
        <w:t>rting and managerial ownership.</w:t>
      </w:r>
    </w:p>
    <w:p w:rsidR="00975273" w:rsidRPr="00C43AF5" w:rsidRDefault="00657243" w:rsidP="00657243">
      <w:pPr>
        <w:spacing w:after="0" w:line="240" w:lineRule="auto"/>
        <w:ind w:firstLine="720"/>
        <w:jc w:val="both"/>
        <w:rPr>
          <w:rFonts w:ascii="Times New Roman" w:eastAsia="Times New Roman" w:hAnsi="Times New Roman" w:cs="Times New Roman"/>
          <w:sz w:val="24"/>
          <w:szCs w:val="24"/>
        </w:rPr>
      </w:pPr>
      <w:r w:rsidRPr="00C43AF5">
        <w:rPr>
          <w:rFonts w:ascii="Times New Roman" w:eastAsia="Times New Roman" w:hAnsi="Times New Roman" w:cs="Times New Roman"/>
          <w:sz w:val="24"/>
          <w:szCs w:val="24"/>
        </w:rPr>
        <w:t>Despite the corpus of research now available on the impact of business behaviors</w:t>
      </w:r>
      <w:r w:rsidR="00975273" w:rsidRPr="00C43AF5">
        <w:rPr>
          <w:rFonts w:ascii="Times New Roman" w:eastAsia="Times New Roman" w:hAnsi="Times New Roman" w:cs="Times New Roman"/>
          <w:sz w:val="24"/>
          <w:szCs w:val="24"/>
        </w:rPr>
        <w:t xml:space="preserve">, there are noteworthy gaps that demand future investigation. For instance, the past studies conducted on the financial performance of DMB in Nigeria (Song, 2024; Lawal &amp; Yahaya, 2024; Dewi, 2023; Qaderi et al., 2022) </w:t>
      </w:r>
      <w:r w:rsidR="00975273" w:rsidRPr="00C43AF5">
        <w:rPr>
          <w:rFonts w:ascii="Times New Roman" w:hAnsi="Times New Roman" w:cs="Times New Roman"/>
          <w:sz w:val="24"/>
          <w:szCs w:val="24"/>
        </w:rPr>
        <w:t xml:space="preserve">among others have not used the combined variables used in the present study to </w:t>
      </w:r>
      <w:r w:rsidR="00975273" w:rsidRPr="00C43AF5">
        <w:rPr>
          <w:rFonts w:ascii="Times New Roman" w:eastAsia="Times New Roman" w:hAnsi="Times New Roman" w:cs="Times New Roman"/>
          <w:sz w:val="24"/>
          <w:szCs w:val="24"/>
        </w:rPr>
        <w:t xml:space="preserve">determine the effectiveness of </w:t>
      </w:r>
      <w:r w:rsidR="00975273" w:rsidRPr="00C43AF5">
        <w:rPr>
          <w:rFonts w:ascii="Times New Roman" w:hAnsi="Times New Roman" w:cs="Times New Roman"/>
          <w:sz w:val="24"/>
          <w:szCs w:val="24"/>
        </w:rPr>
        <w:t xml:space="preserve">corporate governance determinants of International Financial Reporting Standard (IFRS) 10 consolidation accounting practices on Nigerian firms. The study also considered a gap in the theoretical review as many studies were hinged on stakeholders theory, agency theory, and shareholders theory neglecting the prominent theories like </w:t>
      </w:r>
      <w:r w:rsidR="00975273" w:rsidRPr="00C43AF5">
        <w:rPr>
          <w:rFonts w:ascii="Times New Roman" w:eastAsia="Times New Roman" w:hAnsi="Times New Roman" w:cs="Times New Roman"/>
          <w:bCs/>
          <w:sz w:val="24"/>
          <w:szCs w:val="24"/>
        </w:rPr>
        <w:t>resource dependence theory and</w:t>
      </w:r>
      <w:r w:rsidR="00975273" w:rsidRPr="00C43AF5">
        <w:rPr>
          <w:rFonts w:ascii="Times New Roman" w:hAnsi="Times New Roman" w:cs="Times New Roman"/>
          <w:sz w:val="24"/>
          <w:szCs w:val="24"/>
        </w:rPr>
        <w:t xml:space="preserve"> transaction cost economics which this study considered deemed fit for the study.</w:t>
      </w:r>
    </w:p>
    <w:p w:rsidR="00975273" w:rsidRPr="00C43AF5" w:rsidRDefault="001D7AF8" w:rsidP="00975273">
      <w:pPr>
        <w:spacing w:after="0" w:line="276" w:lineRule="auto"/>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3.0 </w:t>
      </w:r>
      <w:r w:rsidR="00975273" w:rsidRPr="00C43AF5">
        <w:rPr>
          <w:rFonts w:ascii="Times New Roman" w:hAnsi="Times New Roman" w:cs="Times New Roman"/>
          <w:b/>
          <w:sz w:val="24"/>
          <w:szCs w:val="24"/>
        </w:rPr>
        <w:t>METHODOLOGY</w:t>
      </w:r>
    </w:p>
    <w:p w:rsidR="00975273" w:rsidRPr="00C43AF5" w:rsidRDefault="00975273" w:rsidP="00975273">
      <w:pPr>
        <w:spacing w:after="0" w:line="276" w:lineRule="auto"/>
        <w:jc w:val="both"/>
        <w:rPr>
          <w:rFonts w:ascii="Times New Roman" w:eastAsia="TimesNewRoman" w:hAnsi="Times New Roman" w:cs="Times New Roman"/>
          <w:iCs/>
          <w:sz w:val="24"/>
          <w:szCs w:val="24"/>
        </w:rPr>
      </w:pPr>
      <w:r w:rsidRPr="00C43AF5">
        <w:rPr>
          <w:rFonts w:ascii="Times New Roman" w:hAnsi="Times New Roman" w:cs="Times New Roman"/>
          <w:sz w:val="24"/>
          <w:szCs w:val="24"/>
        </w:rPr>
        <w:t xml:space="preserve">The study employed a quantitative approach and employed secondary data sourced from the annual reports of the ten (20) selected firms in Nigeria between 2014 and 2023. The research’s model for the study is stated in regression </w:t>
      </w:r>
      <w:r w:rsidRPr="00C43AF5">
        <w:rPr>
          <w:rFonts w:ascii="Times New Roman" w:eastAsia="TimesNewRoman" w:hAnsi="Times New Roman" w:cs="Times New Roman"/>
          <w:iCs/>
          <w:sz w:val="24"/>
          <w:szCs w:val="24"/>
        </w:rPr>
        <w:t>forms below:</w:t>
      </w:r>
    </w:p>
    <w:p w:rsidR="00975273" w:rsidRPr="00C43AF5" w:rsidRDefault="00975273" w:rsidP="00975273">
      <w:pPr>
        <w:spacing w:after="0" w:line="276" w:lineRule="auto"/>
        <w:jc w:val="both"/>
        <w:rPr>
          <w:rFonts w:ascii="Times New Roman" w:hAnsi="Times New Roman" w:cs="Times New Roman"/>
          <w:i/>
          <w:sz w:val="24"/>
          <w:szCs w:val="24"/>
        </w:rPr>
      </w:pPr>
      <w:r w:rsidRPr="00C43AF5">
        <w:rPr>
          <w:rFonts w:ascii="Times New Roman" w:hAnsi="Times New Roman" w:cs="Times New Roman"/>
          <w:i/>
          <w:sz w:val="24"/>
          <w:szCs w:val="24"/>
        </w:rPr>
        <w:t>FP = β + β</w:t>
      </w:r>
      <w:r w:rsidRPr="00C43AF5">
        <w:rPr>
          <w:rFonts w:ascii="Times New Roman" w:hAnsi="Times New Roman" w:cs="Times New Roman"/>
          <w:i/>
          <w:sz w:val="24"/>
          <w:szCs w:val="24"/>
          <w:vertAlign w:val="subscript"/>
        </w:rPr>
        <w:t xml:space="preserve">1 </w:t>
      </w:r>
      <w:r w:rsidRPr="00C43AF5">
        <w:rPr>
          <w:rFonts w:ascii="Times New Roman" w:hAnsi="Times New Roman" w:cs="Times New Roman"/>
          <w:i/>
          <w:sz w:val="24"/>
          <w:szCs w:val="24"/>
        </w:rPr>
        <w:t>BCOM+ β</w:t>
      </w:r>
      <w:r w:rsidRPr="00C43AF5">
        <w:rPr>
          <w:rFonts w:ascii="Times New Roman" w:hAnsi="Times New Roman" w:cs="Times New Roman"/>
          <w:i/>
          <w:sz w:val="24"/>
          <w:szCs w:val="24"/>
          <w:vertAlign w:val="subscript"/>
        </w:rPr>
        <w:t xml:space="preserve">2 </w:t>
      </w:r>
      <w:r w:rsidRPr="00C43AF5">
        <w:rPr>
          <w:rFonts w:ascii="Times New Roman" w:hAnsi="Times New Roman" w:cs="Times New Roman"/>
          <w:i/>
          <w:sz w:val="24"/>
          <w:szCs w:val="24"/>
        </w:rPr>
        <w:t>BIND+ β</w:t>
      </w:r>
      <w:r w:rsidRPr="00C43AF5">
        <w:rPr>
          <w:rFonts w:ascii="Times New Roman" w:hAnsi="Times New Roman" w:cs="Times New Roman"/>
          <w:i/>
          <w:sz w:val="24"/>
          <w:szCs w:val="24"/>
          <w:vertAlign w:val="subscript"/>
        </w:rPr>
        <w:t>3</w:t>
      </w:r>
      <w:r w:rsidRPr="00C43AF5">
        <w:rPr>
          <w:rFonts w:ascii="Times New Roman" w:hAnsi="Times New Roman" w:cs="Times New Roman"/>
          <w:i/>
          <w:sz w:val="24"/>
          <w:szCs w:val="24"/>
        </w:rPr>
        <w:t>BRFW+ β</w:t>
      </w:r>
      <w:r w:rsidRPr="00C43AF5">
        <w:rPr>
          <w:rFonts w:ascii="Times New Roman" w:hAnsi="Times New Roman" w:cs="Times New Roman"/>
          <w:i/>
          <w:sz w:val="24"/>
          <w:szCs w:val="24"/>
          <w:vertAlign w:val="subscript"/>
        </w:rPr>
        <w:t>4</w:t>
      </w:r>
      <w:r w:rsidRPr="00C43AF5">
        <w:rPr>
          <w:rFonts w:ascii="Times New Roman" w:hAnsi="Times New Roman" w:cs="Times New Roman"/>
          <w:i/>
          <w:sz w:val="24"/>
          <w:szCs w:val="24"/>
        </w:rPr>
        <w:t>ELES+ µ</w:t>
      </w:r>
      <w:r w:rsidRPr="00C43AF5">
        <w:rPr>
          <w:rFonts w:ascii="Times New Roman" w:hAnsi="Times New Roman" w:cs="Times New Roman"/>
          <w:i/>
          <w:sz w:val="24"/>
          <w:szCs w:val="24"/>
          <w:vertAlign w:val="subscript"/>
        </w:rPr>
        <w:t>i</w:t>
      </w:r>
      <w:r w:rsidRPr="00C43AF5">
        <w:rPr>
          <w:rFonts w:ascii="Times New Roman" w:hAnsi="Times New Roman" w:cs="Times New Roman"/>
          <w:i/>
          <w:sz w:val="24"/>
          <w:szCs w:val="24"/>
        </w:rPr>
        <w:t xml:space="preserve"> ………………………………………….(i)</w:t>
      </w:r>
    </w:p>
    <w:p w:rsidR="00975273" w:rsidRPr="00C43AF5" w:rsidRDefault="00975273" w:rsidP="00975273">
      <w:pPr>
        <w:spacing w:after="0" w:line="276" w:lineRule="auto"/>
        <w:jc w:val="both"/>
        <w:rPr>
          <w:rFonts w:ascii="Times New Roman" w:eastAsia="Times New Roman" w:hAnsi="Times New Roman" w:cs="Times New Roman"/>
          <w:sz w:val="24"/>
          <w:szCs w:val="24"/>
        </w:rPr>
      </w:pPr>
      <w:r w:rsidRPr="00C43AF5">
        <w:rPr>
          <w:rFonts w:ascii="Times New Roman" w:eastAsia="Times New Roman" w:hAnsi="Times New Roman" w:cs="Times New Roman"/>
          <w:sz w:val="24"/>
          <w:szCs w:val="24"/>
        </w:rPr>
        <w:t>Where:</w:t>
      </w:r>
    </w:p>
    <w:p w:rsidR="00975273" w:rsidRPr="00C43AF5" w:rsidRDefault="00975273" w:rsidP="00975273">
      <w:pPr>
        <w:spacing w:after="0" w:line="276" w:lineRule="auto"/>
        <w:jc w:val="both"/>
        <w:rPr>
          <w:rFonts w:ascii="Times New Roman" w:eastAsia="Times New Roman" w:hAnsi="Times New Roman" w:cs="Times New Roman"/>
          <w:i/>
          <w:sz w:val="24"/>
          <w:szCs w:val="24"/>
        </w:rPr>
      </w:pPr>
      <w:r w:rsidRPr="00C43AF5">
        <w:rPr>
          <w:rFonts w:ascii="Times New Roman" w:eastAsia="Times New Roman" w:hAnsi="Times New Roman" w:cs="Times New Roman"/>
          <w:i/>
          <w:sz w:val="24"/>
          <w:szCs w:val="24"/>
        </w:rPr>
        <w:t>FP = Firm Performance</w:t>
      </w:r>
    </w:p>
    <w:p w:rsidR="00975273" w:rsidRPr="00C43AF5" w:rsidRDefault="00975273" w:rsidP="00975273">
      <w:pPr>
        <w:spacing w:after="0" w:line="276" w:lineRule="auto"/>
        <w:jc w:val="both"/>
        <w:rPr>
          <w:rFonts w:ascii="Times New Roman" w:eastAsia="Times New Roman" w:hAnsi="Times New Roman" w:cs="Times New Roman"/>
          <w:i/>
          <w:sz w:val="24"/>
          <w:szCs w:val="24"/>
        </w:rPr>
      </w:pPr>
      <w:r w:rsidRPr="00C43AF5">
        <w:rPr>
          <w:rFonts w:ascii="Times New Roman" w:eastAsia="Times New Roman" w:hAnsi="Times New Roman" w:cs="Times New Roman"/>
          <w:i/>
          <w:sz w:val="24"/>
          <w:szCs w:val="24"/>
        </w:rPr>
        <w:t>BCOM = Board Composition</w:t>
      </w:r>
    </w:p>
    <w:p w:rsidR="00975273" w:rsidRPr="00C43AF5" w:rsidRDefault="00975273" w:rsidP="00975273">
      <w:pPr>
        <w:spacing w:after="0" w:line="276" w:lineRule="auto"/>
        <w:jc w:val="both"/>
        <w:rPr>
          <w:rFonts w:ascii="Times New Roman" w:eastAsia="Times New Roman" w:hAnsi="Times New Roman" w:cs="Times New Roman"/>
          <w:i/>
          <w:sz w:val="24"/>
          <w:szCs w:val="24"/>
        </w:rPr>
      </w:pPr>
      <w:r w:rsidRPr="00C43AF5">
        <w:rPr>
          <w:rFonts w:ascii="Times New Roman" w:eastAsia="Times New Roman" w:hAnsi="Times New Roman" w:cs="Times New Roman"/>
          <w:i/>
          <w:sz w:val="24"/>
          <w:szCs w:val="24"/>
        </w:rPr>
        <w:t>BIND = Board Independent</w:t>
      </w:r>
    </w:p>
    <w:p w:rsidR="00975273" w:rsidRPr="00C43AF5" w:rsidRDefault="00975273" w:rsidP="00975273">
      <w:pPr>
        <w:spacing w:after="0" w:line="276" w:lineRule="auto"/>
        <w:jc w:val="both"/>
        <w:rPr>
          <w:rFonts w:ascii="Times New Roman" w:eastAsia="Times New Roman" w:hAnsi="Times New Roman" w:cs="Times New Roman"/>
          <w:i/>
          <w:sz w:val="24"/>
          <w:szCs w:val="24"/>
        </w:rPr>
      </w:pPr>
      <w:r w:rsidRPr="00C43AF5">
        <w:rPr>
          <w:rFonts w:ascii="Times New Roman" w:eastAsia="Times New Roman" w:hAnsi="Times New Roman" w:cs="Times New Roman"/>
          <w:i/>
          <w:sz w:val="24"/>
          <w:szCs w:val="24"/>
        </w:rPr>
        <w:t>BRFW = Board Regulatory Framework</w:t>
      </w:r>
    </w:p>
    <w:p w:rsidR="00975273" w:rsidRPr="00C43AF5" w:rsidRDefault="00975273" w:rsidP="00975273">
      <w:pPr>
        <w:spacing w:after="0" w:line="276" w:lineRule="auto"/>
        <w:jc w:val="both"/>
        <w:rPr>
          <w:rFonts w:ascii="Times New Roman" w:eastAsia="Times New Roman" w:hAnsi="Times New Roman" w:cs="Times New Roman"/>
          <w:i/>
          <w:sz w:val="24"/>
          <w:szCs w:val="24"/>
        </w:rPr>
      </w:pPr>
      <w:r w:rsidRPr="00C43AF5">
        <w:rPr>
          <w:rFonts w:ascii="Times New Roman" w:eastAsia="Times New Roman" w:hAnsi="Times New Roman" w:cs="Times New Roman"/>
          <w:i/>
          <w:sz w:val="24"/>
          <w:szCs w:val="24"/>
        </w:rPr>
        <w:t>ELES = Executive Leadership.</w:t>
      </w:r>
    </w:p>
    <w:p w:rsidR="00975273" w:rsidRPr="00C43AF5" w:rsidRDefault="00975273" w:rsidP="00975273">
      <w:pPr>
        <w:spacing w:after="0" w:line="276" w:lineRule="auto"/>
        <w:jc w:val="both"/>
        <w:rPr>
          <w:rFonts w:ascii="Times New Roman" w:eastAsia="Times New Roman" w:hAnsi="Times New Roman" w:cs="Times New Roman"/>
          <w:i/>
          <w:sz w:val="24"/>
          <w:szCs w:val="24"/>
        </w:rPr>
      </w:pPr>
      <w:r w:rsidRPr="00C43AF5">
        <w:rPr>
          <w:rFonts w:ascii="Times New Roman" w:hAnsi="Times New Roman" w:cs="Times New Roman"/>
          <w:i/>
          <w:sz w:val="24"/>
          <w:szCs w:val="24"/>
        </w:rPr>
        <w:t>µ</w:t>
      </w:r>
      <w:r w:rsidRPr="00C43AF5">
        <w:rPr>
          <w:rFonts w:ascii="Times New Roman" w:hAnsi="Times New Roman" w:cs="Times New Roman"/>
          <w:i/>
          <w:sz w:val="24"/>
          <w:szCs w:val="24"/>
          <w:vertAlign w:val="subscript"/>
        </w:rPr>
        <w:t>i</w:t>
      </w:r>
      <w:r w:rsidRPr="00C43AF5">
        <w:rPr>
          <w:rFonts w:ascii="Times New Roman" w:eastAsia="Times New Roman" w:hAnsi="Times New Roman" w:cs="Times New Roman"/>
          <w:i/>
          <w:sz w:val="24"/>
          <w:szCs w:val="24"/>
        </w:rPr>
        <w:t xml:space="preserve"> = </w:t>
      </w:r>
      <w:r w:rsidRPr="00C43AF5">
        <w:rPr>
          <w:rFonts w:ascii="Times New Roman" w:hAnsi="Times New Roman" w:cs="Times New Roman"/>
          <w:i/>
          <w:sz w:val="24"/>
          <w:szCs w:val="24"/>
        </w:rPr>
        <w:t>Error term</w:t>
      </w:r>
    </w:p>
    <w:p w:rsidR="00975273" w:rsidRPr="00C43AF5" w:rsidRDefault="00975273" w:rsidP="00975273">
      <w:pPr>
        <w:spacing w:after="0" w:line="276" w:lineRule="auto"/>
        <w:jc w:val="both"/>
        <w:rPr>
          <w:rFonts w:ascii="Times New Roman" w:hAnsi="Times New Roman" w:cs="Times New Roman"/>
          <w:sz w:val="24"/>
          <w:szCs w:val="24"/>
        </w:rPr>
      </w:pPr>
      <w:r w:rsidRPr="00C43AF5">
        <w:rPr>
          <w:rFonts w:ascii="Times New Roman" w:hAnsi="Times New Roman" w:cs="Times New Roman"/>
          <w:sz w:val="24"/>
          <w:szCs w:val="24"/>
        </w:rPr>
        <w:t>The independent variable is corporate governance determinants of International Financial Reporting Standard (IFRS) 10 consolidation accounting practices measured by board composition, independent, regulatory framework, and executive leadership. While the dependent variable is firm and proxy by firm performance and firm size. The research utilized statistical tools like descriptive statistics and a panel regression model of random effect for data analysis.</w:t>
      </w:r>
    </w:p>
    <w:p w:rsidR="00975273" w:rsidRPr="00C43AF5" w:rsidRDefault="00657FBA" w:rsidP="00975273">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4.0 RESULT</w:t>
      </w:r>
      <w:r w:rsidR="00975273" w:rsidRPr="00C43AF5">
        <w:rPr>
          <w:rFonts w:ascii="Times New Roman" w:hAnsi="Times New Roman" w:cs="Times New Roman"/>
          <w:b/>
          <w:sz w:val="24"/>
          <w:szCs w:val="24"/>
        </w:rPr>
        <w:t xml:space="preserve"> AND DISCUSSION</w:t>
      </w:r>
    </w:p>
    <w:p w:rsidR="00975273" w:rsidRPr="00C43AF5" w:rsidRDefault="00975273" w:rsidP="00975273">
      <w:pPr>
        <w:spacing w:after="0" w:line="276" w:lineRule="auto"/>
        <w:ind w:firstLine="720"/>
        <w:jc w:val="both"/>
        <w:rPr>
          <w:rFonts w:ascii="Times New Roman" w:hAnsi="Times New Roman" w:cs="Times New Roman"/>
          <w:sz w:val="24"/>
          <w:szCs w:val="24"/>
        </w:rPr>
      </w:pPr>
      <w:r w:rsidRPr="00C43AF5">
        <w:rPr>
          <w:rFonts w:ascii="Times New Roman" w:eastAsia="Times New Roman" w:hAnsi="Times New Roman" w:cs="Times New Roman"/>
          <w:sz w:val="24"/>
          <w:szCs w:val="24"/>
        </w:rPr>
        <w:t xml:space="preserve">In improving the accuracy and dependability of financial statements under IFRS 10, the existence of independent audit committees bolsters governance by supervising the consolidation process and financial reporting in general. The R Square 0.466 means that </w:t>
      </w:r>
      <w:r w:rsidRPr="00C43AF5">
        <w:rPr>
          <w:rFonts w:ascii="Times New Roman" w:hAnsi="Times New Roman" w:cs="Times New Roman"/>
          <w:sz w:val="24"/>
          <w:szCs w:val="24"/>
        </w:rPr>
        <w:t xml:space="preserve">board independence is foundational to effective corporate governance, embodying the principles of accountability, transparency, and ethical stewardship within organizations. Meanwhile, Adjusted R Square 0.448 indicates that </w:t>
      </w:r>
      <w:r w:rsidRPr="00C43AF5">
        <w:rPr>
          <w:rFonts w:ascii="Times New Roman" w:eastAsia="Times New Roman" w:hAnsi="Times New Roman" w:cs="Times New Roman"/>
          <w:sz w:val="24"/>
          <w:szCs w:val="24"/>
        </w:rPr>
        <w:t>IFRS 10 Consolidation Accounting in companies is greatly influenced by corporate governance determinants and variables affecting how well businesses apply IFRS 10 including board independence, composition, and corporate culture as revealed in Table 1 below.</w:t>
      </w:r>
    </w:p>
    <w:tbl>
      <w:tblPr>
        <w:tblW w:w="93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71"/>
        <w:gridCol w:w="1637"/>
        <w:gridCol w:w="1736"/>
        <w:gridCol w:w="2348"/>
        <w:gridCol w:w="2350"/>
      </w:tblGrid>
      <w:tr w:rsidR="00975273" w:rsidRPr="00C43AF5" w:rsidTr="00837960">
        <w:trPr>
          <w:cantSplit/>
          <w:trHeight w:val="282"/>
        </w:trPr>
        <w:tc>
          <w:tcPr>
            <w:tcW w:w="9342" w:type="dxa"/>
            <w:gridSpan w:val="5"/>
            <w:tcBorders>
              <w:top w:val="nil"/>
              <w:left w:val="nil"/>
              <w:bottom w:val="single" w:sz="4" w:space="0" w:color="auto"/>
              <w:right w:val="nil"/>
            </w:tcBorders>
            <w:shd w:val="clear" w:color="auto" w:fill="FFFFFF"/>
            <w:vAlign w:val="center"/>
          </w:tcPr>
          <w:p w:rsidR="00975273" w:rsidRPr="00C43AF5" w:rsidRDefault="00975273" w:rsidP="00837960">
            <w:pPr>
              <w:autoSpaceDE w:val="0"/>
              <w:autoSpaceDN w:val="0"/>
              <w:adjustRightInd w:val="0"/>
              <w:spacing w:after="0" w:line="320" w:lineRule="atLeast"/>
              <w:ind w:left="60" w:right="60"/>
              <w:rPr>
                <w:rFonts w:ascii="Times New Roman" w:hAnsi="Times New Roman" w:cs="Times New Roman"/>
                <w:sz w:val="24"/>
                <w:szCs w:val="24"/>
              </w:rPr>
            </w:pPr>
            <w:r w:rsidRPr="00C43AF5">
              <w:rPr>
                <w:rFonts w:ascii="Times New Roman" w:hAnsi="Times New Roman" w:cs="Times New Roman"/>
                <w:b/>
                <w:sz w:val="24"/>
                <w:szCs w:val="24"/>
              </w:rPr>
              <w:t xml:space="preserve">Table 1: </w:t>
            </w:r>
            <w:r w:rsidRPr="00C43AF5">
              <w:rPr>
                <w:rFonts w:ascii="Times New Roman" w:hAnsi="Times New Roman" w:cs="Times New Roman"/>
                <w:b/>
                <w:bCs/>
                <w:sz w:val="24"/>
                <w:szCs w:val="24"/>
              </w:rPr>
              <w:t>Model Summary</w:t>
            </w:r>
          </w:p>
        </w:tc>
      </w:tr>
      <w:tr w:rsidR="00975273" w:rsidRPr="00C43AF5" w:rsidTr="00837960">
        <w:trPr>
          <w:cantSplit/>
          <w:trHeight w:val="332"/>
        </w:trPr>
        <w:tc>
          <w:tcPr>
            <w:tcW w:w="1271" w:type="dxa"/>
            <w:tcBorders>
              <w:top w:val="single" w:sz="4" w:space="0" w:color="auto"/>
              <w:left w:val="nil"/>
              <w:bottom w:val="single" w:sz="4" w:space="0" w:color="auto"/>
              <w:right w:val="nil"/>
            </w:tcBorders>
            <w:shd w:val="clear" w:color="auto" w:fill="FFFFFF"/>
            <w:vAlign w:val="bottom"/>
          </w:tcPr>
          <w:p w:rsidR="00975273" w:rsidRPr="00C43AF5" w:rsidRDefault="00975273" w:rsidP="00837960">
            <w:pPr>
              <w:autoSpaceDE w:val="0"/>
              <w:autoSpaceDN w:val="0"/>
              <w:adjustRightInd w:val="0"/>
              <w:spacing w:after="0" w:line="320" w:lineRule="atLeast"/>
              <w:ind w:left="60" w:right="60"/>
              <w:rPr>
                <w:rFonts w:ascii="Times New Roman" w:hAnsi="Times New Roman" w:cs="Times New Roman"/>
                <w:sz w:val="24"/>
                <w:szCs w:val="24"/>
              </w:rPr>
            </w:pPr>
            <w:r w:rsidRPr="00C43AF5">
              <w:rPr>
                <w:rFonts w:ascii="Times New Roman" w:hAnsi="Times New Roman" w:cs="Times New Roman"/>
                <w:sz w:val="24"/>
                <w:szCs w:val="24"/>
              </w:rPr>
              <w:t>Model</w:t>
            </w:r>
          </w:p>
        </w:tc>
        <w:tc>
          <w:tcPr>
            <w:tcW w:w="1637" w:type="dxa"/>
            <w:tcBorders>
              <w:top w:val="single" w:sz="4" w:space="0" w:color="auto"/>
              <w:left w:val="nil"/>
              <w:bottom w:val="single" w:sz="4" w:space="0" w:color="auto"/>
              <w:right w:val="nil"/>
            </w:tcBorders>
            <w:shd w:val="clear" w:color="auto" w:fill="FFFFFF"/>
            <w:vAlign w:val="bottom"/>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R</w:t>
            </w:r>
          </w:p>
        </w:tc>
        <w:tc>
          <w:tcPr>
            <w:tcW w:w="1736" w:type="dxa"/>
            <w:tcBorders>
              <w:top w:val="single" w:sz="4" w:space="0" w:color="auto"/>
              <w:left w:val="nil"/>
              <w:bottom w:val="single" w:sz="4" w:space="0" w:color="auto"/>
              <w:right w:val="nil"/>
            </w:tcBorders>
            <w:shd w:val="clear" w:color="auto" w:fill="FFFFFF"/>
            <w:vAlign w:val="bottom"/>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R Square</w:t>
            </w:r>
          </w:p>
        </w:tc>
        <w:tc>
          <w:tcPr>
            <w:tcW w:w="2348" w:type="dxa"/>
            <w:tcBorders>
              <w:top w:val="single" w:sz="4" w:space="0" w:color="auto"/>
              <w:left w:val="nil"/>
              <w:bottom w:val="single" w:sz="4" w:space="0" w:color="auto"/>
              <w:right w:val="nil"/>
            </w:tcBorders>
            <w:shd w:val="clear" w:color="auto" w:fill="FFFFFF"/>
            <w:vAlign w:val="bottom"/>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Adjusted R Square</w:t>
            </w:r>
          </w:p>
        </w:tc>
        <w:tc>
          <w:tcPr>
            <w:tcW w:w="2350" w:type="dxa"/>
            <w:tcBorders>
              <w:top w:val="single" w:sz="4" w:space="0" w:color="auto"/>
              <w:left w:val="nil"/>
              <w:bottom w:val="single" w:sz="4" w:space="0" w:color="auto"/>
              <w:right w:val="nil"/>
            </w:tcBorders>
            <w:shd w:val="clear" w:color="auto" w:fill="FFFFFF"/>
            <w:vAlign w:val="bottom"/>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Std. Error of the Estimate</w:t>
            </w:r>
          </w:p>
        </w:tc>
      </w:tr>
      <w:tr w:rsidR="00975273" w:rsidRPr="00C43AF5" w:rsidTr="00837960">
        <w:trPr>
          <w:cantSplit/>
          <w:trHeight w:val="296"/>
        </w:trPr>
        <w:tc>
          <w:tcPr>
            <w:tcW w:w="1271" w:type="dxa"/>
            <w:tcBorders>
              <w:top w:val="single" w:sz="4" w:space="0" w:color="auto"/>
              <w:left w:val="nil"/>
              <w:bottom w:val="single" w:sz="4" w:space="0" w:color="auto"/>
              <w:right w:val="nil"/>
            </w:tcBorders>
            <w:shd w:val="clear" w:color="auto" w:fill="auto"/>
          </w:tcPr>
          <w:p w:rsidR="00975273" w:rsidRPr="00C43AF5" w:rsidRDefault="00975273" w:rsidP="00837960">
            <w:pPr>
              <w:autoSpaceDE w:val="0"/>
              <w:autoSpaceDN w:val="0"/>
              <w:adjustRightInd w:val="0"/>
              <w:spacing w:after="0" w:line="320" w:lineRule="atLeast"/>
              <w:ind w:left="60" w:right="60"/>
              <w:rPr>
                <w:rFonts w:ascii="Times New Roman" w:hAnsi="Times New Roman" w:cs="Times New Roman"/>
                <w:sz w:val="24"/>
                <w:szCs w:val="24"/>
              </w:rPr>
            </w:pPr>
            <w:r w:rsidRPr="00C43AF5">
              <w:rPr>
                <w:rFonts w:ascii="Times New Roman" w:hAnsi="Times New Roman" w:cs="Times New Roman"/>
                <w:sz w:val="24"/>
                <w:szCs w:val="24"/>
              </w:rPr>
              <w:t>1</w:t>
            </w:r>
          </w:p>
        </w:tc>
        <w:tc>
          <w:tcPr>
            <w:tcW w:w="1637" w:type="dxa"/>
            <w:tcBorders>
              <w:top w:val="single" w:sz="4" w:space="0" w:color="auto"/>
              <w:left w:val="nil"/>
              <w:bottom w:val="single" w:sz="4" w:space="0" w:color="auto"/>
              <w:right w:val="nil"/>
            </w:tcBorders>
            <w:shd w:val="clear" w:color="auto" w:fill="auto"/>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.683</w:t>
            </w:r>
            <w:r w:rsidRPr="00C43AF5">
              <w:rPr>
                <w:rFonts w:ascii="Times New Roman" w:hAnsi="Times New Roman" w:cs="Times New Roman"/>
                <w:sz w:val="24"/>
                <w:szCs w:val="24"/>
                <w:vertAlign w:val="superscript"/>
              </w:rPr>
              <w:t>a</w:t>
            </w:r>
          </w:p>
        </w:tc>
        <w:tc>
          <w:tcPr>
            <w:tcW w:w="1736" w:type="dxa"/>
            <w:tcBorders>
              <w:top w:val="single" w:sz="4" w:space="0" w:color="auto"/>
              <w:left w:val="nil"/>
              <w:bottom w:val="single" w:sz="4" w:space="0" w:color="auto"/>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.466</w:t>
            </w:r>
          </w:p>
        </w:tc>
        <w:tc>
          <w:tcPr>
            <w:tcW w:w="2348" w:type="dxa"/>
            <w:tcBorders>
              <w:top w:val="single" w:sz="4" w:space="0" w:color="auto"/>
              <w:left w:val="nil"/>
              <w:bottom w:val="single" w:sz="4" w:space="0" w:color="auto"/>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.448</w:t>
            </w:r>
          </w:p>
        </w:tc>
        <w:tc>
          <w:tcPr>
            <w:tcW w:w="2350" w:type="dxa"/>
            <w:tcBorders>
              <w:top w:val="single" w:sz="4" w:space="0" w:color="auto"/>
              <w:left w:val="nil"/>
              <w:bottom w:val="single" w:sz="4" w:space="0" w:color="auto"/>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.219</w:t>
            </w:r>
          </w:p>
        </w:tc>
      </w:tr>
      <w:tr w:rsidR="00975273" w:rsidRPr="00C43AF5" w:rsidTr="00837960">
        <w:trPr>
          <w:cantSplit/>
          <w:trHeight w:val="107"/>
        </w:trPr>
        <w:tc>
          <w:tcPr>
            <w:tcW w:w="9342" w:type="dxa"/>
            <w:gridSpan w:val="5"/>
            <w:tcBorders>
              <w:top w:val="single" w:sz="4" w:space="0" w:color="auto"/>
              <w:left w:val="nil"/>
              <w:bottom w:val="nil"/>
              <w:right w:val="nil"/>
            </w:tcBorders>
            <w:shd w:val="clear" w:color="auto" w:fill="FFFFFF"/>
          </w:tcPr>
          <w:p w:rsidR="00975273" w:rsidRPr="00C43AF5" w:rsidRDefault="00975273" w:rsidP="00837960">
            <w:pPr>
              <w:autoSpaceDE w:val="0"/>
              <w:autoSpaceDN w:val="0"/>
              <w:adjustRightInd w:val="0"/>
              <w:spacing w:after="0" w:line="240" w:lineRule="auto"/>
              <w:ind w:left="60" w:right="60"/>
              <w:rPr>
                <w:rFonts w:ascii="Times New Roman" w:hAnsi="Times New Roman" w:cs="Times New Roman"/>
                <w:sz w:val="24"/>
                <w:szCs w:val="24"/>
              </w:rPr>
            </w:pPr>
            <w:r w:rsidRPr="00C43AF5">
              <w:rPr>
                <w:rFonts w:ascii="Times New Roman" w:hAnsi="Times New Roman" w:cs="Times New Roman"/>
                <w:sz w:val="24"/>
                <w:szCs w:val="24"/>
              </w:rPr>
              <w:t>a. Predictors: (Constant), ELES, BCOM, BRFW, BIND</w:t>
            </w:r>
          </w:p>
        </w:tc>
      </w:tr>
      <w:tr w:rsidR="00975273" w:rsidRPr="00C43AF5" w:rsidTr="00837960">
        <w:trPr>
          <w:cantSplit/>
          <w:trHeight w:val="80"/>
        </w:trPr>
        <w:tc>
          <w:tcPr>
            <w:tcW w:w="9342" w:type="dxa"/>
            <w:gridSpan w:val="5"/>
            <w:tcBorders>
              <w:top w:val="nil"/>
              <w:left w:val="nil"/>
              <w:bottom w:val="nil"/>
              <w:right w:val="nil"/>
            </w:tcBorders>
            <w:shd w:val="clear" w:color="auto" w:fill="FFFFFF"/>
          </w:tcPr>
          <w:p w:rsidR="00975273" w:rsidRPr="00C43AF5" w:rsidRDefault="00975273" w:rsidP="00837960">
            <w:pPr>
              <w:autoSpaceDE w:val="0"/>
              <w:autoSpaceDN w:val="0"/>
              <w:adjustRightInd w:val="0"/>
              <w:spacing w:after="0" w:line="240" w:lineRule="auto"/>
              <w:ind w:left="60" w:right="60"/>
              <w:rPr>
                <w:rFonts w:ascii="Times New Roman" w:hAnsi="Times New Roman" w:cs="Times New Roman"/>
                <w:sz w:val="24"/>
                <w:szCs w:val="24"/>
              </w:rPr>
            </w:pPr>
            <w:r w:rsidRPr="00C43AF5">
              <w:rPr>
                <w:rFonts w:ascii="Times New Roman" w:hAnsi="Times New Roman" w:cs="Times New Roman"/>
                <w:sz w:val="24"/>
                <w:szCs w:val="24"/>
              </w:rPr>
              <w:t>b. Dependent Variable: FP</w:t>
            </w:r>
          </w:p>
        </w:tc>
      </w:tr>
    </w:tbl>
    <w:p w:rsidR="00975273" w:rsidRPr="00C43AF5" w:rsidRDefault="00975273" w:rsidP="00975273">
      <w:pPr>
        <w:autoSpaceDE w:val="0"/>
        <w:autoSpaceDN w:val="0"/>
        <w:adjustRightInd w:val="0"/>
        <w:spacing w:after="0" w:line="240" w:lineRule="auto"/>
        <w:rPr>
          <w:rFonts w:ascii="Times New Roman" w:hAnsi="Times New Roman" w:cs="Times New Roman"/>
          <w:b/>
          <w:sz w:val="24"/>
          <w:szCs w:val="24"/>
        </w:rPr>
      </w:pPr>
      <w:r w:rsidRPr="00C43AF5">
        <w:rPr>
          <w:rFonts w:ascii="Times New Roman" w:hAnsi="Times New Roman" w:cs="Times New Roman"/>
          <w:b/>
          <w:sz w:val="24"/>
          <w:szCs w:val="24"/>
        </w:rPr>
        <w:t>Source: Authors’ Computation (2024)</w:t>
      </w:r>
    </w:p>
    <w:tbl>
      <w:tblPr>
        <w:tblW w:w="91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43"/>
        <w:gridCol w:w="1478"/>
        <w:gridCol w:w="1690"/>
        <w:gridCol w:w="1179"/>
        <w:gridCol w:w="1620"/>
        <w:gridCol w:w="1179"/>
        <w:gridCol w:w="1182"/>
      </w:tblGrid>
      <w:tr w:rsidR="00975273" w:rsidRPr="00C43AF5" w:rsidTr="00837960">
        <w:trPr>
          <w:cantSplit/>
          <w:trHeight w:val="333"/>
        </w:trPr>
        <w:tc>
          <w:tcPr>
            <w:tcW w:w="9171" w:type="dxa"/>
            <w:gridSpan w:val="7"/>
            <w:tcBorders>
              <w:top w:val="nil"/>
              <w:left w:val="nil"/>
              <w:bottom w:val="single" w:sz="4" w:space="0" w:color="auto"/>
              <w:right w:val="nil"/>
            </w:tcBorders>
            <w:shd w:val="clear" w:color="auto" w:fill="FFFFFF"/>
            <w:vAlign w:val="center"/>
          </w:tcPr>
          <w:p w:rsidR="00975273" w:rsidRPr="00C43AF5" w:rsidRDefault="00975273" w:rsidP="00837960">
            <w:pPr>
              <w:spacing w:after="0" w:line="276" w:lineRule="auto"/>
              <w:ind w:firstLine="720"/>
              <w:jc w:val="both"/>
              <w:rPr>
                <w:rFonts w:ascii="Times New Roman" w:hAnsi="Times New Roman" w:cs="Times New Roman"/>
                <w:sz w:val="24"/>
                <w:szCs w:val="24"/>
              </w:rPr>
            </w:pPr>
            <w:r w:rsidRPr="00C43AF5">
              <w:rPr>
                <w:rFonts w:ascii="Times New Roman" w:eastAsia="Times New Roman" w:hAnsi="Times New Roman" w:cs="Times New Roman"/>
                <w:sz w:val="24"/>
                <w:szCs w:val="24"/>
              </w:rPr>
              <w:t xml:space="preserve">The regression analysis was performed on the effectiveness of </w:t>
            </w:r>
            <w:r w:rsidRPr="00C43AF5">
              <w:rPr>
                <w:rFonts w:ascii="Times New Roman" w:hAnsi="Times New Roman" w:cs="Times New Roman"/>
                <w:sz w:val="24"/>
                <w:szCs w:val="24"/>
              </w:rPr>
              <w:t xml:space="preserve">corporate governance determinants of International Financial Reporting Standard (IFRS) 10 consolidation accounting practices on Nigerian firms to establish a </w:t>
            </w:r>
            <w:r w:rsidRPr="00C43AF5">
              <w:rPr>
                <w:rFonts w:ascii="Times New Roman" w:eastAsia="Times New Roman" w:hAnsi="Times New Roman" w:cs="Times New Roman"/>
                <w:sz w:val="24"/>
                <w:szCs w:val="24"/>
              </w:rPr>
              <w:t xml:space="preserve">relationship between </w:t>
            </w:r>
            <w:r w:rsidR="002D1EA8" w:rsidRPr="00C43AF5">
              <w:rPr>
                <w:rFonts w:ascii="Times New Roman" w:hAnsi="Times New Roman" w:cs="Times New Roman"/>
                <w:sz w:val="24"/>
                <w:szCs w:val="24"/>
              </w:rPr>
              <w:t xml:space="preserve">corporate governance determinants of International Financial Reporting Standard (IFRS) 10 consolidation accounting practices </w:t>
            </w:r>
            <w:r w:rsidRPr="00C43AF5">
              <w:rPr>
                <w:rFonts w:ascii="Times New Roman" w:eastAsia="Times New Roman" w:hAnsi="Times New Roman" w:cs="Times New Roman"/>
                <w:sz w:val="24"/>
                <w:szCs w:val="24"/>
              </w:rPr>
              <w:t>and</w:t>
            </w:r>
            <w:r w:rsidR="002D1EA8" w:rsidRPr="00C43AF5">
              <w:rPr>
                <w:rFonts w:ascii="Times New Roman" w:hAnsi="Times New Roman" w:cs="Times New Roman"/>
                <w:sz w:val="24"/>
                <w:szCs w:val="24"/>
              </w:rPr>
              <w:t>firm performance</w:t>
            </w:r>
            <w:r w:rsidRPr="00C43AF5">
              <w:rPr>
                <w:rFonts w:ascii="Times New Roman" w:eastAsia="Times New Roman" w:hAnsi="Times New Roman" w:cs="Times New Roman"/>
                <w:sz w:val="24"/>
                <w:szCs w:val="24"/>
              </w:rPr>
              <w:t xml:space="preserve">. The result of the findings revealed that the effectiveness of </w:t>
            </w:r>
            <w:r w:rsidRPr="00C43AF5">
              <w:rPr>
                <w:rFonts w:ascii="Times New Roman" w:hAnsi="Times New Roman" w:cs="Times New Roman"/>
                <w:sz w:val="24"/>
                <w:szCs w:val="24"/>
              </w:rPr>
              <w:t xml:space="preserve">corporate governance determinants of International Financial Reporting Standard (IFRS) 10 consolidation accounting practices demonstrated a statistical significance with a P-value of 0.00 &lt; 0.05 level of significance. The implication is that </w:t>
            </w:r>
            <w:r w:rsidRPr="00C43AF5">
              <w:rPr>
                <w:rFonts w:ascii="Times New Roman" w:eastAsia="Times New Roman" w:hAnsi="Times New Roman" w:cs="Times New Roman"/>
                <w:sz w:val="24"/>
                <w:szCs w:val="24"/>
              </w:rPr>
              <w:t>effective corporate governance is essential by developing board independence, improving internal controls and risk management systems, guaranteeing auditor independence, and embracing moral leadership and corporate culture, organizations can improve their adherence to the standard and the caliber and dependability of their consolidated financial statements due to successfully implementation IFRS 10 Consolidation Accounting, see table 2 below.</w:t>
            </w:r>
          </w:p>
          <w:p w:rsidR="00975273" w:rsidRPr="00C43AF5" w:rsidRDefault="00975273" w:rsidP="00837960">
            <w:pPr>
              <w:autoSpaceDE w:val="0"/>
              <w:autoSpaceDN w:val="0"/>
              <w:adjustRightInd w:val="0"/>
              <w:spacing w:after="0" w:line="320" w:lineRule="atLeast"/>
              <w:ind w:left="60" w:right="60"/>
              <w:jc w:val="both"/>
              <w:rPr>
                <w:rFonts w:ascii="Times New Roman" w:hAnsi="Times New Roman" w:cs="Times New Roman"/>
                <w:sz w:val="24"/>
                <w:szCs w:val="24"/>
              </w:rPr>
            </w:pPr>
            <w:r w:rsidRPr="00C43AF5">
              <w:rPr>
                <w:rFonts w:ascii="Times New Roman" w:eastAsia="Times New Roman" w:hAnsi="Times New Roman" w:cs="Times New Roman"/>
                <w:b/>
                <w:sz w:val="24"/>
                <w:szCs w:val="24"/>
              </w:rPr>
              <w:t>Table 2:</w:t>
            </w:r>
            <w:r w:rsidRPr="00C43AF5">
              <w:rPr>
                <w:rFonts w:ascii="Times New Roman" w:hAnsi="Times New Roman" w:cs="Times New Roman"/>
                <w:b/>
                <w:bCs/>
                <w:sz w:val="24"/>
                <w:szCs w:val="24"/>
              </w:rPr>
              <w:t>ANOVA</w:t>
            </w:r>
          </w:p>
        </w:tc>
      </w:tr>
      <w:tr w:rsidR="00975273" w:rsidRPr="00C43AF5" w:rsidTr="00837960">
        <w:trPr>
          <w:cantSplit/>
          <w:trHeight w:val="349"/>
        </w:trPr>
        <w:tc>
          <w:tcPr>
            <w:tcW w:w="2321" w:type="dxa"/>
            <w:gridSpan w:val="2"/>
            <w:tcBorders>
              <w:top w:val="single" w:sz="4" w:space="0" w:color="auto"/>
              <w:left w:val="nil"/>
              <w:bottom w:val="single" w:sz="4" w:space="0" w:color="auto"/>
              <w:right w:val="nil"/>
            </w:tcBorders>
            <w:shd w:val="clear" w:color="auto" w:fill="FFFFFF"/>
            <w:vAlign w:val="bottom"/>
          </w:tcPr>
          <w:p w:rsidR="00975273" w:rsidRPr="00C43AF5" w:rsidRDefault="00975273" w:rsidP="00837960">
            <w:pPr>
              <w:autoSpaceDE w:val="0"/>
              <w:autoSpaceDN w:val="0"/>
              <w:adjustRightInd w:val="0"/>
              <w:spacing w:after="0" w:line="320" w:lineRule="atLeast"/>
              <w:ind w:left="60" w:right="60"/>
              <w:rPr>
                <w:rFonts w:ascii="Times New Roman" w:hAnsi="Times New Roman" w:cs="Times New Roman"/>
                <w:sz w:val="24"/>
                <w:szCs w:val="24"/>
              </w:rPr>
            </w:pPr>
            <w:r w:rsidRPr="00C43AF5">
              <w:rPr>
                <w:rFonts w:ascii="Times New Roman" w:hAnsi="Times New Roman" w:cs="Times New Roman"/>
                <w:sz w:val="24"/>
                <w:szCs w:val="24"/>
              </w:rPr>
              <w:t>Model</w:t>
            </w:r>
          </w:p>
        </w:tc>
        <w:tc>
          <w:tcPr>
            <w:tcW w:w="1690" w:type="dxa"/>
            <w:tcBorders>
              <w:top w:val="single" w:sz="4" w:space="0" w:color="auto"/>
              <w:left w:val="nil"/>
              <w:bottom w:val="single" w:sz="4" w:space="0" w:color="auto"/>
              <w:right w:val="nil"/>
            </w:tcBorders>
            <w:shd w:val="clear" w:color="auto" w:fill="FFFFFF"/>
            <w:vAlign w:val="bottom"/>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Sum of Squares</w:t>
            </w:r>
          </w:p>
        </w:tc>
        <w:tc>
          <w:tcPr>
            <w:tcW w:w="1179" w:type="dxa"/>
            <w:tcBorders>
              <w:top w:val="single" w:sz="4" w:space="0" w:color="auto"/>
              <w:left w:val="nil"/>
              <w:bottom w:val="single" w:sz="4" w:space="0" w:color="auto"/>
              <w:right w:val="nil"/>
            </w:tcBorders>
            <w:shd w:val="clear" w:color="auto" w:fill="FFFFFF"/>
            <w:vAlign w:val="bottom"/>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Df</w:t>
            </w:r>
          </w:p>
        </w:tc>
        <w:tc>
          <w:tcPr>
            <w:tcW w:w="1620" w:type="dxa"/>
            <w:tcBorders>
              <w:top w:val="single" w:sz="4" w:space="0" w:color="auto"/>
              <w:left w:val="nil"/>
              <w:bottom w:val="single" w:sz="4" w:space="0" w:color="auto"/>
              <w:right w:val="nil"/>
            </w:tcBorders>
            <w:shd w:val="clear" w:color="auto" w:fill="FFFFFF"/>
            <w:vAlign w:val="bottom"/>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Mean Square</w:t>
            </w:r>
          </w:p>
        </w:tc>
        <w:tc>
          <w:tcPr>
            <w:tcW w:w="1179" w:type="dxa"/>
            <w:tcBorders>
              <w:top w:val="single" w:sz="4" w:space="0" w:color="auto"/>
              <w:left w:val="nil"/>
              <w:bottom w:val="single" w:sz="4" w:space="0" w:color="auto"/>
              <w:right w:val="nil"/>
            </w:tcBorders>
            <w:shd w:val="clear" w:color="auto" w:fill="FFFFFF"/>
            <w:vAlign w:val="bottom"/>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F</w:t>
            </w:r>
          </w:p>
        </w:tc>
        <w:tc>
          <w:tcPr>
            <w:tcW w:w="1182" w:type="dxa"/>
            <w:tcBorders>
              <w:top w:val="single" w:sz="4" w:space="0" w:color="auto"/>
              <w:left w:val="nil"/>
              <w:bottom w:val="single" w:sz="4" w:space="0" w:color="auto"/>
              <w:right w:val="nil"/>
            </w:tcBorders>
            <w:shd w:val="clear" w:color="auto" w:fill="FFFFFF"/>
            <w:vAlign w:val="bottom"/>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Sig.</w:t>
            </w:r>
          </w:p>
        </w:tc>
      </w:tr>
      <w:tr w:rsidR="00975273" w:rsidRPr="00C43AF5" w:rsidTr="00837960">
        <w:trPr>
          <w:cantSplit/>
          <w:trHeight w:val="333"/>
        </w:trPr>
        <w:tc>
          <w:tcPr>
            <w:tcW w:w="843" w:type="dxa"/>
            <w:vMerge w:val="restart"/>
            <w:tcBorders>
              <w:top w:val="single" w:sz="4" w:space="0" w:color="auto"/>
              <w:left w:val="nil"/>
              <w:bottom w:val="nil"/>
              <w:right w:val="nil"/>
            </w:tcBorders>
            <w:shd w:val="clear" w:color="auto" w:fill="auto"/>
          </w:tcPr>
          <w:p w:rsidR="00975273" w:rsidRPr="00C43AF5" w:rsidRDefault="00975273" w:rsidP="00837960">
            <w:pPr>
              <w:autoSpaceDE w:val="0"/>
              <w:autoSpaceDN w:val="0"/>
              <w:adjustRightInd w:val="0"/>
              <w:spacing w:after="0" w:line="320" w:lineRule="atLeast"/>
              <w:ind w:left="60" w:right="60"/>
              <w:rPr>
                <w:rFonts w:ascii="Times New Roman" w:hAnsi="Times New Roman" w:cs="Times New Roman"/>
                <w:sz w:val="24"/>
                <w:szCs w:val="24"/>
              </w:rPr>
            </w:pPr>
            <w:r w:rsidRPr="00C43AF5">
              <w:rPr>
                <w:rFonts w:ascii="Times New Roman" w:hAnsi="Times New Roman" w:cs="Times New Roman"/>
                <w:sz w:val="24"/>
                <w:szCs w:val="24"/>
              </w:rPr>
              <w:t>1</w:t>
            </w:r>
          </w:p>
        </w:tc>
        <w:tc>
          <w:tcPr>
            <w:tcW w:w="1478" w:type="dxa"/>
            <w:tcBorders>
              <w:top w:val="single" w:sz="4" w:space="0" w:color="auto"/>
              <w:left w:val="nil"/>
              <w:bottom w:val="nil"/>
              <w:right w:val="nil"/>
            </w:tcBorders>
            <w:shd w:val="clear" w:color="auto" w:fill="auto"/>
          </w:tcPr>
          <w:p w:rsidR="00975273" w:rsidRPr="00C43AF5" w:rsidRDefault="00975273" w:rsidP="00837960">
            <w:pPr>
              <w:autoSpaceDE w:val="0"/>
              <w:autoSpaceDN w:val="0"/>
              <w:adjustRightInd w:val="0"/>
              <w:spacing w:after="0" w:line="320" w:lineRule="atLeast"/>
              <w:ind w:left="60" w:right="60"/>
              <w:rPr>
                <w:rFonts w:ascii="Times New Roman" w:hAnsi="Times New Roman" w:cs="Times New Roman"/>
                <w:sz w:val="24"/>
                <w:szCs w:val="24"/>
              </w:rPr>
            </w:pPr>
            <w:r w:rsidRPr="00C43AF5">
              <w:rPr>
                <w:rFonts w:ascii="Times New Roman" w:hAnsi="Times New Roman" w:cs="Times New Roman"/>
                <w:sz w:val="24"/>
                <w:szCs w:val="24"/>
              </w:rPr>
              <w:t>Regression</w:t>
            </w:r>
          </w:p>
        </w:tc>
        <w:tc>
          <w:tcPr>
            <w:tcW w:w="1690" w:type="dxa"/>
            <w:tcBorders>
              <w:top w:val="single" w:sz="4" w:space="0" w:color="auto"/>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5.023</w:t>
            </w:r>
          </w:p>
        </w:tc>
        <w:tc>
          <w:tcPr>
            <w:tcW w:w="1179" w:type="dxa"/>
            <w:tcBorders>
              <w:top w:val="single" w:sz="4" w:space="0" w:color="auto"/>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4</w:t>
            </w:r>
          </w:p>
        </w:tc>
        <w:tc>
          <w:tcPr>
            <w:tcW w:w="1620" w:type="dxa"/>
            <w:tcBorders>
              <w:top w:val="single" w:sz="4" w:space="0" w:color="auto"/>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1.256</w:t>
            </w:r>
          </w:p>
        </w:tc>
        <w:tc>
          <w:tcPr>
            <w:tcW w:w="1179" w:type="dxa"/>
            <w:tcBorders>
              <w:top w:val="single" w:sz="4" w:space="0" w:color="auto"/>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26.167</w:t>
            </w:r>
          </w:p>
        </w:tc>
        <w:tc>
          <w:tcPr>
            <w:tcW w:w="1182" w:type="dxa"/>
            <w:tcBorders>
              <w:top w:val="single" w:sz="4" w:space="0" w:color="auto"/>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.000</w:t>
            </w:r>
            <w:r w:rsidRPr="00C43AF5">
              <w:rPr>
                <w:rFonts w:ascii="Times New Roman" w:hAnsi="Times New Roman" w:cs="Times New Roman"/>
                <w:sz w:val="24"/>
                <w:szCs w:val="24"/>
                <w:vertAlign w:val="superscript"/>
              </w:rPr>
              <w:t>b</w:t>
            </w:r>
          </w:p>
        </w:tc>
      </w:tr>
      <w:tr w:rsidR="00975273" w:rsidRPr="00C43AF5" w:rsidTr="00837960">
        <w:trPr>
          <w:cantSplit/>
          <w:trHeight w:val="365"/>
        </w:trPr>
        <w:tc>
          <w:tcPr>
            <w:tcW w:w="843" w:type="dxa"/>
            <w:vMerge/>
            <w:tcBorders>
              <w:top w:val="nil"/>
              <w:left w:val="nil"/>
              <w:bottom w:val="nil"/>
              <w:right w:val="nil"/>
            </w:tcBorders>
            <w:shd w:val="clear" w:color="auto" w:fill="auto"/>
          </w:tcPr>
          <w:p w:rsidR="00975273" w:rsidRPr="00C43AF5" w:rsidRDefault="00975273" w:rsidP="00837960">
            <w:pPr>
              <w:autoSpaceDE w:val="0"/>
              <w:autoSpaceDN w:val="0"/>
              <w:adjustRightInd w:val="0"/>
              <w:spacing w:after="0" w:line="240" w:lineRule="auto"/>
              <w:rPr>
                <w:rFonts w:ascii="Times New Roman" w:hAnsi="Times New Roman" w:cs="Times New Roman"/>
                <w:sz w:val="24"/>
                <w:szCs w:val="24"/>
              </w:rPr>
            </w:pPr>
          </w:p>
        </w:tc>
        <w:tc>
          <w:tcPr>
            <w:tcW w:w="1478" w:type="dxa"/>
            <w:tcBorders>
              <w:top w:val="nil"/>
              <w:left w:val="nil"/>
              <w:bottom w:val="nil"/>
              <w:right w:val="nil"/>
            </w:tcBorders>
            <w:shd w:val="clear" w:color="auto" w:fill="auto"/>
          </w:tcPr>
          <w:p w:rsidR="00975273" w:rsidRPr="00C43AF5" w:rsidRDefault="00975273" w:rsidP="00837960">
            <w:pPr>
              <w:autoSpaceDE w:val="0"/>
              <w:autoSpaceDN w:val="0"/>
              <w:adjustRightInd w:val="0"/>
              <w:spacing w:after="0" w:line="320" w:lineRule="atLeast"/>
              <w:ind w:left="60" w:right="60"/>
              <w:rPr>
                <w:rFonts w:ascii="Times New Roman" w:hAnsi="Times New Roman" w:cs="Times New Roman"/>
                <w:sz w:val="24"/>
                <w:szCs w:val="24"/>
              </w:rPr>
            </w:pPr>
            <w:r w:rsidRPr="00C43AF5">
              <w:rPr>
                <w:rFonts w:ascii="Times New Roman" w:hAnsi="Times New Roman" w:cs="Times New Roman"/>
                <w:sz w:val="24"/>
                <w:szCs w:val="24"/>
              </w:rPr>
              <w:t>Residual</w:t>
            </w:r>
          </w:p>
        </w:tc>
        <w:tc>
          <w:tcPr>
            <w:tcW w:w="1690" w:type="dxa"/>
            <w:tcBorders>
              <w:top w:val="nil"/>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5.759</w:t>
            </w:r>
          </w:p>
        </w:tc>
        <w:tc>
          <w:tcPr>
            <w:tcW w:w="1179" w:type="dxa"/>
            <w:tcBorders>
              <w:top w:val="nil"/>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216</w:t>
            </w:r>
          </w:p>
        </w:tc>
        <w:tc>
          <w:tcPr>
            <w:tcW w:w="1620" w:type="dxa"/>
            <w:tcBorders>
              <w:top w:val="nil"/>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.048</w:t>
            </w:r>
          </w:p>
        </w:tc>
        <w:tc>
          <w:tcPr>
            <w:tcW w:w="1179" w:type="dxa"/>
            <w:tcBorders>
              <w:top w:val="nil"/>
              <w:left w:val="nil"/>
              <w:bottom w:val="nil"/>
              <w:right w:val="nil"/>
            </w:tcBorders>
            <w:shd w:val="clear" w:color="auto" w:fill="FFFFFF"/>
            <w:vAlign w:val="center"/>
          </w:tcPr>
          <w:p w:rsidR="00975273" w:rsidRPr="00C43AF5" w:rsidRDefault="00975273" w:rsidP="00837960">
            <w:pPr>
              <w:autoSpaceDE w:val="0"/>
              <w:autoSpaceDN w:val="0"/>
              <w:adjustRightInd w:val="0"/>
              <w:spacing w:after="0" w:line="240" w:lineRule="auto"/>
              <w:jc w:val="center"/>
              <w:rPr>
                <w:rFonts w:ascii="Times New Roman" w:hAnsi="Times New Roman" w:cs="Times New Roman"/>
                <w:sz w:val="24"/>
                <w:szCs w:val="24"/>
              </w:rPr>
            </w:pPr>
          </w:p>
        </w:tc>
        <w:tc>
          <w:tcPr>
            <w:tcW w:w="1182" w:type="dxa"/>
            <w:tcBorders>
              <w:top w:val="nil"/>
              <w:left w:val="nil"/>
              <w:bottom w:val="nil"/>
              <w:right w:val="nil"/>
            </w:tcBorders>
            <w:shd w:val="clear" w:color="auto" w:fill="FFFFFF"/>
            <w:vAlign w:val="center"/>
          </w:tcPr>
          <w:p w:rsidR="00975273" w:rsidRPr="00C43AF5" w:rsidRDefault="00975273" w:rsidP="00837960">
            <w:pPr>
              <w:autoSpaceDE w:val="0"/>
              <w:autoSpaceDN w:val="0"/>
              <w:adjustRightInd w:val="0"/>
              <w:spacing w:after="0" w:line="240" w:lineRule="auto"/>
              <w:jc w:val="center"/>
              <w:rPr>
                <w:rFonts w:ascii="Times New Roman" w:hAnsi="Times New Roman" w:cs="Times New Roman"/>
                <w:sz w:val="24"/>
                <w:szCs w:val="24"/>
              </w:rPr>
            </w:pPr>
          </w:p>
        </w:tc>
      </w:tr>
      <w:tr w:rsidR="00975273" w:rsidRPr="00C43AF5" w:rsidTr="00837960">
        <w:trPr>
          <w:cantSplit/>
          <w:trHeight w:val="365"/>
        </w:trPr>
        <w:tc>
          <w:tcPr>
            <w:tcW w:w="843" w:type="dxa"/>
            <w:vMerge/>
            <w:tcBorders>
              <w:top w:val="nil"/>
              <w:left w:val="nil"/>
              <w:bottom w:val="single" w:sz="4" w:space="0" w:color="auto"/>
              <w:right w:val="nil"/>
            </w:tcBorders>
            <w:shd w:val="clear" w:color="auto" w:fill="auto"/>
          </w:tcPr>
          <w:p w:rsidR="00975273" w:rsidRPr="00C43AF5" w:rsidRDefault="00975273" w:rsidP="00837960">
            <w:pPr>
              <w:autoSpaceDE w:val="0"/>
              <w:autoSpaceDN w:val="0"/>
              <w:adjustRightInd w:val="0"/>
              <w:spacing w:after="0" w:line="240" w:lineRule="auto"/>
              <w:rPr>
                <w:rFonts w:ascii="Times New Roman" w:hAnsi="Times New Roman" w:cs="Times New Roman"/>
                <w:sz w:val="24"/>
                <w:szCs w:val="24"/>
              </w:rPr>
            </w:pPr>
          </w:p>
        </w:tc>
        <w:tc>
          <w:tcPr>
            <w:tcW w:w="1478" w:type="dxa"/>
            <w:tcBorders>
              <w:top w:val="nil"/>
              <w:left w:val="nil"/>
              <w:bottom w:val="single" w:sz="4" w:space="0" w:color="auto"/>
              <w:right w:val="nil"/>
            </w:tcBorders>
            <w:shd w:val="clear" w:color="auto" w:fill="auto"/>
          </w:tcPr>
          <w:p w:rsidR="00975273" w:rsidRPr="00C43AF5" w:rsidRDefault="00975273" w:rsidP="00837960">
            <w:pPr>
              <w:autoSpaceDE w:val="0"/>
              <w:autoSpaceDN w:val="0"/>
              <w:adjustRightInd w:val="0"/>
              <w:spacing w:after="0" w:line="320" w:lineRule="atLeast"/>
              <w:ind w:left="60" w:right="60"/>
              <w:rPr>
                <w:rFonts w:ascii="Times New Roman" w:hAnsi="Times New Roman" w:cs="Times New Roman"/>
                <w:sz w:val="24"/>
                <w:szCs w:val="24"/>
              </w:rPr>
            </w:pPr>
            <w:r w:rsidRPr="00C43AF5">
              <w:rPr>
                <w:rFonts w:ascii="Times New Roman" w:hAnsi="Times New Roman" w:cs="Times New Roman"/>
                <w:sz w:val="24"/>
                <w:szCs w:val="24"/>
              </w:rPr>
              <w:t>Total</w:t>
            </w:r>
          </w:p>
        </w:tc>
        <w:tc>
          <w:tcPr>
            <w:tcW w:w="1690" w:type="dxa"/>
            <w:tcBorders>
              <w:top w:val="nil"/>
              <w:left w:val="nil"/>
              <w:bottom w:val="single" w:sz="4" w:space="0" w:color="auto"/>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10.782</w:t>
            </w:r>
          </w:p>
        </w:tc>
        <w:tc>
          <w:tcPr>
            <w:tcW w:w="1179" w:type="dxa"/>
            <w:tcBorders>
              <w:top w:val="nil"/>
              <w:left w:val="nil"/>
              <w:bottom w:val="single" w:sz="4" w:space="0" w:color="auto"/>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220</w:t>
            </w:r>
          </w:p>
        </w:tc>
        <w:tc>
          <w:tcPr>
            <w:tcW w:w="1620" w:type="dxa"/>
            <w:tcBorders>
              <w:top w:val="nil"/>
              <w:left w:val="nil"/>
              <w:bottom w:val="single" w:sz="4" w:space="0" w:color="auto"/>
              <w:right w:val="nil"/>
            </w:tcBorders>
            <w:shd w:val="clear" w:color="auto" w:fill="FFFFFF"/>
            <w:vAlign w:val="center"/>
          </w:tcPr>
          <w:p w:rsidR="00975273" w:rsidRPr="00C43AF5" w:rsidRDefault="00975273" w:rsidP="00837960">
            <w:pPr>
              <w:autoSpaceDE w:val="0"/>
              <w:autoSpaceDN w:val="0"/>
              <w:adjustRightInd w:val="0"/>
              <w:spacing w:after="0" w:line="240" w:lineRule="auto"/>
              <w:jc w:val="center"/>
              <w:rPr>
                <w:rFonts w:ascii="Times New Roman" w:hAnsi="Times New Roman" w:cs="Times New Roman"/>
                <w:sz w:val="24"/>
                <w:szCs w:val="24"/>
              </w:rPr>
            </w:pPr>
          </w:p>
        </w:tc>
        <w:tc>
          <w:tcPr>
            <w:tcW w:w="1179" w:type="dxa"/>
            <w:tcBorders>
              <w:top w:val="nil"/>
              <w:left w:val="nil"/>
              <w:bottom w:val="single" w:sz="4" w:space="0" w:color="auto"/>
              <w:right w:val="nil"/>
            </w:tcBorders>
            <w:shd w:val="clear" w:color="auto" w:fill="FFFFFF"/>
            <w:vAlign w:val="center"/>
          </w:tcPr>
          <w:p w:rsidR="00975273" w:rsidRPr="00C43AF5" w:rsidRDefault="00975273" w:rsidP="00837960">
            <w:pPr>
              <w:autoSpaceDE w:val="0"/>
              <w:autoSpaceDN w:val="0"/>
              <w:adjustRightInd w:val="0"/>
              <w:spacing w:after="0" w:line="240" w:lineRule="auto"/>
              <w:jc w:val="center"/>
              <w:rPr>
                <w:rFonts w:ascii="Times New Roman" w:hAnsi="Times New Roman" w:cs="Times New Roman"/>
                <w:sz w:val="24"/>
                <w:szCs w:val="24"/>
              </w:rPr>
            </w:pPr>
          </w:p>
        </w:tc>
        <w:tc>
          <w:tcPr>
            <w:tcW w:w="1182" w:type="dxa"/>
            <w:tcBorders>
              <w:top w:val="nil"/>
              <w:left w:val="nil"/>
              <w:bottom w:val="single" w:sz="4" w:space="0" w:color="auto"/>
              <w:right w:val="nil"/>
            </w:tcBorders>
            <w:shd w:val="clear" w:color="auto" w:fill="FFFFFF"/>
            <w:vAlign w:val="center"/>
          </w:tcPr>
          <w:p w:rsidR="00975273" w:rsidRPr="00C43AF5" w:rsidRDefault="00975273" w:rsidP="00837960">
            <w:pPr>
              <w:autoSpaceDE w:val="0"/>
              <w:autoSpaceDN w:val="0"/>
              <w:adjustRightInd w:val="0"/>
              <w:spacing w:after="0" w:line="240" w:lineRule="auto"/>
              <w:jc w:val="center"/>
              <w:rPr>
                <w:rFonts w:ascii="Times New Roman" w:hAnsi="Times New Roman" w:cs="Times New Roman"/>
                <w:sz w:val="24"/>
                <w:szCs w:val="24"/>
              </w:rPr>
            </w:pPr>
          </w:p>
        </w:tc>
      </w:tr>
      <w:tr w:rsidR="00975273" w:rsidRPr="00C43AF5" w:rsidTr="00837960">
        <w:trPr>
          <w:cantSplit/>
          <w:trHeight w:val="170"/>
        </w:trPr>
        <w:tc>
          <w:tcPr>
            <w:tcW w:w="9171" w:type="dxa"/>
            <w:gridSpan w:val="7"/>
            <w:tcBorders>
              <w:top w:val="single" w:sz="4" w:space="0" w:color="auto"/>
              <w:left w:val="nil"/>
              <w:bottom w:val="nil"/>
              <w:right w:val="nil"/>
            </w:tcBorders>
            <w:shd w:val="clear" w:color="auto" w:fill="FFFFFF"/>
          </w:tcPr>
          <w:p w:rsidR="00975273" w:rsidRPr="00C43AF5" w:rsidRDefault="00975273" w:rsidP="00837960">
            <w:pPr>
              <w:autoSpaceDE w:val="0"/>
              <w:autoSpaceDN w:val="0"/>
              <w:adjustRightInd w:val="0"/>
              <w:spacing w:after="0" w:line="240" w:lineRule="auto"/>
              <w:ind w:left="60" w:right="60"/>
              <w:rPr>
                <w:rFonts w:ascii="Times New Roman" w:hAnsi="Times New Roman" w:cs="Times New Roman"/>
                <w:sz w:val="24"/>
                <w:szCs w:val="24"/>
              </w:rPr>
            </w:pPr>
            <w:r w:rsidRPr="00C43AF5">
              <w:rPr>
                <w:rFonts w:ascii="Times New Roman" w:hAnsi="Times New Roman" w:cs="Times New Roman"/>
                <w:sz w:val="24"/>
                <w:szCs w:val="24"/>
              </w:rPr>
              <w:t>a. Dependent Variable: FP</w:t>
            </w:r>
          </w:p>
        </w:tc>
      </w:tr>
      <w:tr w:rsidR="00975273" w:rsidRPr="00C43AF5" w:rsidTr="00837960">
        <w:trPr>
          <w:cantSplit/>
          <w:trHeight w:val="80"/>
        </w:trPr>
        <w:tc>
          <w:tcPr>
            <w:tcW w:w="9171" w:type="dxa"/>
            <w:gridSpan w:val="7"/>
            <w:tcBorders>
              <w:top w:val="nil"/>
              <w:left w:val="nil"/>
              <w:bottom w:val="nil"/>
              <w:right w:val="nil"/>
            </w:tcBorders>
            <w:shd w:val="clear" w:color="auto" w:fill="FFFFFF"/>
          </w:tcPr>
          <w:p w:rsidR="00975273" w:rsidRPr="00C43AF5" w:rsidRDefault="00975273" w:rsidP="00837960">
            <w:pPr>
              <w:autoSpaceDE w:val="0"/>
              <w:autoSpaceDN w:val="0"/>
              <w:adjustRightInd w:val="0"/>
              <w:spacing w:after="0" w:line="240" w:lineRule="auto"/>
              <w:ind w:left="60" w:right="60"/>
              <w:rPr>
                <w:rFonts w:ascii="Times New Roman" w:hAnsi="Times New Roman" w:cs="Times New Roman"/>
                <w:sz w:val="24"/>
                <w:szCs w:val="24"/>
              </w:rPr>
            </w:pPr>
            <w:r w:rsidRPr="00C43AF5">
              <w:rPr>
                <w:rFonts w:ascii="Times New Roman" w:hAnsi="Times New Roman" w:cs="Times New Roman"/>
                <w:sz w:val="24"/>
                <w:szCs w:val="24"/>
              </w:rPr>
              <w:t>b. Predictors: (Constant), ELES, BCOM, BRFW, BIND</w:t>
            </w:r>
          </w:p>
        </w:tc>
      </w:tr>
    </w:tbl>
    <w:p w:rsidR="00975273" w:rsidRPr="00C43AF5" w:rsidRDefault="00975273" w:rsidP="00975273">
      <w:pPr>
        <w:autoSpaceDE w:val="0"/>
        <w:autoSpaceDN w:val="0"/>
        <w:adjustRightInd w:val="0"/>
        <w:spacing w:after="0" w:line="240" w:lineRule="auto"/>
        <w:rPr>
          <w:rFonts w:ascii="Times New Roman" w:hAnsi="Times New Roman" w:cs="Times New Roman"/>
          <w:b/>
          <w:sz w:val="24"/>
          <w:szCs w:val="24"/>
        </w:rPr>
      </w:pPr>
      <w:r w:rsidRPr="00C43AF5">
        <w:rPr>
          <w:rFonts w:ascii="Times New Roman" w:hAnsi="Times New Roman" w:cs="Times New Roman"/>
          <w:b/>
          <w:sz w:val="24"/>
          <w:szCs w:val="24"/>
        </w:rPr>
        <w:t>Source: Authors’ Computation (2024)</w:t>
      </w:r>
    </w:p>
    <w:p w:rsidR="00975273" w:rsidRPr="00C43AF5" w:rsidRDefault="00975273" w:rsidP="00975273">
      <w:pPr>
        <w:autoSpaceDE w:val="0"/>
        <w:autoSpaceDN w:val="0"/>
        <w:adjustRightInd w:val="0"/>
        <w:spacing w:after="0" w:line="400" w:lineRule="atLeast"/>
        <w:rPr>
          <w:rFonts w:ascii="Times New Roman" w:hAnsi="Times New Roman" w:cs="Times New Roman"/>
          <w:sz w:val="24"/>
          <w:szCs w:val="24"/>
        </w:rPr>
      </w:pPr>
    </w:p>
    <w:p w:rsidR="00975273" w:rsidRPr="00C43AF5" w:rsidRDefault="00975273" w:rsidP="00975273">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43AF5">
        <w:rPr>
          <w:rFonts w:ascii="Times New Roman" w:hAnsi="Times New Roman" w:cs="Times New Roman"/>
          <w:sz w:val="24"/>
          <w:szCs w:val="24"/>
        </w:rPr>
        <w:t>In Table 3, the regression coefficient obtained in board composition (BCOM) 0.322 implies a cornerstone for effective corporate governance, influencing the strategic direction, oversight, and long-term sust</w:t>
      </w:r>
      <w:r w:rsidR="00623BCE" w:rsidRPr="00C43AF5">
        <w:rPr>
          <w:rFonts w:ascii="Times New Roman" w:hAnsi="Times New Roman" w:cs="Times New Roman"/>
          <w:sz w:val="24"/>
          <w:szCs w:val="24"/>
        </w:rPr>
        <w:t xml:space="preserve">ainability of organizations. Board Independent </w:t>
      </w:r>
      <w:r w:rsidRPr="00C43AF5">
        <w:rPr>
          <w:rFonts w:ascii="Times New Roman" w:hAnsi="Times New Roman" w:cs="Times New Roman"/>
          <w:sz w:val="24"/>
          <w:szCs w:val="24"/>
        </w:rPr>
        <w:t xml:space="preserve">(BIND) with 0.361 </w:t>
      </w:r>
      <w:r w:rsidR="00AB2E46" w:rsidRPr="00C43AF5">
        <w:rPr>
          <w:rFonts w:ascii="Times New Roman" w:hAnsi="Times New Roman" w:cs="Times New Roman"/>
          <w:sz w:val="24"/>
          <w:szCs w:val="24"/>
        </w:rPr>
        <w:lastRenderedPageBreak/>
        <w:t>denotes</w:t>
      </w:r>
      <w:r w:rsidRPr="00C43AF5">
        <w:rPr>
          <w:rFonts w:ascii="Times New Roman" w:hAnsi="Times New Roman" w:cs="Times New Roman"/>
          <w:sz w:val="24"/>
          <w:szCs w:val="24"/>
        </w:rPr>
        <w:t xml:space="preserve"> that </w:t>
      </w:r>
      <w:r w:rsidRPr="00C43AF5">
        <w:rPr>
          <w:rFonts w:ascii="Times New Roman" w:eastAsia="Times New Roman" w:hAnsi="Times New Roman" w:cs="Times New Roman"/>
          <w:sz w:val="24"/>
          <w:szCs w:val="24"/>
        </w:rPr>
        <w:t xml:space="preserve">independent </w:t>
      </w:r>
      <w:r w:rsidR="00AB2E46" w:rsidRPr="00C43AF5">
        <w:rPr>
          <w:rFonts w:ascii="Times New Roman" w:eastAsia="Times New Roman" w:hAnsi="Times New Roman" w:cs="Times New Roman"/>
          <w:sz w:val="24"/>
          <w:szCs w:val="24"/>
        </w:rPr>
        <w:t>members</w:t>
      </w:r>
      <w:r w:rsidRPr="00C43AF5">
        <w:rPr>
          <w:rFonts w:ascii="Times New Roman" w:eastAsia="Times New Roman" w:hAnsi="Times New Roman" w:cs="Times New Roman"/>
          <w:sz w:val="24"/>
          <w:szCs w:val="24"/>
        </w:rPr>
        <w:t xml:space="preserve"> are more likely to be able to manage the consolidation process objectively, guaranteeing that all subsidiaries and special purpose companies are merged or deconsolidated by the standards. In the same vain, the board regulatory framework (BRFW) 0.203 </w:t>
      </w:r>
      <w:r w:rsidR="00E05221" w:rsidRPr="00C43AF5">
        <w:rPr>
          <w:rFonts w:ascii="Times New Roman" w:eastAsia="Times New Roman" w:hAnsi="Times New Roman" w:cs="Times New Roman"/>
          <w:sz w:val="24"/>
          <w:szCs w:val="24"/>
        </w:rPr>
        <w:t>explains</w:t>
      </w:r>
      <w:r w:rsidRPr="00C43AF5">
        <w:rPr>
          <w:rFonts w:ascii="Times New Roman" w:eastAsia="Times New Roman" w:hAnsi="Times New Roman" w:cs="Times New Roman"/>
          <w:sz w:val="24"/>
          <w:szCs w:val="24"/>
        </w:rPr>
        <w:t xml:space="preserve"> that companies has ability to identify and evaluate potential risks associated with consolidation, such as related-party transactions or complex group structures, and make sure these are appropriately accounted for per the standard, is largely dependent on the effectiveness of its internal controls and risk management systems. The executive leadership (ELES) under IFRS 10, the independence of auditors and their functions are crucial while consolidating financial statements' fairness and accuracy are greatly enhanced by the presence of independent external auditors with 0.044. Investors and stakeholders are reassured about the transparency and dependability of the data provided in accordance with IFRS 10 by the unbiased assessment of the consolidation process and associated disclosures, which increases the legitimacy of financial reporting procedures.</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10"/>
        <w:gridCol w:w="1020"/>
        <w:gridCol w:w="720"/>
        <w:gridCol w:w="720"/>
        <w:gridCol w:w="1260"/>
        <w:gridCol w:w="720"/>
        <w:gridCol w:w="540"/>
        <w:gridCol w:w="630"/>
        <w:gridCol w:w="720"/>
        <w:gridCol w:w="630"/>
        <w:gridCol w:w="990"/>
        <w:gridCol w:w="810"/>
      </w:tblGrid>
      <w:tr w:rsidR="00975273" w:rsidRPr="00C43AF5" w:rsidTr="00837960">
        <w:trPr>
          <w:cantSplit/>
          <w:trHeight w:val="276"/>
        </w:trPr>
        <w:tc>
          <w:tcPr>
            <w:tcW w:w="9270" w:type="dxa"/>
            <w:gridSpan w:val="12"/>
            <w:tcBorders>
              <w:top w:val="nil"/>
              <w:left w:val="nil"/>
              <w:bottom w:val="single" w:sz="4" w:space="0" w:color="auto"/>
              <w:right w:val="nil"/>
            </w:tcBorders>
            <w:shd w:val="clear" w:color="auto" w:fill="FFFFFF"/>
            <w:vAlign w:val="center"/>
          </w:tcPr>
          <w:p w:rsidR="00975273" w:rsidRPr="00C43AF5" w:rsidRDefault="00975273" w:rsidP="00837960">
            <w:pPr>
              <w:autoSpaceDE w:val="0"/>
              <w:autoSpaceDN w:val="0"/>
              <w:adjustRightInd w:val="0"/>
              <w:spacing w:after="0" w:line="320" w:lineRule="atLeast"/>
              <w:ind w:right="60"/>
              <w:rPr>
                <w:rFonts w:ascii="Times New Roman" w:hAnsi="Times New Roman" w:cs="Times New Roman"/>
                <w:sz w:val="24"/>
                <w:szCs w:val="24"/>
              </w:rPr>
            </w:pPr>
            <w:r w:rsidRPr="00C43AF5">
              <w:rPr>
                <w:rFonts w:ascii="Times New Roman" w:hAnsi="Times New Roman" w:cs="Times New Roman"/>
                <w:b/>
                <w:sz w:val="24"/>
                <w:szCs w:val="24"/>
              </w:rPr>
              <w:t>Table 3:</w:t>
            </w:r>
            <w:r w:rsidRPr="00C43AF5">
              <w:rPr>
                <w:rFonts w:ascii="Times New Roman" w:hAnsi="Times New Roman" w:cs="Times New Roman"/>
                <w:b/>
                <w:bCs/>
                <w:sz w:val="24"/>
                <w:szCs w:val="24"/>
              </w:rPr>
              <w:t>Coefficients</w:t>
            </w:r>
          </w:p>
        </w:tc>
      </w:tr>
      <w:tr w:rsidR="00975273" w:rsidRPr="00C43AF5" w:rsidTr="00837960">
        <w:trPr>
          <w:cantSplit/>
          <w:trHeight w:val="566"/>
        </w:trPr>
        <w:tc>
          <w:tcPr>
            <w:tcW w:w="1530" w:type="dxa"/>
            <w:gridSpan w:val="2"/>
            <w:vMerge w:val="restart"/>
            <w:tcBorders>
              <w:top w:val="single" w:sz="4" w:space="0" w:color="auto"/>
              <w:left w:val="nil"/>
              <w:bottom w:val="nil"/>
              <w:right w:val="nil"/>
            </w:tcBorders>
            <w:shd w:val="clear" w:color="auto" w:fill="FFFFFF"/>
            <w:vAlign w:val="bottom"/>
          </w:tcPr>
          <w:p w:rsidR="00975273" w:rsidRPr="00C43AF5" w:rsidRDefault="00975273" w:rsidP="00837960">
            <w:pPr>
              <w:autoSpaceDE w:val="0"/>
              <w:autoSpaceDN w:val="0"/>
              <w:adjustRightInd w:val="0"/>
              <w:spacing w:after="0" w:line="320" w:lineRule="atLeast"/>
              <w:ind w:left="60" w:right="60"/>
              <w:rPr>
                <w:rFonts w:ascii="Times New Roman" w:hAnsi="Times New Roman" w:cs="Times New Roman"/>
                <w:sz w:val="24"/>
                <w:szCs w:val="24"/>
              </w:rPr>
            </w:pPr>
            <w:r w:rsidRPr="00C43AF5">
              <w:rPr>
                <w:rFonts w:ascii="Times New Roman" w:hAnsi="Times New Roman" w:cs="Times New Roman"/>
                <w:sz w:val="24"/>
                <w:szCs w:val="24"/>
              </w:rPr>
              <w:t>Model</w:t>
            </w:r>
          </w:p>
        </w:tc>
        <w:tc>
          <w:tcPr>
            <w:tcW w:w="1440" w:type="dxa"/>
            <w:gridSpan w:val="2"/>
            <w:tcBorders>
              <w:top w:val="single" w:sz="4" w:space="0" w:color="auto"/>
              <w:left w:val="nil"/>
              <w:bottom w:val="nil"/>
              <w:right w:val="nil"/>
            </w:tcBorders>
            <w:shd w:val="clear" w:color="auto" w:fill="FFFFFF"/>
            <w:vAlign w:val="bottom"/>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Unstandardized Coefficients</w:t>
            </w:r>
          </w:p>
        </w:tc>
        <w:tc>
          <w:tcPr>
            <w:tcW w:w="1260" w:type="dxa"/>
            <w:tcBorders>
              <w:top w:val="single" w:sz="4" w:space="0" w:color="auto"/>
              <w:left w:val="nil"/>
              <w:bottom w:val="nil"/>
              <w:right w:val="nil"/>
            </w:tcBorders>
            <w:shd w:val="clear" w:color="auto" w:fill="FFFFFF"/>
            <w:vAlign w:val="bottom"/>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Standardized Coefficients</w:t>
            </w:r>
          </w:p>
        </w:tc>
        <w:tc>
          <w:tcPr>
            <w:tcW w:w="720" w:type="dxa"/>
            <w:vMerge w:val="restart"/>
            <w:tcBorders>
              <w:top w:val="single" w:sz="4" w:space="0" w:color="auto"/>
              <w:left w:val="nil"/>
              <w:bottom w:val="nil"/>
              <w:right w:val="nil"/>
            </w:tcBorders>
            <w:shd w:val="clear" w:color="auto" w:fill="FFFFFF"/>
            <w:vAlign w:val="bottom"/>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T</w:t>
            </w:r>
          </w:p>
        </w:tc>
        <w:tc>
          <w:tcPr>
            <w:tcW w:w="540" w:type="dxa"/>
            <w:vMerge w:val="restart"/>
            <w:tcBorders>
              <w:top w:val="single" w:sz="4" w:space="0" w:color="auto"/>
              <w:left w:val="nil"/>
              <w:bottom w:val="nil"/>
              <w:right w:val="nil"/>
            </w:tcBorders>
            <w:shd w:val="clear" w:color="auto" w:fill="FFFFFF"/>
            <w:vAlign w:val="bottom"/>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Sig.</w:t>
            </w:r>
          </w:p>
        </w:tc>
        <w:tc>
          <w:tcPr>
            <w:tcW w:w="1980" w:type="dxa"/>
            <w:gridSpan w:val="3"/>
            <w:tcBorders>
              <w:top w:val="single" w:sz="4" w:space="0" w:color="auto"/>
              <w:left w:val="nil"/>
              <w:bottom w:val="nil"/>
              <w:right w:val="nil"/>
            </w:tcBorders>
            <w:shd w:val="clear" w:color="auto" w:fill="FFFFFF"/>
            <w:vAlign w:val="bottom"/>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Correlations</w:t>
            </w:r>
          </w:p>
        </w:tc>
        <w:tc>
          <w:tcPr>
            <w:tcW w:w="1800" w:type="dxa"/>
            <w:gridSpan w:val="2"/>
            <w:tcBorders>
              <w:top w:val="single" w:sz="4" w:space="0" w:color="auto"/>
              <w:left w:val="nil"/>
              <w:bottom w:val="nil"/>
              <w:right w:val="nil"/>
            </w:tcBorders>
            <w:shd w:val="clear" w:color="auto" w:fill="FFFFFF"/>
            <w:vAlign w:val="bottom"/>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Collinearity Statistics</w:t>
            </w:r>
          </w:p>
        </w:tc>
      </w:tr>
      <w:tr w:rsidR="00975273" w:rsidRPr="00C43AF5" w:rsidTr="00837960">
        <w:trPr>
          <w:cantSplit/>
          <w:trHeight w:val="276"/>
        </w:trPr>
        <w:tc>
          <w:tcPr>
            <w:tcW w:w="1530" w:type="dxa"/>
            <w:gridSpan w:val="2"/>
            <w:vMerge/>
            <w:tcBorders>
              <w:top w:val="nil"/>
              <w:left w:val="nil"/>
              <w:bottom w:val="single" w:sz="4" w:space="0" w:color="auto"/>
              <w:right w:val="nil"/>
            </w:tcBorders>
            <w:shd w:val="clear" w:color="auto" w:fill="FFFFFF"/>
            <w:vAlign w:val="bottom"/>
          </w:tcPr>
          <w:p w:rsidR="00975273" w:rsidRPr="00C43AF5" w:rsidRDefault="00975273" w:rsidP="00837960">
            <w:pPr>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4" w:space="0" w:color="auto"/>
              <w:right w:val="nil"/>
            </w:tcBorders>
            <w:shd w:val="clear" w:color="auto" w:fill="FFFFFF"/>
            <w:vAlign w:val="bottom"/>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B</w:t>
            </w:r>
          </w:p>
        </w:tc>
        <w:tc>
          <w:tcPr>
            <w:tcW w:w="720" w:type="dxa"/>
            <w:tcBorders>
              <w:top w:val="nil"/>
              <w:left w:val="nil"/>
              <w:bottom w:val="single" w:sz="4" w:space="0" w:color="auto"/>
              <w:right w:val="nil"/>
            </w:tcBorders>
            <w:shd w:val="clear" w:color="auto" w:fill="FFFFFF"/>
            <w:vAlign w:val="bottom"/>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Std. Error</w:t>
            </w:r>
          </w:p>
        </w:tc>
        <w:tc>
          <w:tcPr>
            <w:tcW w:w="1260" w:type="dxa"/>
            <w:tcBorders>
              <w:top w:val="nil"/>
              <w:left w:val="nil"/>
              <w:bottom w:val="single" w:sz="4" w:space="0" w:color="auto"/>
              <w:right w:val="nil"/>
            </w:tcBorders>
            <w:shd w:val="clear" w:color="auto" w:fill="FFFFFF"/>
            <w:vAlign w:val="bottom"/>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Beta</w:t>
            </w:r>
          </w:p>
        </w:tc>
        <w:tc>
          <w:tcPr>
            <w:tcW w:w="720" w:type="dxa"/>
            <w:vMerge/>
            <w:tcBorders>
              <w:top w:val="nil"/>
              <w:left w:val="nil"/>
              <w:bottom w:val="single" w:sz="4" w:space="0" w:color="auto"/>
              <w:right w:val="nil"/>
            </w:tcBorders>
            <w:shd w:val="clear" w:color="auto" w:fill="FFFFFF"/>
            <w:vAlign w:val="bottom"/>
          </w:tcPr>
          <w:p w:rsidR="00975273" w:rsidRPr="00C43AF5" w:rsidRDefault="00975273" w:rsidP="00837960">
            <w:pPr>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nil"/>
              <w:bottom w:val="single" w:sz="4" w:space="0" w:color="auto"/>
              <w:right w:val="nil"/>
            </w:tcBorders>
            <w:shd w:val="clear" w:color="auto" w:fill="FFFFFF"/>
            <w:vAlign w:val="bottom"/>
          </w:tcPr>
          <w:p w:rsidR="00975273" w:rsidRPr="00C43AF5" w:rsidRDefault="00975273" w:rsidP="00837960">
            <w:pPr>
              <w:autoSpaceDE w:val="0"/>
              <w:autoSpaceDN w:val="0"/>
              <w:adjustRightInd w:val="0"/>
              <w:spacing w:after="0" w:line="240" w:lineRule="auto"/>
              <w:rPr>
                <w:rFonts w:ascii="Times New Roman" w:hAnsi="Times New Roman" w:cs="Times New Roman"/>
                <w:sz w:val="24"/>
                <w:szCs w:val="24"/>
              </w:rPr>
            </w:pPr>
          </w:p>
        </w:tc>
        <w:tc>
          <w:tcPr>
            <w:tcW w:w="630" w:type="dxa"/>
            <w:tcBorders>
              <w:top w:val="nil"/>
              <w:left w:val="nil"/>
              <w:bottom w:val="single" w:sz="4" w:space="0" w:color="auto"/>
              <w:right w:val="nil"/>
            </w:tcBorders>
            <w:shd w:val="clear" w:color="auto" w:fill="FFFFFF"/>
            <w:vAlign w:val="bottom"/>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Zero-order</w:t>
            </w:r>
          </w:p>
        </w:tc>
        <w:tc>
          <w:tcPr>
            <w:tcW w:w="720" w:type="dxa"/>
            <w:tcBorders>
              <w:top w:val="nil"/>
              <w:left w:val="nil"/>
              <w:bottom w:val="single" w:sz="4" w:space="0" w:color="auto"/>
              <w:right w:val="nil"/>
            </w:tcBorders>
            <w:shd w:val="clear" w:color="auto" w:fill="FFFFFF"/>
            <w:vAlign w:val="bottom"/>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Partial</w:t>
            </w:r>
          </w:p>
        </w:tc>
        <w:tc>
          <w:tcPr>
            <w:tcW w:w="630" w:type="dxa"/>
            <w:tcBorders>
              <w:top w:val="nil"/>
              <w:left w:val="nil"/>
              <w:bottom w:val="single" w:sz="4" w:space="0" w:color="auto"/>
              <w:right w:val="nil"/>
            </w:tcBorders>
            <w:shd w:val="clear" w:color="auto" w:fill="FFFFFF"/>
            <w:vAlign w:val="bottom"/>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Part</w:t>
            </w:r>
          </w:p>
        </w:tc>
        <w:tc>
          <w:tcPr>
            <w:tcW w:w="990" w:type="dxa"/>
            <w:tcBorders>
              <w:top w:val="nil"/>
              <w:left w:val="nil"/>
              <w:bottom w:val="single" w:sz="4" w:space="0" w:color="auto"/>
              <w:right w:val="nil"/>
            </w:tcBorders>
            <w:shd w:val="clear" w:color="auto" w:fill="FFFFFF"/>
            <w:vAlign w:val="bottom"/>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Tolerance</w:t>
            </w:r>
          </w:p>
        </w:tc>
        <w:tc>
          <w:tcPr>
            <w:tcW w:w="810" w:type="dxa"/>
            <w:tcBorders>
              <w:top w:val="nil"/>
              <w:left w:val="nil"/>
              <w:bottom w:val="single" w:sz="4" w:space="0" w:color="auto"/>
              <w:right w:val="nil"/>
            </w:tcBorders>
            <w:shd w:val="clear" w:color="auto" w:fill="FFFFFF"/>
            <w:vAlign w:val="bottom"/>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VIF</w:t>
            </w:r>
          </w:p>
        </w:tc>
      </w:tr>
      <w:tr w:rsidR="00975273" w:rsidRPr="00C43AF5" w:rsidTr="00837960">
        <w:trPr>
          <w:cantSplit/>
          <w:trHeight w:val="289"/>
        </w:trPr>
        <w:tc>
          <w:tcPr>
            <w:tcW w:w="510" w:type="dxa"/>
            <w:vMerge w:val="restart"/>
            <w:tcBorders>
              <w:top w:val="single" w:sz="4" w:space="0" w:color="auto"/>
              <w:left w:val="nil"/>
              <w:bottom w:val="nil"/>
              <w:right w:val="nil"/>
            </w:tcBorders>
            <w:shd w:val="clear" w:color="auto" w:fill="auto"/>
          </w:tcPr>
          <w:p w:rsidR="00975273" w:rsidRPr="00C43AF5" w:rsidRDefault="00975273" w:rsidP="00837960">
            <w:pPr>
              <w:autoSpaceDE w:val="0"/>
              <w:autoSpaceDN w:val="0"/>
              <w:adjustRightInd w:val="0"/>
              <w:spacing w:after="0" w:line="320" w:lineRule="atLeast"/>
              <w:ind w:left="60" w:right="60"/>
              <w:rPr>
                <w:rFonts w:ascii="Times New Roman" w:hAnsi="Times New Roman" w:cs="Times New Roman"/>
                <w:sz w:val="24"/>
                <w:szCs w:val="24"/>
              </w:rPr>
            </w:pPr>
            <w:r w:rsidRPr="00C43AF5">
              <w:rPr>
                <w:rFonts w:ascii="Times New Roman" w:hAnsi="Times New Roman" w:cs="Times New Roman"/>
                <w:sz w:val="24"/>
                <w:szCs w:val="24"/>
              </w:rPr>
              <w:t>1</w:t>
            </w:r>
          </w:p>
        </w:tc>
        <w:tc>
          <w:tcPr>
            <w:tcW w:w="1020" w:type="dxa"/>
            <w:tcBorders>
              <w:top w:val="single" w:sz="4" w:space="0" w:color="auto"/>
              <w:left w:val="nil"/>
              <w:bottom w:val="nil"/>
              <w:right w:val="nil"/>
            </w:tcBorders>
            <w:shd w:val="clear" w:color="auto" w:fill="auto"/>
          </w:tcPr>
          <w:p w:rsidR="00975273" w:rsidRPr="00C43AF5" w:rsidRDefault="00975273" w:rsidP="00837960">
            <w:pPr>
              <w:autoSpaceDE w:val="0"/>
              <w:autoSpaceDN w:val="0"/>
              <w:adjustRightInd w:val="0"/>
              <w:spacing w:after="0" w:line="320" w:lineRule="atLeast"/>
              <w:ind w:left="60" w:right="60"/>
              <w:rPr>
                <w:rFonts w:ascii="Times New Roman" w:hAnsi="Times New Roman" w:cs="Times New Roman"/>
                <w:sz w:val="24"/>
                <w:szCs w:val="24"/>
              </w:rPr>
            </w:pPr>
            <w:r w:rsidRPr="00C43AF5">
              <w:rPr>
                <w:rFonts w:ascii="Times New Roman" w:hAnsi="Times New Roman" w:cs="Times New Roman"/>
                <w:sz w:val="24"/>
                <w:szCs w:val="24"/>
              </w:rPr>
              <w:t>(Constant)</w:t>
            </w:r>
          </w:p>
        </w:tc>
        <w:tc>
          <w:tcPr>
            <w:tcW w:w="720" w:type="dxa"/>
            <w:tcBorders>
              <w:top w:val="single" w:sz="4" w:space="0" w:color="auto"/>
              <w:left w:val="nil"/>
              <w:bottom w:val="nil"/>
              <w:right w:val="nil"/>
            </w:tcBorders>
            <w:shd w:val="clear" w:color="auto" w:fill="auto"/>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.546</w:t>
            </w:r>
          </w:p>
        </w:tc>
        <w:tc>
          <w:tcPr>
            <w:tcW w:w="720" w:type="dxa"/>
            <w:tcBorders>
              <w:top w:val="single" w:sz="4" w:space="0" w:color="auto"/>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.292</w:t>
            </w:r>
          </w:p>
        </w:tc>
        <w:tc>
          <w:tcPr>
            <w:tcW w:w="1260" w:type="dxa"/>
            <w:tcBorders>
              <w:top w:val="single" w:sz="4" w:space="0" w:color="auto"/>
              <w:left w:val="nil"/>
              <w:bottom w:val="nil"/>
              <w:right w:val="nil"/>
            </w:tcBorders>
            <w:shd w:val="clear" w:color="auto" w:fill="FFFFFF"/>
            <w:vAlign w:val="center"/>
          </w:tcPr>
          <w:p w:rsidR="00975273" w:rsidRPr="00C43AF5" w:rsidRDefault="00975273" w:rsidP="00837960">
            <w:pPr>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single" w:sz="4" w:space="0" w:color="auto"/>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1.868</w:t>
            </w:r>
          </w:p>
        </w:tc>
        <w:tc>
          <w:tcPr>
            <w:tcW w:w="540" w:type="dxa"/>
            <w:tcBorders>
              <w:top w:val="single" w:sz="4" w:space="0" w:color="auto"/>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.064</w:t>
            </w:r>
          </w:p>
        </w:tc>
        <w:tc>
          <w:tcPr>
            <w:tcW w:w="630" w:type="dxa"/>
            <w:tcBorders>
              <w:top w:val="single" w:sz="4" w:space="0" w:color="auto"/>
              <w:left w:val="nil"/>
              <w:bottom w:val="nil"/>
              <w:right w:val="nil"/>
            </w:tcBorders>
            <w:shd w:val="clear" w:color="auto" w:fill="FFFFFF"/>
            <w:vAlign w:val="center"/>
          </w:tcPr>
          <w:p w:rsidR="00975273" w:rsidRPr="00C43AF5" w:rsidRDefault="00975273" w:rsidP="00837960">
            <w:pPr>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single" w:sz="4" w:space="0" w:color="auto"/>
              <w:left w:val="nil"/>
              <w:bottom w:val="nil"/>
              <w:right w:val="nil"/>
            </w:tcBorders>
            <w:shd w:val="clear" w:color="auto" w:fill="FFFFFF"/>
            <w:vAlign w:val="center"/>
          </w:tcPr>
          <w:p w:rsidR="00975273" w:rsidRPr="00C43AF5" w:rsidRDefault="00975273" w:rsidP="00837960">
            <w:pPr>
              <w:autoSpaceDE w:val="0"/>
              <w:autoSpaceDN w:val="0"/>
              <w:adjustRightInd w:val="0"/>
              <w:spacing w:after="0" w:line="240" w:lineRule="auto"/>
              <w:jc w:val="center"/>
              <w:rPr>
                <w:rFonts w:ascii="Times New Roman" w:hAnsi="Times New Roman" w:cs="Times New Roman"/>
                <w:sz w:val="24"/>
                <w:szCs w:val="24"/>
              </w:rPr>
            </w:pPr>
          </w:p>
        </w:tc>
        <w:tc>
          <w:tcPr>
            <w:tcW w:w="630" w:type="dxa"/>
            <w:tcBorders>
              <w:top w:val="single" w:sz="4" w:space="0" w:color="auto"/>
              <w:left w:val="nil"/>
              <w:bottom w:val="nil"/>
              <w:right w:val="nil"/>
            </w:tcBorders>
            <w:shd w:val="clear" w:color="auto" w:fill="FFFFFF"/>
            <w:vAlign w:val="center"/>
          </w:tcPr>
          <w:p w:rsidR="00975273" w:rsidRPr="00C43AF5" w:rsidRDefault="00975273" w:rsidP="00837960">
            <w:pPr>
              <w:autoSpaceDE w:val="0"/>
              <w:autoSpaceDN w:val="0"/>
              <w:adjustRightInd w:val="0"/>
              <w:spacing w:after="0" w:line="240" w:lineRule="auto"/>
              <w:jc w:val="center"/>
              <w:rPr>
                <w:rFonts w:ascii="Times New Roman" w:hAnsi="Times New Roman" w:cs="Times New Roman"/>
                <w:sz w:val="24"/>
                <w:szCs w:val="24"/>
              </w:rPr>
            </w:pPr>
          </w:p>
        </w:tc>
        <w:tc>
          <w:tcPr>
            <w:tcW w:w="990" w:type="dxa"/>
            <w:tcBorders>
              <w:top w:val="single" w:sz="4" w:space="0" w:color="auto"/>
              <w:left w:val="nil"/>
              <w:bottom w:val="nil"/>
              <w:right w:val="nil"/>
            </w:tcBorders>
            <w:shd w:val="clear" w:color="auto" w:fill="FFFFFF"/>
            <w:vAlign w:val="center"/>
          </w:tcPr>
          <w:p w:rsidR="00975273" w:rsidRPr="00C43AF5" w:rsidRDefault="00975273" w:rsidP="00837960">
            <w:pPr>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4" w:space="0" w:color="auto"/>
              <w:left w:val="nil"/>
              <w:bottom w:val="nil"/>
              <w:right w:val="nil"/>
            </w:tcBorders>
            <w:shd w:val="clear" w:color="auto" w:fill="FFFFFF"/>
            <w:vAlign w:val="center"/>
          </w:tcPr>
          <w:p w:rsidR="00975273" w:rsidRPr="00C43AF5" w:rsidRDefault="00975273" w:rsidP="00837960">
            <w:pPr>
              <w:autoSpaceDE w:val="0"/>
              <w:autoSpaceDN w:val="0"/>
              <w:adjustRightInd w:val="0"/>
              <w:spacing w:after="0" w:line="240" w:lineRule="auto"/>
              <w:jc w:val="center"/>
              <w:rPr>
                <w:rFonts w:ascii="Times New Roman" w:hAnsi="Times New Roman" w:cs="Times New Roman"/>
                <w:sz w:val="24"/>
                <w:szCs w:val="24"/>
              </w:rPr>
            </w:pPr>
          </w:p>
        </w:tc>
      </w:tr>
      <w:tr w:rsidR="00975273" w:rsidRPr="00C43AF5" w:rsidTr="00837960">
        <w:trPr>
          <w:cantSplit/>
          <w:trHeight w:val="303"/>
        </w:trPr>
        <w:tc>
          <w:tcPr>
            <w:tcW w:w="510" w:type="dxa"/>
            <w:vMerge/>
            <w:tcBorders>
              <w:top w:val="nil"/>
              <w:left w:val="nil"/>
              <w:bottom w:val="nil"/>
              <w:right w:val="nil"/>
            </w:tcBorders>
            <w:shd w:val="clear" w:color="auto" w:fill="auto"/>
          </w:tcPr>
          <w:p w:rsidR="00975273" w:rsidRPr="00C43AF5" w:rsidRDefault="00975273" w:rsidP="00837960">
            <w:pPr>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shd w:val="clear" w:color="auto" w:fill="auto"/>
          </w:tcPr>
          <w:p w:rsidR="00975273" w:rsidRPr="00C43AF5" w:rsidRDefault="00975273" w:rsidP="00837960">
            <w:pPr>
              <w:autoSpaceDE w:val="0"/>
              <w:autoSpaceDN w:val="0"/>
              <w:adjustRightInd w:val="0"/>
              <w:spacing w:after="0" w:line="320" w:lineRule="atLeast"/>
              <w:ind w:left="60" w:right="60"/>
              <w:rPr>
                <w:rFonts w:ascii="Times New Roman" w:hAnsi="Times New Roman" w:cs="Times New Roman"/>
                <w:sz w:val="24"/>
                <w:szCs w:val="24"/>
              </w:rPr>
            </w:pPr>
            <w:r w:rsidRPr="00C43AF5">
              <w:rPr>
                <w:rFonts w:ascii="Times New Roman" w:hAnsi="Times New Roman" w:cs="Times New Roman"/>
                <w:sz w:val="24"/>
                <w:szCs w:val="24"/>
              </w:rPr>
              <w:t>BCOM</w:t>
            </w:r>
          </w:p>
        </w:tc>
        <w:tc>
          <w:tcPr>
            <w:tcW w:w="720" w:type="dxa"/>
            <w:tcBorders>
              <w:top w:val="nil"/>
              <w:left w:val="nil"/>
              <w:bottom w:val="nil"/>
              <w:right w:val="nil"/>
            </w:tcBorders>
            <w:shd w:val="clear" w:color="auto" w:fill="auto"/>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.322</w:t>
            </w:r>
          </w:p>
        </w:tc>
        <w:tc>
          <w:tcPr>
            <w:tcW w:w="720" w:type="dxa"/>
            <w:tcBorders>
              <w:top w:val="nil"/>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.073</w:t>
            </w:r>
          </w:p>
        </w:tc>
        <w:tc>
          <w:tcPr>
            <w:tcW w:w="1260" w:type="dxa"/>
            <w:tcBorders>
              <w:top w:val="nil"/>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.322</w:t>
            </w:r>
          </w:p>
        </w:tc>
        <w:tc>
          <w:tcPr>
            <w:tcW w:w="720" w:type="dxa"/>
            <w:tcBorders>
              <w:top w:val="nil"/>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4.432</w:t>
            </w:r>
          </w:p>
        </w:tc>
        <w:tc>
          <w:tcPr>
            <w:tcW w:w="540" w:type="dxa"/>
            <w:tcBorders>
              <w:top w:val="nil"/>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.000</w:t>
            </w:r>
          </w:p>
        </w:tc>
        <w:tc>
          <w:tcPr>
            <w:tcW w:w="630" w:type="dxa"/>
            <w:tcBorders>
              <w:top w:val="nil"/>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.509</w:t>
            </w:r>
          </w:p>
        </w:tc>
        <w:tc>
          <w:tcPr>
            <w:tcW w:w="720" w:type="dxa"/>
            <w:tcBorders>
              <w:top w:val="nil"/>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.375</w:t>
            </w:r>
          </w:p>
        </w:tc>
        <w:tc>
          <w:tcPr>
            <w:tcW w:w="630" w:type="dxa"/>
            <w:tcBorders>
              <w:top w:val="nil"/>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.296</w:t>
            </w:r>
          </w:p>
        </w:tc>
        <w:tc>
          <w:tcPr>
            <w:tcW w:w="990" w:type="dxa"/>
            <w:tcBorders>
              <w:top w:val="nil"/>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.844</w:t>
            </w:r>
          </w:p>
        </w:tc>
        <w:tc>
          <w:tcPr>
            <w:tcW w:w="810" w:type="dxa"/>
            <w:tcBorders>
              <w:top w:val="nil"/>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1.185</w:t>
            </w:r>
          </w:p>
        </w:tc>
      </w:tr>
      <w:tr w:rsidR="00975273" w:rsidRPr="00C43AF5" w:rsidTr="00837960">
        <w:trPr>
          <w:cantSplit/>
          <w:trHeight w:val="289"/>
        </w:trPr>
        <w:tc>
          <w:tcPr>
            <w:tcW w:w="510" w:type="dxa"/>
            <w:vMerge/>
            <w:tcBorders>
              <w:top w:val="nil"/>
              <w:left w:val="nil"/>
              <w:bottom w:val="nil"/>
              <w:right w:val="nil"/>
            </w:tcBorders>
            <w:shd w:val="clear" w:color="auto" w:fill="auto"/>
          </w:tcPr>
          <w:p w:rsidR="00975273" w:rsidRPr="00C43AF5" w:rsidRDefault="00975273" w:rsidP="00837960">
            <w:pPr>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shd w:val="clear" w:color="auto" w:fill="auto"/>
          </w:tcPr>
          <w:p w:rsidR="00975273" w:rsidRPr="00C43AF5" w:rsidRDefault="00975273" w:rsidP="00837960">
            <w:pPr>
              <w:autoSpaceDE w:val="0"/>
              <w:autoSpaceDN w:val="0"/>
              <w:adjustRightInd w:val="0"/>
              <w:spacing w:after="0" w:line="320" w:lineRule="atLeast"/>
              <w:ind w:left="60" w:right="60"/>
              <w:rPr>
                <w:rFonts w:ascii="Times New Roman" w:hAnsi="Times New Roman" w:cs="Times New Roman"/>
                <w:sz w:val="24"/>
                <w:szCs w:val="24"/>
              </w:rPr>
            </w:pPr>
            <w:r w:rsidRPr="00C43AF5">
              <w:rPr>
                <w:rFonts w:ascii="Times New Roman" w:hAnsi="Times New Roman" w:cs="Times New Roman"/>
                <w:sz w:val="24"/>
                <w:szCs w:val="24"/>
              </w:rPr>
              <w:t>BIND</w:t>
            </w:r>
          </w:p>
        </w:tc>
        <w:tc>
          <w:tcPr>
            <w:tcW w:w="720" w:type="dxa"/>
            <w:tcBorders>
              <w:top w:val="nil"/>
              <w:left w:val="nil"/>
              <w:bottom w:val="nil"/>
              <w:right w:val="nil"/>
            </w:tcBorders>
            <w:shd w:val="clear" w:color="auto" w:fill="auto"/>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.362</w:t>
            </w:r>
          </w:p>
        </w:tc>
        <w:tc>
          <w:tcPr>
            <w:tcW w:w="720" w:type="dxa"/>
            <w:tcBorders>
              <w:top w:val="nil"/>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.089</w:t>
            </w:r>
          </w:p>
        </w:tc>
        <w:tc>
          <w:tcPr>
            <w:tcW w:w="1260" w:type="dxa"/>
            <w:tcBorders>
              <w:top w:val="nil"/>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.361</w:t>
            </w:r>
          </w:p>
        </w:tc>
        <w:tc>
          <w:tcPr>
            <w:tcW w:w="720" w:type="dxa"/>
            <w:tcBorders>
              <w:top w:val="nil"/>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4.080</w:t>
            </w:r>
          </w:p>
        </w:tc>
        <w:tc>
          <w:tcPr>
            <w:tcW w:w="540" w:type="dxa"/>
            <w:tcBorders>
              <w:top w:val="nil"/>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.000</w:t>
            </w:r>
          </w:p>
        </w:tc>
        <w:tc>
          <w:tcPr>
            <w:tcW w:w="630" w:type="dxa"/>
            <w:tcBorders>
              <w:top w:val="nil"/>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.557</w:t>
            </w:r>
          </w:p>
        </w:tc>
        <w:tc>
          <w:tcPr>
            <w:tcW w:w="720" w:type="dxa"/>
            <w:tcBorders>
              <w:top w:val="nil"/>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.349</w:t>
            </w:r>
          </w:p>
        </w:tc>
        <w:tc>
          <w:tcPr>
            <w:tcW w:w="630" w:type="dxa"/>
            <w:tcBorders>
              <w:top w:val="nil"/>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.272</w:t>
            </w:r>
          </w:p>
        </w:tc>
        <w:tc>
          <w:tcPr>
            <w:tcW w:w="990" w:type="dxa"/>
            <w:tcBorders>
              <w:top w:val="nil"/>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.570</w:t>
            </w:r>
          </w:p>
        </w:tc>
        <w:tc>
          <w:tcPr>
            <w:tcW w:w="810" w:type="dxa"/>
            <w:tcBorders>
              <w:top w:val="nil"/>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1.755</w:t>
            </w:r>
          </w:p>
        </w:tc>
      </w:tr>
      <w:tr w:rsidR="00975273" w:rsidRPr="00C43AF5" w:rsidTr="00837960">
        <w:trPr>
          <w:cantSplit/>
          <w:trHeight w:val="303"/>
        </w:trPr>
        <w:tc>
          <w:tcPr>
            <w:tcW w:w="510" w:type="dxa"/>
            <w:vMerge/>
            <w:tcBorders>
              <w:top w:val="nil"/>
              <w:left w:val="nil"/>
              <w:bottom w:val="nil"/>
              <w:right w:val="nil"/>
            </w:tcBorders>
            <w:shd w:val="clear" w:color="auto" w:fill="auto"/>
          </w:tcPr>
          <w:p w:rsidR="00975273" w:rsidRPr="00C43AF5" w:rsidRDefault="00975273" w:rsidP="00837960">
            <w:pPr>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shd w:val="clear" w:color="auto" w:fill="auto"/>
          </w:tcPr>
          <w:p w:rsidR="00975273" w:rsidRPr="00C43AF5" w:rsidRDefault="00975273" w:rsidP="00837960">
            <w:pPr>
              <w:autoSpaceDE w:val="0"/>
              <w:autoSpaceDN w:val="0"/>
              <w:adjustRightInd w:val="0"/>
              <w:spacing w:after="0" w:line="320" w:lineRule="atLeast"/>
              <w:ind w:left="60" w:right="60"/>
              <w:rPr>
                <w:rFonts w:ascii="Times New Roman" w:hAnsi="Times New Roman" w:cs="Times New Roman"/>
                <w:sz w:val="24"/>
                <w:szCs w:val="24"/>
              </w:rPr>
            </w:pPr>
            <w:r w:rsidRPr="00C43AF5">
              <w:rPr>
                <w:rFonts w:ascii="Times New Roman" w:hAnsi="Times New Roman" w:cs="Times New Roman"/>
                <w:sz w:val="24"/>
                <w:szCs w:val="24"/>
              </w:rPr>
              <w:t>BRFW</w:t>
            </w:r>
          </w:p>
        </w:tc>
        <w:tc>
          <w:tcPr>
            <w:tcW w:w="720" w:type="dxa"/>
            <w:tcBorders>
              <w:top w:val="nil"/>
              <w:left w:val="nil"/>
              <w:bottom w:val="nil"/>
              <w:right w:val="nil"/>
            </w:tcBorders>
            <w:shd w:val="clear" w:color="auto" w:fill="auto"/>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.201</w:t>
            </w:r>
          </w:p>
        </w:tc>
        <w:tc>
          <w:tcPr>
            <w:tcW w:w="720" w:type="dxa"/>
            <w:tcBorders>
              <w:top w:val="nil"/>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.085</w:t>
            </w:r>
          </w:p>
        </w:tc>
        <w:tc>
          <w:tcPr>
            <w:tcW w:w="1260" w:type="dxa"/>
            <w:tcBorders>
              <w:top w:val="nil"/>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.203</w:t>
            </w:r>
          </w:p>
        </w:tc>
        <w:tc>
          <w:tcPr>
            <w:tcW w:w="720" w:type="dxa"/>
            <w:tcBorders>
              <w:top w:val="nil"/>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2.357</w:t>
            </w:r>
          </w:p>
        </w:tc>
        <w:tc>
          <w:tcPr>
            <w:tcW w:w="540" w:type="dxa"/>
            <w:tcBorders>
              <w:top w:val="nil"/>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.020</w:t>
            </w:r>
          </w:p>
        </w:tc>
        <w:tc>
          <w:tcPr>
            <w:tcW w:w="630" w:type="dxa"/>
            <w:tcBorders>
              <w:top w:val="nil"/>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.525</w:t>
            </w:r>
          </w:p>
        </w:tc>
        <w:tc>
          <w:tcPr>
            <w:tcW w:w="720" w:type="dxa"/>
            <w:tcBorders>
              <w:top w:val="nil"/>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.210</w:t>
            </w:r>
          </w:p>
        </w:tc>
        <w:tc>
          <w:tcPr>
            <w:tcW w:w="630" w:type="dxa"/>
            <w:tcBorders>
              <w:top w:val="nil"/>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.157</w:t>
            </w:r>
          </w:p>
        </w:tc>
        <w:tc>
          <w:tcPr>
            <w:tcW w:w="990" w:type="dxa"/>
            <w:tcBorders>
              <w:top w:val="nil"/>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.603</w:t>
            </w:r>
          </w:p>
        </w:tc>
        <w:tc>
          <w:tcPr>
            <w:tcW w:w="810" w:type="dxa"/>
            <w:tcBorders>
              <w:top w:val="nil"/>
              <w:left w:val="nil"/>
              <w:bottom w:val="nil"/>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1.659</w:t>
            </w:r>
          </w:p>
        </w:tc>
      </w:tr>
      <w:tr w:rsidR="00975273" w:rsidRPr="00C43AF5" w:rsidTr="00837960">
        <w:trPr>
          <w:cantSplit/>
          <w:trHeight w:val="303"/>
        </w:trPr>
        <w:tc>
          <w:tcPr>
            <w:tcW w:w="510" w:type="dxa"/>
            <w:vMerge/>
            <w:tcBorders>
              <w:top w:val="nil"/>
              <w:left w:val="nil"/>
              <w:bottom w:val="single" w:sz="4" w:space="0" w:color="auto"/>
              <w:right w:val="nil"/>
            </w:tcBorders>
            <w:shd w:val="clear" w:color="auto" w:fill="auto"/>
          </w:tcPr>
          <w:p w:rsidR="00975273" w:rsidRPr="00C43AF5" w:rsidRDefault="00975273" w:rsidP="00837960">
            <w:pPr>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single" w:sz="4" w:space="0" w:color="auto"/>
              <w:right w:val="nil"/>
            </w:tcBorders>
            <w:shd w:val="clear" w:color="auto" w:fill="auto"/>
          </w:tcPr>
          <w:p w:rsidR="00975273" w:rsidRPr="00C43AF5" w:rsidRDefault="00975273" w:rsidP="00837960">
            <w:pPr>
              <w:autoSpaceDE w:val="0"/>
              <w:autoSpaceDN w:val="0"/>
              <w:adjustRightInd w:val="0"/>
              <w:spacing w:after="0" w:line="320" w:lineRule="atLeast"/>
              <w:ind w:left="60" w:right="60"/>
              <w:rPr>
                <w:rFonts w:ascii="Times New Roman" w:hAnsi="Times New Roman" w:cs="Times New Roman"/>
                <w:sz w:val="24"/>
                <w:szCs w:val="24"/>
              </w:rPr>
            </w:pPr>
            <w:r w:rsidRPr="00C43AF5">
              <w:rPr>
                <w:rFonts w:ascii="Times New Roman" w:hAnsi="Times New Roman" w:cs="Times New Roman"/>
                <w:sz w:val="24"/>
                <w:szCs w:val="24"/>
              </w:rPr>
              <w:t>ELES</w:t>
            </w:r>
          </w:p>
        </w:tc>
        <w:tc>
          <w:tcPr>
            <w:tcW w:w="720" w:type="dxa"/>
            <w:tcBorders>
              <w:top w:val="nil"/>
              <w:left w:val="nil"/>
              <w:bottom w:val="single" w:sz="4" w:space="0" w:color="auto"/>
              <w:right w:val="nil"/>
            </w:tcBorders>
            <w:shd w:val="clear" w:color="auto" w:fill="auto"/>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-.053</w:t>
            </w:r>
          </w:p>
        </w:tc>
        <w:tc>
          <w:tcPr>
            <w:tcW w:w="720" w:type="dxa"/>
            <w:tcBorders>
              <w:top w:val="nil"/>
              <w:left w:val="nil"/>
              <w:bottom w:val="single" w:sz="4" w:space="0" w:color="auto"/>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.044</w:t>
            </w:r>
          </w:p>
        </w:tc>
        <w:tc>
          <w:tcPr>
            <w:tcW w:w="1260" w:type="dxa"/>
            <w:tcBorders>
              <w:top w:val="nil"/>
              <w:left w:val="nil"/>
              <w:bottom w:val="single" w:sz="4" w:space="0" w:color="auto"/>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-.085</w:t>
            </w:r>
          </w:p>
        </w:tc>
        <w:tc>
          <w:tcPr>
            <w:tcW w:w="720" w:type="dxa"/>
            <w:tcBorders>
              <w:top w:val="nil"/>
              <w:left w:val="nil"/>
              <w:bottom w:val="single" w:sz="4" w:space="0" w:color="auto"/>
              <w:right w:val="nil"/>
            </w:tcBorders>
            <w:shd w:val="clear" w:color="auto" w:fill="FFFFFF"/>
          </w:tcPr>
          <w:p w:rsidR="00975273" w:rsidRPr="00C43AF5" w:rsidRDefault="00975273" w:rsidP="00837960">
            <w:pPr>
              <w:autoSpaceDE w:val="0"/>
              <w:autoSpaceDN w:val="0"/>
              <w:adjustRightInd w:val="0"/>
              <w:spacing w:after="0" w:line="320" w:lineRule="atLeast"/>
              <w:ind w:right="60"/>
              <w:jc w:val="center"/>
              <w:rPr>
                <w:rFonts w:ascii="Times New Roman" w:hAnsi="Times New Roman" w:cs="Times New Roman"/>
                <w:sz w:val="24"/>
                <w:szCs w:val="24"/>
              </w:rPr>
            </w:pPr>
            <w:r w:rsidRPr="00C43AF5">
              <w:rPr>
                <w:rFonts w:ascii="Times New Roman" w:hAnsi="Times New Roman" w:cs="Times New Roman"/>
                <w:sz w:val="24"/>
                <w:szCs w:val="24"/>
              </w:rPr>
              <w:t>-1.203</w:t>
            </w:r>
          </w:p>
        </w:tc>
        <w:tc>
          <w:tcPr>
            <w:tcW w:w="540" w:type="dxa"/>
            <w:tcBorders>
              <w:top w:val="nil"/>
              <w:left w:val="nil"/>
              <w:bottom w:val="single" w:sz="4" w:space="0" w:color="auto"/>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.232</w:t>
            </w:r>
          </w:p>
        </w:tc>
        <w:tc>
          <w:tcPr>
            <w:tcW w:w="630" w:type="dxa"/>
            <w:tcBorders>
              <w:top w:val="nil"/>
              <w:left w:val="nil"/>
              <w:bottom w:val="single" w:sz="4" w:space="0" w:color="auto"/>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.061</w:t>
            </w:r>
          </w:p>
        </w:tc>
        <w:tc>
          <w:tcPr>
            <w:tcW w:w="720" w:type="dxa"/>
            <w:tcBorders>
              <w:top w:val="nil"/>
              <w:left w:val="nil"/>
              <w:bottom w:val="single" w:sz="4" w:space="0" w:color="auto"/>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-.109</w:t>
            </w:r>
          </w:p>
        </w:tc>
        <w:tc>
          <w:tcPr>
            <w:tcW w:w="630" w:type="dxa"/>
            <w:tcBorders>
              <w:top w:val="nil"/>
              <w:left w:val="nil"/>
              <w:bottom w:val="single" w:sz="4" w:space="0" w:color="auto"/>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-.080</w:t>
            </w:r>
          </w:p>
        </w:tc>
        <w:tc>
          <w:tcPr>
            <w:tcW w:w="990" w:type="dxa"/>
            <w:tcBorders>
              <w:top w:val="nil"/>
              <w:left w:val="nil"/>
              <w:bottom w:val="single" w:sz="4" w:space="0" w:color="auto"/>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.886</w:t>
            </w:r>
          </w:p>
        </w:tc>
        <w:tc>
          <w:tcPr>
            <w:tcW w:w="810" w:type="dxa"/>
            <w:tcBorders>
              <w:top w:val="nil"/>
              <w:left w:val="nil"/>
              <w:bottom w:val="single" w:sz="4" w:space="0" w:color="auto"/>
              <w:right w:val="nil"/>
            </w:tcBorders>
            <w:shd w:val="clear" w:color="auto" w:fill="FFFFFF"/>
          </w:tcPr>
          <w:p w:rsidR="00975273" w:rsidRPr="00C43AF5" w:rsidRDefault="00975273" w:rsidP="00837960">
            <w:pPr>
              <w:autoSpaceDE w:val="0"/>
              <w:autoSpaceDN w:val="0"/>
              <w:adjustRightInd w:val="0"/>
              <w:spacing w:after="0" w:line="320" w:lineRule="atLeast"/>
              <w:ind w:left="60" w:right="60"/>
              <w:jc w:val="center"/>
              <w:rPr>
                <w:rFonts w:ascii="Times New Roman" w:hAnsi="Times New Roman" w:cs="Times New Roman"/>
                <w:sz w:val="24"/>
                <w:szCs w:val="24"/>
              </w:rPr>
            </w:pPr>
            <w:r w:rsidRPr="00C43AF5">
              <w:rPr>
                <w:rFonts w:ascii="Times New Roman" w:hAnsi="Times New Roman" w:cs="Times New Roman"/>
                <w:sz w:val="24"/>
                <w:szCs w:val="24"/>
              </w:rPr>
              <w:t>1.128</w:t>
            </w:r>
          </w:p>
        </w:tc>
      </w:tr>
      <w:tr w:rsidR="00975273" w:rsidRPr="00C43AF5" w:rsidTr="00837960">
        <w:trPr>
          <w:cantSplit/>
          <w:trHeight w:val="276"/>
        </w:trPr>
        <w:tc>
          <w:tcPr>
            <w:tcW w:w="9270" w:type="dxa"/>
            <w:gridSpan w:val="12"/>
            <w:tcBorders>
              <w:top w:val="single" w:sz="4" w:space="0" w:color="auto"/>
              <w:left w:val="nil"/>
              <w:bottom w:val="nil"/>
              <w:right w:val="nil"/>
            </w:tcBorders>
            <w:shd w:val="clear" w:color="auto" w:fill="FFFFFF"/>
          </w:tcPr>
          <w:p w:rsidR="00975273" w:rsidRPr="00C43AF5" w:rsidRDefault="00975273" w:rsidP="00837960">
            <w:pPr>
              <w:pStyle w:val="ListParagraph"/>
              <w:numPr>
                <w:ilvl w:val="0"/>
                <w:numId w:val="2"/>
              </w:numPr>
              <w:autoSpaceDE w:val="0"/>
              <w:autoSpaceDN w:val="0"/>
              <w:adjustRightInd w:val="0"/>
              <w:spacing w:after="0" w:line="320" w:lineRule="atLeast"/>
              <w:ind w:right="60"/>
              <w:rPr>
                <w:rFonts w:ascii="Times New Roman" w:hAnsi="Times New Roman" w:cs="Times New Roman"/>
                <w:sz w:val="24"/>
                <w:szCs w:val="24"/>
              </w:rPr>
            </w:pPr>
            <w:r w:rsidRPr="00C43AF5">
              <w:rPr>
                <w:rFonts w:ascii="Times New Roman" w:hAnsi="Times New Roman" w:cs="Times New Roman"/>
                <w:sz w:val="24"/>
                <w:szCs w:val="24"/>
              </w:rPr>
              <w:t>Dependent Variable: FP</w:t>
            </w:r>
          </w:p>
          <w:p w:rsidR="00975273" w:rsidRPr="00C43AF5" w:rsidRDefault="00975273" w:rsidP="00837960">
            <w:pPr>
              <w:autoSpaceDE w:val="0"/>
              <w:autoSpaceDN w:val="0"/>
              <w:adjustRightInd w:val="0"/>
              <w:spacing w:after="0" w:line="240" w:lineRule="auto"/>
              <w:rPr>
                <w:rFonts w:ascii="Times New Roman" w:hAnsi="Times New Roman" w:cs="Times New Roman"/>
                <w:b/>
                <w:sz w:val="24"/>
                <w:szCs w:val="24"/>
              </w:rPr>
            </w:pPr>
            <w:r w:rsidRPr="00C43AF5">
              <w:rPr>
                <w:rFonts w:ascii="Times New Roman" w:hAnsi="Times New Roman" w:cs="Times New Roman"/>
                <w:b/>
                <w:sz w:val="24"/>
                <w:szCs w:val="24"/>
              </w:rPr>
              <w:t>Source: Authors’ Computation (2024)</w:t>
            </w:r>
          </w:p>
        </w:tc>
      </w:tr>
    </w:tbl>
    <w:p w:rsidR="00975273" w:rsidRPr="00C43AF5" w:rsidRDefault="00975273" w:rsidP="00975273">
      <w:pPr>
        <w:autoSpaceDE w:val="0"/>
        <w:autoSpaceDN w:val="0"/>
        <w:adjustRightInd w:val="0"/>
        <w:spacing w:after="0" w:line="240" w:lineRule="auto"/>
        <w:rPr>
          <w:rFonts w:ascii="Times New Roman" w:hAnsi="Times New Roman" w:cs="Times New Roman"/>
          <w:sz w:val="24"/>
          <w:szCs w:val="24"/>
        </w:rPr>
      </w:pPr>
    </w:p>
    <w:p w:rsidR="00975273" w:rsidRPr="00C43AF5" w:rsidRDefault="00975273" w:rsidP="00975273">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43AF5">
        <w:rPr>
          <w:rFonts w:ascii="Times New Roman" w:hAnsi="Times New Roman" w:cs="Times New Roman"/>
          <w:sz w:val="24"/>
          <w:szCs w:val="24"/>
        </w:rPr>
        <w:t xml:space="preserve">In table 4 below, the residual statistic Minimum value 2.89 implies </w:t>
      </w:r>
      <w:r w:rsidRPr="00C43AF5">
        <w:rPr>
          <w:rFonts w:ascii="Times New Roman" w:eastAsia="Times New Roman" w:hAnsi="Times New Roman" w:cs="Times New Roman"/>
          <w:sz w:val="24"/>
          <w:szCs w:val="24"/>
        </w:rPr>
        <w:t xml:space="preserve">the reliability and relevance of information presented to stakeholders is boosted by effective risk management techniques, which reduce the possibility of misstatements in consolidated financial statements. The mean value 3.26 simplify that consolidated financial statements' fairness and accuracy are greatly enhanced by the presence of independent external auditors where investors and stakeholders are reassured about the transparency and dependability of the information provided in accordance with IFRS 10 by the unbiased assessment of the consolidation process and associated disclosures, which increases the legitimacy of financial reporting procedures as proven by Maximum value </w:t>
      </w:r>
      <w:r w:rsidRPr="00C43AF5">
        <w:rPr>
          <w:rFonts w:ascii="Times New Roman" w:hAnsi="Times New Roman" w:cs="Times New Roman"/>
          <w:sz w:val="24"/>
          <w:szCs w:val="24"/>
        </w:rPr>
        <w:t>3.67</w:t>
      </w:r>
      <w:r w:rsidRPr="00C43AF5">
        <w:rPr>
          <w:rFonts w:ascii="Times New Roman" w:eastAsia="Times New Roman" w:hAnsi="Times New Roman" w:cs="Times New Roman"/>
          <w:sz w:val="24"/>
          <w:szCs w:val="24"/>
        </w:rPr>
        <w:t>. The implications and implementation of IFRS 10 Consolidation Accounting in companies are greatly influenced by corporate governance.</w:t>
      </w:r>
    </w:p>
    <w:tbl>
      <w:tblPr>
        <w:tblW w:w="88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299"/>
        <w:gridCol w:w="1246"/>
        <w:gridCol w:w="1284"/>
        <w:gridCol w:w="1194"/>
        <w:gridCol w:w="1675"/>
        <w:gridCol w:w="1196"/>
      </w:tblGrid>
      <w:tr w:rsidR="00975273" w:rsidRPr="00C43AF5" w:rsidTr="004C5B97">
        <w:trPr>
          <w:cantSplit/>
          <w:trHeight w:val="360"/>
        </w:trPr>
        <w:tc>
          <w:tcPr>
            <w:tcW w:w="8894" w:type="dxa"/>
            <w:gridSpan w:val="6"/>
            <w:tcBorders>
              <w:top w:val="nil"/>
              <w:left w:val="nil"/>
              <w:bottom w:val="single" w:sz="4" w:space="0" w:color="auto"/>
              <w:right w:val="nil"/>
            </w:tcBorders>
            <w:shd w:val="clear" w:color="auto" w:fill="FFFFFF"/>
            <w:vAlign w:val="center"/>
          </w:tcPr>
          <w:p w:rsidR="00975273" w:rsidRPr="00C43AF5" w:rsidRDefault="00975273" w:rsidP="004C5B97">
            <w:pPr>
              <w:autoSpaceDE w:val="0"/>
              <w:autoSpaceDN w:val="0"/>
              <w:adjustRightInd w:val="0"/>
              <w:spacing w:after="0" w:line="240" w:lineRule="auto"/>
              <w:ind w:left="60" w:right="60"/>
              <w:rPr>
                <w:rFonts w:ascii="Times New Roman" w:hAnsi="Times New Roman" w:cs="Times New Roman"/>
                <w:b/>
                <w:sz w:val="24"/>
                <w:szCs w:val="24"/>
              </w:rPr>
            </w:pPr>
            <w:r w:rsidRPr="00C43AF5">
              <w:rPr>
                <w:rFonts w:ascii="Times New Roman" w:hAnsi="Times New Roman" w:cs="Times New Roman"/>
                <w:b/>
                <w:bCs/>
                <w:sz w:val="24"/>
                <w:szCs w:val="24"/>
              </w:rPr>
              <w:t>Table 4: Residuals Statistics</w:t>
            </w:r>
          </w:p>
        </w:tc>
      </w:tr>
      <w:tr w:rsidR="00975273" w:rsidRPr="00C43AF5" w:rsidTr="00837960">
        <w:trPr>
          <w:cantSplit/>
          <w:trHeight w:val="90"/>
        </w:trPr>
        <w:tc>
          <w:tcPr>
            <w:tcW w:w="2299" w:type="dxa"/>
            <w:tcBorders>
              <w:top w:val="single" w:sz="4" w:space="0" w:color="auto"/>
              <w:left w:val="nil"/>
              <w:bottom w:val="single" w:sz="4" w:space="0" w:color="auto"/>
              <w:right w:val="nil"/>
            </w:tcBorders>
            <w:shd w:val="clear" w:color="auto" w:fill="FFFFFF"/>
            <w:vAlign w:val="bottom"/>
          </w:tcPr>
          <w:p w:rsidR="00975273" w:rsidRPr="00C43AF5" w:rsidRDefault="00975273" w:rsidP="004C5B97">
            <w:pPr>
              <w:autoSpaceDE w:val="0"/>
              <w:autoSpaceDN w:val="0"/>
              <w:adjustRightInd w:val="0"/>
              <w:spacing w:after="0" w:line="240" w:lineRule="auto"/>
              <w:rPr>
                <w:rFonts w:ascii="Times New Roman" w:hAnsi="Times New Roman" w:cs="Times New Roman"/>
                <w:b/>
                <w:sz w:val="24"/>
                <w:szCs w:val="24"/>
              </w:rPr>
            </w:pPr>
            <w:r w:rsidRPr="00C43AF5">
              <w:rPr>
                <w:rFonts w:ascii="Times New Roman" w:hAnsi="Times New Roman" w:cs="Times New Roman"/>
                <w:b/>
                <w:bCs/>
                <w:sz w:val="24"/>
                <w:szCs w:val="24"/>
              </w:rPr>
              <w:t>Residuals Statistics</w:t>
            </w:r>
          </w:p>
        </w:tc>
        <w:tc>
          <w:tcPr>
            <w:tcW w:w="1246" w:type="dxa"/>
            <w:tcBorders>
              <w:top w:val="single" w:sz="4" w:space="0" w:color="auto"/>
              <w:left w:val="nil"/>
              <w:bottom w:val="single" w:sz="4" w:space="0" w:color="auto"/>
              <w:right w:val="nil"/>
            </w:tcBorders>
            <w:shd w:val="clear" w:color="auto" w:fill="FFFFFF"/>
            <w:vAlign w:val="bottom"/>
          </w:tcPr>
          <w:p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Minimum</w:t>
            </w:r>
          </w:p>
        </w:tc>
        <w:tc>
          <w:tcPr>
            <w:tcW w:w="1284" w:type="dxa"/>
            <w:tcBorders>
              <w:top w:val="single" w:sz="4" w:space="0" w:color="auto"/>
              <w:left w:val="nil"/>
              <w:bottom w:val="single" w:sz="4" w:space="0" w:color="auto"/>
              <w:right w:val="nil"/>
            </w:tcBorders>
            <w:shd w:val="clear" w:color="auto" w:fill="FFFFFF"/>
            <w:vAlign w:val="bottom"/>
          </w:tcPr>
          <w:p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Maximum</w:t>
            </w:r>
          </w:p>
        </w:tc>
        <w:tc>
          <w:tcPr>
            <w:tcW w:w="1194" w:type="dxa"/>
            <w:tcBorders>
              <w:top w:val="single" w:sz="4" w:space="0" w:color="auto"/>
              <w:left w:val="nil"/>
              <w:bottom w:val="single" w:sz="4" w:space="0" w:color="auto"/>
              <w:right w:val="nil"/>
            </w:tcBorders>
            <w:shd w:val="clear" w:color="auto" w:fill="FFFFFF"/>
            <w:vAlign w:val="bottom"/>
          </w:tcPr>
          <w:p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Mean</w:t>
            </w:r>
          </w:p>
        </w:tc>
        <w:tc>
          <w:tcPr>
            <w:tcW w:w="1675" w:type="dxa"/>
            <w:tcBorders>
              <w:top w:val="single" w:sz="4" w:space="0" w:color="auto"/>
              <w:left w:val="nil"/>
              <w:bottom w:val="single" w:sz="4" w:space="0" w:color="auto"/>
              <w:right w:val="nil"/>
            </w:tcBorders>
            <w:shd w:val="clear" w:color="auto" w:fill="FFFFFF"/>
            <w:vAlign w:val="bottom"/>
          </w:tcPr>
          <w:p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Std. Deviation</w:t>
            </w:r>
          </w:p>
        </w:tc>
        <w:tc>
          <w:tcPr>
            <w:tcW w:w="1196" w:type="dxa"/>
            <w:tcBorders>
              <w:top w:val="single" w:sz="4" w:space="0" w:color="auto"/>
              <w:left w:val="nil"/>
              <w:bottom w:val="single" w:sz="4" w:space="0" w:color="auto"/>
              <w:right w:val="nil"/>
            </w:tcBorders>
            <w:shd w:val="clear" w:color="auto" w:fill="FFFFFF"/>
            <w:vAlign w:val="bottom"/>
          </w:tcPr>
          <w:p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N</w:t>
            </w:r>
          </w:p>
        </w:tc>
      </w:tr>
      <w:tr w:rsidR="00975273" w:rsidRPr="00C43AF5" w:rsidTr="00837960">
        <w:trPr>
          <w:cantSplit/>
          <w:trHeight w:val="242"/>
        </w:trPr>
        <w:tc>
          <w:tcPr>
            <w:tcW w:w="2299" w:type="dxa"/>
            <w:tcBorders>
              <w:top w:val="single" w:sz="4" w:space="0" w:color="auto"/>
              <w:left w:val="nil"/>
              <w:bottom w:val="nil"/>
              <w:right w:val="nil"/>
            </w:tcBorders>
            <w:shd w:val="clear" w:color="auto" w:fill="auto"/>
          </w:tcPr>
          <w:p w:rsidR="00975273" w:rsidRPr="00C43AF5" w:rsidRDefault="00975273" w:rsidP="004C5B97">
            <w:pPr>
              <w:autoSpaceDE w:val="0"/>
              <w:autoSpaceDN w:val="0"/>
              <w:adjustRightInd w:val="0"/>
              <w:spacing w:after="0" w:line="240" w:lineRule="auto"/>
              <w:ind w:left="60" w:right="60"/>
              <w:rPr>
                <w:rFonts w:ascii="Times New Roman" w:hAnsi="Times New Roman" w:cs="Times New Roman"/>
                <w:sz w:val="24"/>
                <w:szCs w:val="24"/>
              </w:rPr>
            </w:pPr>
            <w:r w:rsidRPr="00C43AF5">
              <w:rPr>
                <w:rFonts w:ascii="Times New Roman" w:hAnsi="Times New Roman" w:cs="Times New Roman"/>
                <w:sz w:val="24"/>
                <w:szCs w:val="24"/>
              </w:rPr>
              <w:t>Predicted Value</w:t>
            </w:r>
          </w:p>
        </w:tc>
        <w:tc>
          <w:tcPr>
            <w:tcW w:w="1246" w:type="dxa"/>
            <w:tcBorders>
              <w:top w:val="single" w:sz="4" w:space="0" w:color="auto"/>
              <w:left w:val="nil"/>
              <w:bottom w:val="nil"/>
              <w:right w:val="nil"/>
            </w:tcBorders>
            <w:shd w:val="clear" w:color="auto" w:fill="auto"/>
          </w:tcPr>
          <w:p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2.89</w:t>
            </w:r>
          </w:p>
        </w:tc>
        <w:tc>
          <w:tcPr>
            <w:tcW w:w="1284" w:type="dxa"/>
            <w:tcBorders>
              <w:top w:val="single" w:sz="4" w:space="0" w:color="auto"/>
              <w:left w:val="nil"/>
              <w:bottom w:val="nil"/>
              <w:right w:val="nil"/>
            </w:tcBorders>
            <w:shd w:val="clear" w:color="auto" w:fill="FFFFFF"/>
          </w:tcPr>
          <w:p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3.67</w:t>
            </w:r>
          </w:p>
        </w:tc>
        <w:tc>
          <w:tcPr>
            <w:tcW w:w="1194" w:type="dxa"/>
            <w:tcBorders>
              <w:top w:val="single" w:sz="4" w:space="0" w:color="auto"/>
              <w:left w:val="nil"/>
              <w:bottom w:val="nil"/>
              <w:right w:val="nil"/>
            </w:tcBorders>
            <w:shd w:val="clear" w:color="auto" w:fill="FFFFFF"/>
          </w:tcPr>
          <w:p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3.26</w:t>
            </w:r>
          </w:p>
        </w:tc>
        <w:tc>
          <w:tcPr>
            <w:tcW w:w="1675" w:type="dxa"/>
            <w:tcBorders>
              <w:top w:val="single" w:sz="4" w:space="0" w:color="auto"/>
              <w:left w:val="nil"/>
              <w:bottom w:val="nil"/>
              <w:right w:val="nil"/>
            </w:tcBorders>
            <w:shd w:val="clear" w:color="auto" w:fill="FFFFFF"/>
          </w:tcPr>
          <w:p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.201</w:t>
            </w:r>
          </w:p>
        </w:tc>
        <w:tc>
          <w:tcPr>
            <w:tcW w:w="1196" w:type="dxa"/>
            <w:tcBorders>
              <w:top w:val="single" w:sz="4" w:space="0" w:color="auto"/>
              <w:left w:val="nil"/>
              <w:bottom w:val="nil"/>
              <w:right w:val="nil"/>
            </w:tcBorders>
            <w:shd w:val="clear" w:color="auto" w:fill="FFFFFF"/>
          </w:tcPr>
          <w:p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325</w:t>
            </w:r>
          </w:p>
        </w:tc>
      </w:tr>
      <w:tr w:rsidR="00975273" w:rsidRPr="00C43AF5" w:rsidTr="00837960">
        <w:trPr>
          <w:cantSplit/>
          <w:trHeight w:val="198"/>
        </w:trPr>
        <w:tc>
          <w:tcPr>
            <w:tcW w:w="2299" w:type="dxa"/>
            <w:tcBorders>
              <w:top w:val="nil"/>
              <w:left w:val="nil"/>
              <w:bottom w:val="nil"/>
              <w:right w:val="nil"/>
            </w:tcBorders>
            <w:shd w:val="clear" w:color="auto" w:fill="auto"/>
          </w:tcPr>
          <w:p w:rsidR="00975273" w:rsidRPr="00C43AF5" w:rsidRDefault="00975273" w:rsidP="004C5B97">
            <w:pPr>
              <w:autoSpaceDE w:val="0"/>
              <w:autoSpaceDN w:val="0"/>
              <w:adjustRightInd w:val="0"/>
              <w:spacing w:after="0" w:line="240" w:lineRule="auto"/>
              <w:ind w:left="60" w:right="60"/>
              <w:rPr>
                <w:rFonts w:ascii="Times New Roman" w:hAnsi="Times New Roman" w:cs="Times New Roman"/>
                <w:sz w:val="24"/>
                <w:szCs w:val="24"/>
              </w:rPr>
            </w:pPr>
            <w:r w:rsidRPr="00C43AF5">
              <w:rPr>
                <w:rFonts w:ascii="Times New Roman" w:hAnsi="Times New Roman" w:cs="Times New Roman"/>
                <w:sz w:val="24"/>
                <w:szCs w:val="24"/>
              </w:rPr>
              <w:t>Residual</w:t>
            </w:r>
          </w:p>
        </w:tc>
        <w:tc>
          <w:tcPr>
            <w:tcW w:w="1246" w:type="dxa"/>
            <w:tcBorders>
              <w:top w:val="nil"/>
              <w:left w:val="nil"/>
              <w:bottom w:val="nil"/>
              <w:right w:val="nil"/>
            </w:tcBorders>
            <w:shd w:val="clear" w:color="auto" w:fill="auto"/>
          </w:tcPr>
          <w:p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-.682</w:t>
            </w:r>
          </w:p>
        </w:tc>
        <w:tc>
          <w:tcPr>
            <w:tcW w:w="1284" w:type="dxa"/>
            <w:tcBorders>
              <w:top w:val="nil"/>
              <w:left w:val="nil"/>
              <w:bottom w:val="nil"/>
              <w:right w:val="nil"/>
            </w:tcBorders>
            <w:shd w:val="clear" w:color="auto" w:fill="FFFFFF"/>
          </w:tcPr>
          <w:p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.486</w:t>
            </w:r>
          </w:p>
        </w:tc>
        <w:tc>
          <w:tcPr>
            <w:tcW w:w="1194" w:type="dxa"/>
            <w:tcBorders>
              <w:top w:val="nil"/>
              <w:left w:val="nil"/>
              <w:bottom w:val="nil"/>
              <w:right w:val="nil"/>
            </w:tcBorders>
            <w:shd w:val="clear" w:color="auto" w:fill="FFFFFF"/>
          </w:tcPr>
          <w:p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.000</w:t>
            </w:r>
          </w:p>
        </w:tc>
        <w:tc>
          <w:tcPr>
            <w:tcW w:w="1675" w:type="dxa"/>
            <w:tcBorders>
              <w:top w:val="nil"/>
              <w:left w:val="nil"/>
              <w:bottom w:val="nil"/>
              <w:right w:val="nil"/>
            </w:tcBorders>
            <w:shd w:val="clear" w:color="auto" w:fill="FFFFFF"/>
          </w:tcPr>
          <w:p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.216</w:t>
            </w:r>
          </w:p>
        </w:tc>
        <w:tc>
          <w:tcPr>
            <w:tcW w:w="1196" w:type="dxa"/>
            <w:tcBorders>
              <w:top w:val="nil"/>
              <w:left w:val="nil"/>
              <w:bottom w:val="nil"/>
              <w:right w:val="nil"/>
            </w:tcBorders>
            <w:shd w:val="clear" w:color="auto" w:fill="FFFFFF"/>
          </w:tcPr>
          <w:p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325</w:t>
            </w:r>
          </w:p>
        </w:tc>
      </w:tr>
      <w:tr w:rsidR="00975273" w:rsidRPr="00C43AF5" w:rsidTr="00837960">
        <w:trPr>
          <w:cantSplit/>
          <w:trHeight w:val="198"/>
        </w:trPr>
        <w:tc>
          <w:tcPr>
            <w:tcW w:w="2299" w:type="dxa"/>
            <w:tcBorders>
              <w:top w:val="nil"/>
              <w:left w:val="nil"/>
              <w:bottom w:val="nil"/>
              <w:right w:val="nil"/>
            </w:tcBorders>
            <w:shd w:val="clear" w:color="auto" w:fill="auto"/>
          </w:tcPr>
          <w:p w:rsidR="00975273" w:rsidRPr="00C43AF5" w:rsidRDefault="00975273" w:rsidP="004C5B97">
            <w:pPr>
              <w:autoSpaceDE w:val="0"/>
              <w:autoSpaceDN w:val="0"/>
              <w:adjustRightInd w:val="0"/>
              <w:spacing w:after="0" w:line="240" w:lineRule="auto"/>
              <w:ind w:left="60" w:right="60"/>
              <w:rPr>
                <w:rFonts w:ascii="Times New Roman" w:hAnsi="Times New Roman" w:cs="Times New Roman"/>
                <w:sz w:val="24"/>
                <w:szCs w:val="24"/>
              </w:rPr>
            </w:pPr>
            <w:r w:rsidRPr="00C43AF5">
              <w:rPr>
                <w:rFonts w:ascii="Times New Roman" w:hAnsi="Times New Roman" w:cs="Times New Roman"/>
                <w:sz w:val="24"/>
                <w:szCs w:val="24"/>
              </w:rPr>
              <w:lastRenderedPageBreak/>
              <w:t>Std. Predicted Value</w:t>
            </w:r>
          </w:p>
        </w:tc>
        <w:tc>
          <w:tcPr>
            <w:tcW w:w="1246" w:type="dxa"/>
            <w:tcBorders>
              <w:top w:val="nil"/>
              <w:left w:val="nil"/>
              <w:bottom w:val="nil"/>
              <w:right w:val="nil"/>
            </w:tcBorders>
            <w:shd w:val="clear" w:color="auto" w:fill="auto"/>
          </w:tcPr>
          <w:p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-1.847</w:t>
            </w:r>
          </w:p>
        </w:tc>
        <w:tc>
          <w:tcPr>
            <w:tcW w:w="1284" w:type="dxa"/>
            <w:tcBorders>
              <w:top w:val="nil"/>
              <w:left w:val="nil"/>
              <w:bottom w:val="nil"/>
              <w:right w:val="nil"/>
            </w:tcBorders>
            <w:shd w:val="clear" w:color="auto" w:fill="FFFFFF"/>
          </w:tcPr>
          <w:p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2.018</w:t>
            </w:r>
          </w:p>
        </w:tc>
        <w:tc>
          <w:tcPr>
            <w:tcW w:w="1194" w:type="dxa"/>
            <w:tcBorders>
              <w:top w:val="nil"/>
              <w:left w:val="nil"/>
              <w:bottom w:val="nil"/>
              <w:right w:val="nil"/>
            </w:tcBorders>
            <w:shd w:val="clear" w:color="auto" w:fill="FFFFFF"/>
          </w:tcPr>
          <w:p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.000</w:t>
            </w:r>
          </w:p>
        </w:tc>
        <w:tc>
          <w:tcPr>
            <w:tcW w:w="1675" w:type="dxa"/>
            <w:tcBorders>
              <w:top w:val="nil"/>
              <w:left w:val="nil"/>
              <w:bottom w:val="nil"/>
              <w:right w:val="nil"/>
            </w:tcBorders>
            <w:shd w:val="clear" w:color="auto" w:fill="FFFFFF"/>
          </w:tcPr>
          <w:p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1.000</w:t>
            </w:r>
          </w:p>
        </w:tc>
        <w:tc>
          <w:tcPr>
            <w:tcW w:w="1196" w:type="dxa"/>
            <w:tcBorders>
              <w:top w:val="nil"/>
              <w:left w:val="nil"/>
              <w:bottom w:val="nil"/>
              <w:right w:val="nil"/>
            </w:tcBorders>
            <w:shd w:val="clear" w:color="auto" w:fill="FFFFFF"/>
          </w:tcPr>
          <w:p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325</w:t>
            </w:r>
          </w:p>
        </w:tc>
      </w:tr>
      <w:tr w:rsidR="00975273" w:rsidRPr="00C43AF5" w:rsidTr="00837960">
        <w:trPr>
          <w:cantSplit/>
          <w:trHeight w:val="90"/>
        </w:trPr>
        <w:tc>
          <w:tcPr>
            <w:tcW w:w="2299" w:type="dxa"/>
            <w:tcBorders>
              <w:top w:val="nil"/>
              <w:left w:val="nil"/>
              <w:bottom w:val="single" w:sz="4" w:space="0" w:color="auto"/>
              <w:right w:val="nil"/>
            </w:tcBorders>
            <w:shd w:val="clear" w:color="auto" w:fill="auto"/>
          </w:tcPr>
          <w:p w:rsidR="00975273" w:rsidRPr="00C43AF5" w:rsidRDefault="00975273" w:rsidP="004C5B97">
            <w:pPr>
              <w:autoSpaceDE w:val="0"/>
              <w:autoSpaceDN w:val="0"/>
              <w:adjustRightInd w:val="0"/>
              <w:spacing w:after="0" w:line="240" w:lineRule="auto"/>
              <w:ind w:left="60" w:right="60"/>
              <w:rPr>
                <w:rFonts w:ascii="Times New Roman" w:hAnsi="Times New Roman" w:cs="Times New Roman"/>
                <w:sz w:val="24"/>
                <w:szCs w:val="24"/>
              </w:rPr>
            </w:pPr>
            <w:r w:rsidRPr="00C43AF5">
              <w:rPr>
                <w:rFonts w:ascii="Times New Roman" w:hAnsi="Times New Roman" w:cs="Times New Roman"/>
                <w:sz w:val="24"/>
                <w:szCs w:val="24"/>
              </w:rPr>
              <w:t>Std. Residual</w:t>
            </w:r>
          </w:p>
        </w:tc>
        <w:tc>
          <w:tcPr>
            <w:tcW w:w="1246" w:type="dxa"/>
            <w:tcBorders>
              <w:top w:val="nil"/>
              <w:left w:val="nil"/>
              <w:bottom w:val="single" w:sz="4" w:space="0" w:color="auto"/>
              <w:right w:val="nil"/>
            </w:tcBorders>
            <w:shd w:val="clear" w:color="auto" w:fill="auto"/>
          </w:tcPr>
          <w:p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-3.115</w:t>
            </w:r>
          </w:p>
        </w:tc>
        <w:tc>
          <w:tcPr>
            <w:tcW w:w="1284" w:type="dxa"/>
            <w:tcBorders>
              <w:top w:val="nil"/>
              <w:left w:val="nil"/>
              <w:bottom w:val="single" w:sz="4" w:space="0" w:color="auto"/>
              <w:right w:val="nil"/>
            </w:tcBorders>
            <w:shd w:val="clear" w:color="auto" w:fill="FFFFFF"/>
          </w:tcPr>
          <w:p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2.217</w:t>
            </w:r>
          </w:p>
        </w:tc>
        <w:tc>
          <w:tcPr>
            <w:tcW w:w="1194" w:type="dxa"/>
            <w:tcBorders>
              <w:top w:val="nil"/>
              <w:left w:val="nil"/>
              <w:bottom w:val="single" w:sz="4" w:space="0" w:color="auto"/>
              <w:right w:val="nil"/>
            </w:tcBorders>
            <w:shd w:val="clear" w:color="auto" w:fill="FFFFFF"/>
          </w:tcPr>
          <w:p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.000</w:t>
            </w:r>
          </w:p>
        </w:tc>
        <w:tc>
          <w:tcPr>
            <w:tcW w:w="1675" w:type="dxa"/>
            <w:tcBorders>
              <w:top w:val="nil"/>
              <w:left w:val="nil"/>
              <w:bottom w:val="single" w:sz="4" w:space="0" w:color="auto"/>
              <w:right w:val="nil"/>
            </w:tcBorders>
            <w:shd w:val="clear" w:color="auto" w:fill="FFFFFF"/>
          </w:tcPr>
          <w:p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.984</w:t>
            </w:r>
          </w:p>
        </w:tc>
        <w:tc>
          <w:tcPr>
            <w:tcW w:w="1196" w:type="dxa"/>
            <w:tcBorders>
              <w:top w:val="nil"/>
              <w:left w:val="nil"/>
              <w:bottom w:val="single" w:sz="4" w:space="0" w:color="auto"/>
              <w:right w:val="nil"/>
            </w:tcBorders>
            <w:shd w:val="clear" w:color="auto" w:fill="FFFFFF"/>
          </w:tcPr>
          <w:p w:rsidR="00975273" w:rsidRPr="00C43AF5" w:rsidRDefault="00975273" w:rsidP="004C5B97">
            <w:pPr>
              <w:autoSpaceDE w:val="0"/>
              <w:autoSpaceDN w:val="0"/>
              <w:adjustRightInd w:val="0"/>
              <w:spacing w:after="0" w:line="240" w:lineRule="auto"/>
              <w:ind w:left="60" w:right="60"/>
              <w:jc w:val="center"/>
              <w:rPr>
                <w:rFonts w:ascii="Times New Roman" w:hAnsi="Times New Roman" w:cs="Times New Roman"/>
                <w:sz w:val="24"/>
                <w:szCs w:val="24"/>
              </w:rPr>
            </w:pPr>
            <w:r w:rsidRPr="00C43AF5">
              <w:rPr>
                <w:rFonts w:ascii="Times New Roman" w:hAnsi="Times New Roman" w:cs="Times New Roman"/>
                <w:sz w:val="24"/>
                <w:szCs w:val="24"/>
              </w:rPr>
              <w:t>325</w:t>
            </w:r>
          </w:p>
        </w:tc>
      </w:tr>
      <w:tr w:rsidR="00975273" w:rsidRPr="00C43AF5" w:rsidTr="00837960">
        <w:trPr>
          <w:cantSplit/>
          <w:trHeight w:val="662"/>
        </w:trPr>
        <w:tc>
          <w:tcPr>
            <w:tcW w:w="8894" w:type="dxa"/>
            <w:gridSpan w:val="6"/>
            <w:tcBorders>
              <w:top w:val="single" w:sz="4" w:space="0" w:color="auto"/>
              <w:left w:val="nil"/>
              <w:bottom w:val="nil"/>
              <w:right w:val="nil"/>
            </w:tcBorders>
            <w:shd w:val="clear" w:color="auto" w:fill="FFFFFF"/>
          </w:tcPr>
          <w:p w:rsidR="00975273" w:rsidRPr="00C43AF5" w:rsidRDefault="00975273" w:rsidP="004C5B97">
            <w:pPr>
              <w:pStyle w:val="ListParagraph"/>
              <w:numPr>
                <w:ilvl w:val="0"/>
                <w:numId w:val="3"/>
              </w:numPr>
              <w:autoSpaceDE w:val="0"/>
              <w:autoSpaceDN w:val="0"/>
              <w:adjustRightInd w:val="0"/>
              <w:spacing w:after="0" w:line="240" w:lineRule="auto"/>
              <w:ind w:right="60"/>
              <w:rPr>
                <w:rFonts w:ascii="Times New Roman" w:hAnsi="Times New Roman" w:cs="Times New Roman"/>
                <w:sz w:val="24"/>
                <w:szCs w:val="24"/>
              </w:rPr>
            </w:pPr>
            <w:r w:rsidRPr="00C43AF5">
              <w:rPr>
                <w:rFonts w:ascii="Times New Roman" w:hAnsi="Times New Roman" w:cs="Times New Roman"/>
                <w:sz w:val="24"/>
                <w:szCs w:val="24"/>
              </w:rPr>
              <w:t>Dependent Variable: FP</w:t>
            </w:r>
          </w:p>
          <w:p w:rsidR="004D36F8" w:rsidRPr="004D36F8" w:rsidRDefault="00975273" w:rsidP="004C5B97">
            <w:pPr>
              <w:autoSpaceDE w:val="0"/>
              <w:autoSpaceDN w:val="0"/>
              <w:adjustRightInd w:val="0"/>
              <w:spacing w:after="0" w:line="240" w:lineRule="auto"/>
              <w:ind w:left="60" w:right="60"/>
              <w:rPr>
                <w:rFonts w:ascii="Times New Roman" w:hAnsi="Times New Roman" w:cs="Times New Roman"/>
                <w:b/>
                <w:sz w:val="24"/>
                <w:szCs w:val="24"/>
              </w:rPr>
            </w:pPr>
            <w:r w:rsidRPr="00C43AF5">
              <w:rPr>
                <w:rFonts w:ascii="Times New Roman" w:hAnsi="Times New Roman" w:cs="Times New Roman"/>
                <w:b/>
                <w:sz w:val="24"/>
                <w:szCs w:val="24"/>
              </w:rPr>
              <w:t>Source: Authors’ Computation (2024)</w:t>
            </w:r>
          </w:p>
        </w:tc>
      </w:tr>
    </w:tbl>
    <w:p w:rsidR="00975273" w:rsidRPr="00C43AF5" w:rsidRDefault="00F75B0B" w:rsidP="0097527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4.1 </w:t>
      </w:r>
      <w:r w:rsidR="00975273" w:rsidRPr="00C43AF5">
        <w:rPr>
          <w:rFonts w:ascii="Times New Roman" w:eastAsia="Times New Roman" w:hAnsi="Times New Roman" w:cs="Times New Roman"/>
          <w:b/>
          <w:sz w:val="24"/>
          <w:szCs w:val="24"/>
        </w:rPr>
        <w:t>Discussion of Findings</w:t>
      </w:r>
    </w:p>
    <w:p w:rsidR="00975273" w:rsidRPr="00C43AF5" w:rsidRDefault="00975273" w:rsidP="00A8775A">
      <w:pPr>
        <w:spacing w:after="0" w:line="276" w:lineRule="auto"/>
        <w:ind w:firstLine="720"/>
        <w:jc w:val="both"/>
        <w:rPr>
          <w:rFonts w:ascii="Times New Roman" w:hAnsi="Times New Roman" w:cs="Times New Roman"/>
          <w:sz w:val="24"/>
          <w:szCs w:val="24"/>
          <w:shd w:val="clear" w:color="auto" w:fill="FFFFFF"/>
        </w:rPr>
      </w:pPr>
      <w:r w:rsidRPr="00C43AF5">
        <w:rPr>
          <w:rFonts w:ascii="Times New Roman" w:eastAsia="Times New Roman" w:hAnsi="Times New Roman" w:cs="Times New Roman"/>
          <w:sz w:val="24"/>
          <w:szCs w:val="24"/>
        </w:rPr>
        <w:t xml:space="preserve">The result of data analysis provided that Board Independent (BIND), Board Composition (BCOM), the Board Regulatory Framework (BRFW), and Executive Leadership (ELES) an essential elements of </w:t>
      </w:r>
      <w:r w:rsidRPr="00C43AF5">
        <w:rPr>
          <w:rFonts w:ascii="Times New Roman" w:hAnsi="Times New Roman" w:cs="Times New Roman"/>
          <w:sz w:val="24"/>
          <w:szCs w:val="24"/>
        </w:rPr>
        <w:t xml:space="preserve">corporate governance determinants of International Financial Reporting Standard (IFRS) 10 consolidation accounting practices in Nigerian firms has statistical significant. As a result of this, </w:t>
      </w:r>
      <w:r w:rsidRPr="00C43AF5">
        <w:rPr>
          <w:rFonts w:ascii="Times New Roman" w:eastAsia="Times New Roman" w:hAnsi="Times New Roman" w:cs="Times New Roman"/>
          <w:sz w:val="24"/>
          <w:szCs w:val="24"/>
        </w:rPr>
        <w:t>improving internal controls and risk management systems, guaranteeing auditor independence, and embracing moral leadership and corporate culture in an organization also improve adherence to the (IFRS) 10 standards because p</w:t>
      </w:r>
      <w:r w:rsidRPr="00C43AF5">
        <w:rPr>
          <w:rFonts w:ascii="Times New Roman" w:hAnsi="Times New Roman" w:cs="Times New Roman"/>
          <w:sz w:val="24"/>
          <w:szCs w:val="24"/>
        </w:rPr>
        <w:t>olicies and procedures have been established to guide operations, minimize errors, prevent fraud, and ensure that all activities are conducted following established guidelines</w:t>
      </w:r>
      <w:r w:rsidRPr="00C43AF5">
        <w:rPr>
          <w:rFonts w:ascii="Times New Roman" w:eastAsia="Times New Roman" w:hAnsi="Times New Roman" w:cs="Times New Roman"/>
          <w:sz w:val="24"/>
          <w:szCs w:val="24"/>
        </w:rPr>
        <w:t xml:space="preserve">. </w:t>
      </w:r>
      <w:r w:rsidR="009D075F" w:rsidRPr="00C43AF5">
        <w:rPr>
          <w:rFonts w:ascii="Times New Roman" w:eastAsia="Times New Roman" w:hAnsi="Times New Roman" w:cs="Times New Roman"/>
          <w:sz w:val="24"/>
          <w:szCs w:val="24"/>
        </w:rPr>
        <w:t>They thus endorse the research of Dragomir and Dumitru (2023), whose results verify that there is a substantial correlation between integrated reporting quality (IRQ) and director independence as well as the employment of a Big 4 auditor. Moreover, the influence of corporate governance in integrated reporting was studied by Lawal and Yahaya (2024) t</w:t>
      </w:r>
      <w:r w:rsidRPr="00C43AF5">
        <w:rPr>
          <w:rFonts w:ascii="Times New Roman" w:hAnsi="Times New Roman" w:cs="Times New Roman"/>
          <w:sz w:val="24"/>
          <w:szCs w:val="24"/>
        </w:rPr>
        <w:t xml:space="preserve">heir findings found that firm size has statistically significant effects on integrated reporting. However, the findings of this study negate the outcome of the study done by Fayad et al. (2022) study </w:t>
      </w:r>
      <w:r w:rsidRPr="00C43AF5">
        <w:rPr>
          <w:rFonts w:ascii="Times New Roman" w:hAnsi="Times New Roman" w:cs="Times New Roman"/>
          <w:sz w:val="24"/>
          <w:szCs w:val="24"/>
          <w:shd w:val="clear" w:color="auto" w:fill="FFFFFF"/>
        </w:rPr>
        <w:t>found to have an inverse relationship with firm performance. The findings imply that board independence improves transparency in the board decision-making process with the robustness of findings that have found the same results with varying significance levels.</w:t>
      </w:r>
    </w:p>
    <w:p w:rsidR="00975273" w:rsidRPr="00C43AF5" w:rsidRDefault="00F40A8B" w:rsidP="0097527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5.0 </w:t>
      </w:r>
      <w:r w:rsidR="00BB64B6" w:rsidRPr="00C43AF5">
        <w:rPr>
          <w:rFonts w:ascii="Times New Roman" w:eastAsia="Times New Roman" w:hAnsi="Times New Roman" w:cs="Times New Roman"/>
          <w:b/>
          <w:sz w:val="24"/>
          <w:szCs w:val="24"/>
        </w:rPr>
        <w:t>CONCLUSION AND RECOMMENDATIONS</w:t>
      </w:r>
    </w:p>
    <w:p w:rsidR="00975273" w:rsidRPr="00C43AF5" w:rsidRDefault="00975273" w:rsidP="00975273">
      <w:pPr>
        <w:spacing w:after="0" w:line="240" w:lineRule="auto"/>
        <w:jc w:val="both"/>
        <w:rPr>
          <w:rFonts w:ascii="Times New Roman" w:eastAsia="Times New Roman" w:hAnsi="Times New Roman" w:cs="Times New Roman"/>
          <w:sz w:val="24"/>
          <w:szCs w:val="24"/>
        </w:rPr>
      </w:pPr>
      <w:r w:rsidRPr="00C43AF5">
        <w:rPr>
          <w:rFonts w:ascii="Times New Roman" w:eastAsia="Times New Roman" w:hAnsi="Times New Roman" w:cs="Times New Roman"/>
          <w:sz w:val="24"/>
          <w:szCs w:val="24"/>
        </w:rPr>
        <w:t>The study concludes, that following its findings, executive leadership, regulatory frameworks, board independence, and robust oversight, all play a crucial role in determining how a firm/company is governed and how it should pursue its strategic direction. In particular, adherence to IFRS 10 and diverse perspectives are essential for boards to effectively guide businesses toward long-term success and sustainable growth. These factors also play a crucial role in guiding ethical decision-making and generating value for all stakeholders as businesses navigate complex and challenging situations. More so, it is recommended that regularly reviewing and updating governance frameworks to align with evolving regulatory requirements and best practices in ensuring transparency, accountability, and compliance across all operations is advised. Additionally, investing in leadership development programs can help cultivate a strong channel of executives with the skills to take on complex challenges, with a natural integrity-driven culture, and promote sustainable growth with a balanced board composition that reflects the firm's strategic needs.</w:t>
      </w:r>
    </w:p>
    <w:p w:rsidR="00975273" w:rsidRDefault="00975273" w:rsidP="00975273">
      <w:pPr>
        <w:spacing w:after="0" w:line="240" w:lineRule="auto"/>
        <w:jc w:val="both"/>
        <w:rPr>
          <w:rFonts w:ascii="Times New Roman" w:eastAsia="Times New Roman" w:hAnsi="Times New Roman" w:cs="Times New Roman"/>
          <w:sz w:val="24"/>
          <w:szCs w:val="24"/>
        </w:rPr>
      </w:pPr>
    </w:p>
    <w:p w:rsidR="00EF7031" w:rsidRDefault="00EF7031" w:rsidP="00975273">
      <w:pPr>
        <w:spacing w:after="0" w:line="240" w:lineRule="auto"/>
        <w:jc w:val="both"/>
        <w:rPr>
          <w:rFonts w:ascii="Times New Roman" w:eastAsia="Times New Roman" w:hAnsi="Times New Roman" w:cs="Times New Roman"/>
          <w:sz w:val="24"/>
          <w:szCs w:val="24"/>
        </w:rPr>
      </w:pPr>
    </w:p>
    <w:p w:rsidR="00EF7031" w:rsidRDefault="00EF7031" w:rsidP="00975273">
      <w:pPr>
        <w:spacing w:after="0" w:line="240" w:lineRule="auto"/>
        <w:jc w:val="both"/>
        <w:rPr>
          <w:rFonts w:ascii="Times New Roman" w:eastAsia="Times New Roman" w:hAnsi="Times New Roman" w:cs="Times New Roman"/>
          <w:sz w:val="24"/>
          <w:szCs w:val="24"/>
        </w:rPr>
      </w:pPr>
    </w:p>
    <w:p w:rsidR="00EF7031" w:rsidRDefault="00EF7031" w:rsidP="00975273">
      <w:pPr>
        <w:spacing w:after="0" w:line="240" w:lineRule="auto"/>
        <w:jc w:val="both"/>
        <w:rPr>
          <w:rFonts w:ascii="Times New Roman" w:eastAsia="Times New Roman" w:hAnsi="Times New Roman" w:cs="Times New Roman"/>
          <w:sz w:val="24"/>
          <w:szCs w:val="24"/>
        </w:rPr>
      </w:pPr>
    </w:p>
    <w:p w:rsidR="00EF7031" w:rsidRPr="00C43AF5" w:rsidRDefault="00EF7031" w:rsidP="00552E13">
      <w:pPr>
        <w:spacing w:after="0" w:line="240" w:lineRule="auto"/>
        <w:jc w:val="center"/>
        <w:rPr>
          <w:rFonts w:ascii="Times New Roman" w:eastAsia="Times New Roman" w:hAnsi="Times New Roman" w:cs="Times New Roman"/>
          <w:sz w:val="24"/>
          <w:szCs w:val="24"/>
        </w:rPr>
      </w:pPr>
    </w:p>
    <w:p w:rsidR="00975273" w:rsidRPr="00C43AF5" w:rsidRDefault="00975273" w:rsidP="00552E13">
      <w:pPr>
        <w:spacing w:after="0" w:line="276" w:lineRule="auto"/>
        <w:jc w:val="center"/>
        <w:rPr>
          <w:rFonts w:ascii="Times New Roman" w:eastAsia="Times New Roman" w:hAnsi="Times New Roman" w:cs="Times New Roman"/>
          <w:b/>
          <w:sz w:val="24"/>
          <w:szCs w:val="24"/>
        </w:rPr>
      </w:pPr>
      <w:r w:rsidRPr="00C43AF5">
        <w:rPr>
          <w:rFonts w:ascii="Times New Roman" w:eastAsia="Times New Roman" w:hAnsi="Times New Roman" w:cs="Times New Roman"/>
          <w:b/>
          <w:sz w:val="24"/>
          <w:szCs w:val="24"/>
        </w:rPr>
        <w:t>References</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lastRenderedPageBreak/>
        <w:t xml:space="preserve">Abdulfatah, L. A., Yahaya, O. A., Agbi, S. E., &amp; Tauhid, S. (2023). The moderating role of firm size on the association between institutional ownership and integrated reporting of listed non-financial services firms in Nigeria. </w:t>
      </w:r>
      <w:r w:rsidRPr="00C43AF5">
        <w:rPr>
          <w:rFonts w:ascii="Times New Roman" w:hAnsi="Times New Roman" w:cs="Times New Roman"/>
          <w:i/>
          <w:sz w:val="24"/>
          <w:szCs w:val="24"/>
        </w:rPr>
        <w:t>Benin Journal of Accounting, Finance and Forensic Science Research, 3</w:t>
      </w:r>
      <w:r w:rsidRPr="00C43AF5">
        <w:rPr>
          <w:rFonts w:ascii="Times New Roman" w:hAnsi="Times New Roman" w:cs="Times New Roman"/>
          <w:sz w:val="24"/>
          <w:szCs w:val="24"/>
        </w:rPr>
        <w:t>(1), 38-58.</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Abdulfatah, L. A., Yahya, A. O., Agbi, S. E., &amp; Tauhid, S. (2023). Effect of firm size on the relationship between managerial ownership and integrated reporting. </w:t>
      </w:r>
      <w:r w:rsidRPr="00C43AF5">
        <w:rPr>
          <w:rFonts w:ascii="Times New Roman" w:hAnsi="Times New Roman" w:cs="Times New Roman"/>
          <w:i/>
          <w:sz w:val="24"/>
          <w:szCs w:val="24"/>
        </w:rPr>
        <w:t>Global Journal of Accounting, 8</w:t>
      </w:r>
      <w:r w:rsidRPr="00C43AF5">
        <w:rPr>
          <w:rFonts w:ascii="Times New Roman" w:hAnsi="Times New Roman" w:cs="Times New Roman"/>
          <w:sz w:val="24"/>
          <w:szCs w:val="24"/>
        </w:rPr>
        <w:t>(2), 43-54.</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Abrahams, T. O., Ewuga, S. K., Kaggwa, S., Uwaoma, P. U., Hassan, A. O., &amp; Dawodu, S. O. (2024). Mastering compliance: A comprehensive review of regulatory frameworks in accounting and cybersecurity. </w:t>
      </w:r>
      <w:r w:rsidRPr="00C43AF5">
        <w:rPr>
          <w:rFonts w:ascii="Times New Roman" w:hAnsi="Times New Roman" w:cs="Times New Roman"/>
          <w:i/>
          <w:sz w:val="24"/>
          <w:szCs w:val="24"/>
        </w:rPr>
        <w:t>Computer Science &amp; IT Research Journal, 5</w:t>
      </w:r>
      <w:r w:rsidRPr="00C43AF5">
        <w:rPr>
          <w:rFonts w:ascii="Times New Roman" w:hAnsi="Times New Roman" w:cs="Times New Roman"/>
          <w:sz w:val="24"/>
          <w:szCs w:val="24"/>
        </w:rPr>
        <w:t>(1), 120-140.</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Abubakar, A. A., Yahaya, O. A., &amp; Joshua, S. G. (2023). Board characteristics and financial performance. </w:t>
      </w:r>
      <w:r w:rsidRPr="00C43AF5">
        <w:rPr>
          <w:rFonts w:ascii="Times New Roman" w:hAnsi="Times New Roman" w:cs="Times New Roman"/>
          <w:i/>
          <w:sz w:val="24"/>
          <w:szCs w:val="24"/>
        </w:rPr>
        <w:t>Asian-Pacific Journal of Financial Studies</w:t>
      </w:r>
      <w:r w:rsidRPr="00C43AF5">
        <w:rPr>
          <w:rFonts w:ascii="Times New Roman" w:hAnsi="Times New Roman" w:cs="Times New Roman"/>
          <w:sz w:val="24"/>
          <w:szCs w:val="24"/>
        </w:rPr>
        <w:t>, 52, 7-19.</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Adaga, E. M., Egieya, Z. E., Ewuga, S. K., Abdul, A. A., &amp; Abrahams, T. O. (2024). Philosophy in business analytics: A review of sustainable and ethical approaches</w:t>
      </w:r>
      <w:r w:rsidRPr="00C43AF5">
        <w:rPr>
          <w:rFonts w:ascii="Times New Roman" w:hAnsi="Times New Roman" w:cs="Times New Roman"/>
          <w:i/>
          <w:sz w:val="24"/>
          <w:szCs w:val="24"/>
        </w:rPr>
        <w:t>. International Journal of Management &amp; Entrepreneurship Research, 6</w:t>
      </w:r>
      <w:r w:rsidRPr="00C43AF5">
        <w:rPr>
          <w:rFonts w:ascii="Times New Roman" w:hAnsi="Times New Roman" w:cs="Times New Roman"/>
          <w:sz w:val="24"/>
          <w:szCs w:val="24"/>
        </w:rPr>
        <w:t>(1), 69-86.</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Adedeji, B. S., Ong, T. S., Uzir, M. U. H., &amp; Abdul Hamid, A. B. (2020). Corporate governance and performance of medium-sized firms in Nigeria: Does sustainability initiative matter? Corporate governance: </w:t>
      </w:r>
      <w:r w:rsidRPr="00C43AF5">
        <w:rPr>
          <w:rFonts w:ascii="Times New Roman" w:hAnsi="Times New Roman" w:cs="Times New Roman"/>
          <w:i/>
          <w:sz w:val="24"/>
          <w:szCs w:val="24"/>
        </w:rPr>
        <w:t>The International Journal of Business in Society, 20</w:t>
      </w:r>
      <w:r w:rsidRPr="00C43AF5">
        <w:rPr>
          <w:rFonts w:ascii="Times New Roman" w:hAnsi="Times New Roman" w:cs="Times New Roman"/>
          <w:sz w:val="24"/>
          <w:szCs w:val="24"/>
        </w:rPr>
        <w:t>(3), 401-427.</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Adegbite, O. (2021). Perspectives on Industrial Development in Nigeria. Springer International Publishing.</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Adekanmbi, A. O. &amp; Wolf, D. (2024). Solid mineral resources extraction and processing using innovative technology in Nigeria. </w:t>
      </w:r>
      <w:r w:rsidRPr="00C43AF5">
        <w:rPr>
          <w:rFonts w:ascii="Times New Roman" w:hAnsi="Times New Roman" w:cs="Times New Roman"/>
          <w:i/>
          <w:sz w:val="24"/>
          <w:szCs w:val="24"/>
        </w:rPr>
        <w:t>ATBU Journal of Science, Technology and Education, 12</w:t>
      </w:r>
      <w:r w:rsidRPr="00C43AF5">
        <w:rPr>
          <w:rFonts w:ascii="Times New Roman" w:hAnsi="Times New Roman" w:cs="Times New Roman"/>
          <w:sz w:val="24"/>
          <w:szCs w:val="24"/>
        </w:rPr>
        <w:t>(1), 1-16.</w:t>
      </w:r>
    </w:p>
    <w:p w:rsidR="00DA6FFE"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Adeleke, O. K., Segun, I. B., &amp; Olaoye, A. I. C. (2019). Impact of internal control on fraud prevention in deposit money banks in Nigeria. </w:t>
      </w:r>
      <w:r w:rsidRPr="00C43AF5">
        <w:rPr>
          <w:rFonts w:ascii="Times New Roman" w:hAnsi="Times New Roman" w:cs="Times New Roman"/>
          <w:i/>
          <w:sz w:val="24"/>
          <w:szCs w:val="24"/>
        </w:rPr>
        <w:t>Nigerian Studies in Economics and Management Sciences, 2</w:t>
      </w:r>
      <w:r w:rsidRPr="00C43AF5">
        <w:rPr>
          <w:rFonts w:ascii="Times New Roman" w:hAnsi="Times New Roman" w:cs="Times New Roman"/>
          <w:sz w:val="24"/>
          <w:szCs w:val="24"/>
        </w:rPr>
        <w:t>(1), 42-51.</w:t>
      </w:r>
    </w:p>
    <w:p w:rsidR="00DA6FFE" w:rsidRPr="00995FE9" w:rsidRDefault="00A95BAE" w:rsidP="00357602">
      <w:pPr>
        <w:spacing w:after="0" w:line="240" w:lineRule="auto"/>
        <w:ind w:left="720" w:hanging="720"/>
        <w:jc w:val="both"/>
        <w:rPr>
          <w:rFonts w:ascii="Times New Roman" w:hAnsi="Times New Roman" w:cs="Times New Roman"/>
          <w:color w:val="000000" w:themeColor="text1"/>
          <w:sz w:val="24"/>
          <w:szCs w:val="24"/>
        </w:rPr>
      </w:pPr>
      <w:hyperlink r:id="rId8" w:history="1">
        <w:r w:rsidR="00F0314D" w:rsidRPr="00DA6FFE">
          <w:rPr>
            <w:rStyle w:val="Hyperlink"/>
            <w:rFonts w:ascii="Times New Roman" w:hAnsi="Times New Roman" w:cs="Times New Roman"/>
            <w:bCs/>
            <w:color w:val="000000" w:themeColor="text1"/>
            <w:sz w:val="24"/>
            <w:szCs w:val="24"/>
            <w:u w:val="none"/>
            <w:bdr w:val="none" w:sz="0" w:space="0" w:color="auto" w:frame="1"/>
            <w:shd w:val="clear" w:color="auto" w:fill="FFFFFF"/>
          </w:rPr>
          <w:t>Ahmed</w:t>
        </w:r>
      </w:hyperlink>
      <w:r w:rsidR="00F0314D" w:rsidRPr="00DA6FFE">
        <w:rPr>
          <w:rFonts w:ascii="Times New Roman" w:hAnsi="Times New Roman" w:cs="Times New Roman"/>
          <w:color w:val="000000" w:themeColor="text1"/>
          <w:sz w:val="24"/>
          <w:szCs w:val="24"/>
        </w:rPr>
        <w:t xml:space="preserve">, </w:t>
      </w:r>
      <w:r w:rsidR="008B63F7" w:rsidRPr="00DA6FFE">
        <w:rPr>
          <w:rFonts w:ascii="Times New Roman" w:hAnsi="Times New Roman" w:cs="Times New Roman"/>
          <w:color w:val="000000" w:themeColor="text1"/>
          <w:sz w:val="24"/>
          <w:szCs w:val="24"/>
        </w:rPr>
        <w:t>A., &amp; Anifowose, M. (2024</w:t>
      </w:r>
      <w:r w:rsidR="00F0314D" w:rsidRPr="00DA6FFE">
        <w:rPr>
          <w:rFonts w:ascii="Times New Roman" w:hAnsi="Times New Roman" w:cs="Times New Roman"/>
          <w:color w:val="000000" w:themeColor="text1"/>
          <w:sz w:val="24"/>
          <w:szCs w:val="24"/>
        </w:rPr>
        <w:t xml:space="preserve">). </w:t>
      </w:r>
      <w:r w:rsidR="00DA6FFE" w:rsidRPr="00DA6FFE">
        <w:rPr>
          <w:rFonts w:ascii="Times New Roman" w:hAnsi="Times New Roman" w:cs="Times New Roman"/>
          <w:color w:val="000000" w:themeColor="text1"/>
          <w:sz w:val="24"/>
          <w:szCs w:val="24"/>
        </w:rPr>
        <w:t>Corruption, corporate governance, and sustainable development goals in Africa</w:t>
      </w:r>
      <w:r w:rsidR="00DA6FFE" w:rsidRPr="00DA6FFE">
        <w:rPr>
          <w:rFonts w:ascii="Times New Roman" w:hAnsi="Times New Roman" w:cs="Times New Roman"/>
          <w:bCs/>
          <w:color w:val="000000" w:themeColor="text1"/>
          <w:sz w:val="24"/>
          <w:szCs w:val="24"/>
        </w:rPr>
        <w:t xml:space="preserve">. </w:t>
      </w:r>
      <w:r w:rsidR="00DA6FFE" w:rsidRPr="00995FE9">
        <w:rPr>
          <w:rFonts w:ascii="Times New Roman" w:eastAsia="Times New Roman" w:hAnsi="Times New Roman" w:cs="Times New Roman"/>
          <w:i/>
          <w:color w:val="000000" w:themeColor="text1"/>
          <w:sz w:val="24"/>
          <w:szCs w:val="24"/>
        </w:rPr>
        <w:t>Corporate Governance</w:t>
      </w:r>
      <w:r w:rsidR="00DA6FFE" w:rsidRPr="00DA6FFE">
        <w:rPr>
          <w:rFonts w:ascii="Times New Roman" w:hAnsi="Times New Roman" w:cs="Times New Roman"/>
          <w:i/>
          <w:color w:val="000000" w:themeColor="text1"/>
          <w:sz w:val="24"/>
          <w:szCs w:val="24"/>
        </w:rPr>
        <w:t>,</w:t>
      </w:r>
      <w:r w:rsidR="00DA6FFE" w:rsidRPr="00995FE9">
        <w:rPr>
          <w:rFonts w:ascii="Times New Roman" w:eastAsia="Times New Roman" w:hAnsi="Times New Roman" w:cs="Times New Roman"/>
          <w:i/>
          <w:color w:val="000000" w:themeColor="text1"/>
          <w:sz w:val="24"/>
          <w:szCs w:val="24"/>
        </w:rPr>
        <w:t xml:space="preserve"> 24</w:t>
      </w:r>
      <w:r w:rsidR="00DA6FFE" w:rsidRPr="00995FE9">
        <w:rPr>
          <w:rFonts w:ascii="Times New Roman" w:eastAsia="Times New Roman" w:hAnsi="Times New Roman" w:cs="Times New Roman"/>
          <w:color w:val="000000" w:themeColor="text1"/>
          <w:sz w:val="24"/>
          <w:szCs w:val="24"/>
        </w:rPr>
        <w:t>(3)</w:t>
      </w:r>
      <w:r w:rsidR="00DA6FFE" w:rsidRPr="00DA6FFE">
        <w:rPr>
          <w:rFonts w:ascii="Times New Roman" w:hAnsi="Times New Roman" w:cs="Times New Roman"/>
          <w:color w:val="000000" w:themeColor="text1"/>
          <w:sz w:val="24"/>
          <w:szCs w:val="24"/>
        </w:rPr>
        <w:t>, 1-11.</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Ahmed, D., &amp; Yahaya, O. A. (2024). Institutional and board ownership and corporate financial performance in Nigeria. </w:t>
      </w:r>
      <w:r w:rsidRPr="00C43AF5">
        <w:rPr>
          <w:rFonts w:ascii="Times New Roman" w:hAnsi="Times New Roman" w:cs="Times New Roman"/>
          <w:i/>
          <w:sz w:val="24"/>
          <w:szCs w:val="24"/>
        </w:rPr>
        <w:t>Advances in Business Research</w:t>
      </w:r>
      <w:r w:rsidRPr="00C43AF5">
        <w:rPr>
          <w:rFonts w:ascii="Times New Roman" w:hAnsi="Times New Roman" w:cs="Times New Roman"/>
          <w:sz w:val="24"/>
          <w:szCs w:val="24"/>
        </w:rPr>
        <w:t>, 14, 111-132.</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Apalowowa, O. D., Olofintuyi, A. T., Apeko, T. E, &amp; Falusi, I. E. (2023). Audit quality control and financial performance of deposit money banks in Ekiti State, Nigeria. </w:t>
      </w:r>
      <w:r w:rsidRPr="00C43AF5">
        <w:rPr>
          <w:rFonts w:ascii="Times New Roman" w:hAnsi="Times New Roman" w:cs="Times New Roman"/>
          <w:i/>
          <w:sz w:val="24"/>
          <w:szCs w:val="24"/>
        </w:rPr>
        <w:t>International Journal of Innovative Science and Research Technology, 8</w:t>
      </w:r>
      <w:r w:rsidRPr="00C43AF5">
        <w:rPr>
          <w:rFonts w:ascii="Times New Roman" w:hAnsi="Times New Roman" w:cs="Times New Roman"/>
          <w:sz w:val="24"/>
          <w:szCs w:val="24"/>
        </w:rPr>
        <w:t>(4), 1372-1378.</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Convery, A. M., Kaufman, M., &amp; Warfield, T. D. (2022). Stakeholder Engagement and Effective Standard Setting. </w:t>
      </w:r>
      <w:r w:rsidRPr="00C43AF5">
        <w:rPr>
          <w:rFonts w:ascii="Times New Roman" w:hAnsi="Times New Roman" w:cs="Times New Roman"/>
          <w:i/>
          <w:sz w:val="24"/>
          <w:szCs w:val="24"/>
        </w:rPr>
        <w:t>Accounting Horizons, 36</w:t>
      </w:r>
      <w:r w:rsidRPr="00C43AF5">
        <w:rPr>
          <w:rFonts w:ascii="Times New Roman" w:hAnsi="Times New Roman" w:cs="Times New Roman"/>
          <w:sz w:val="24"/>
          <w:szCs w:val="24"/>
        </w:rPr>
        <w:t>(2), 47-69.</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Dewi, M. S. (2023). Integrating corporate governance practices into new financing projects and executive pay structures. </w:t>
      </w:r>
      <w:r w:rsidRPr="00C43AF5">
        <w:rPr>
          <w:rFonts w:ascii="Times New Roman" w:hAnsi="Times New Roman" w:cs="Times New Roman"/>
          <w:i/>
          <w:sz w:val="24"/>
          <w:szCs w:val="24"/>
        </w:rPr>
        <w:t>Advances in Management &amp; Financial Reporting Research, 1</w:t>
      </w:r>
      <w:r w:rsidRPr="00C43AF5">
        <w:rPr>
          <w:rFonts w:ascii="Times New Roman" w:hAnsi="Times New Roman" w:cs="Times New Roman"/>
          <w:sz w:val="24"/>
          <w:szCs w:val="24"/>
        </w:rPr>
        <w:t xml:space="preserve">(3), 145-156. DOI: </w:t>
      </w:r>
      <w:hyperlink r:id="rId9" w:history="1">
        <w:r w:rsidRPr="00C43AF5">
          <w:rPr>
            <w:rStyle w:val="Hyperlink"/>
            <w:rFonts w:ascii="Times New Roman" w:hAnsi="Times New Roman" w:cs="Times New Roman"/>
            <w:sz w:val="24"/>
            <w:szCs w:val="24"/>
          </w:rPr>
          <w:t>https://doi.org/10.60079/amfr.v1i3.237</w:t>
        </w:r>
      </w:hyperlink>
      <w:r w:rsidRPr="00C43AF5">
        <w:rPr>
          <w:rFonts w:ascii="Times New Roman" w:hAnsi="Times New Roman" w:cs="Times New Roman"/>
          <w:sz w:val="24"/>
          <w:szCs w:val="24"/>
        </w:rPr>
        <w:t>.</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Dillard, J. (2024). Accountability-based participatory corporate governance and corporate social responsibility. In M. Magnan &amp; G. Michelon (Eds.), Handbook on corporate governance and corporate social responsibility (pp. 371-383). Edward Elgar Publishing. </w:t>
      </w:r>
      <w:hyperlink r:id="rId10" w:history="1">
        <w:r w:rsidRPr="00C43AF5">
          <w:rPr>
            <w:rStyle w:val="Hyperlink"/>
            <w:rFonts w:ascii="Times New Roman" w:hAnsi="Times New Roman" w:cs="Times New Roman"/>
            <w:color w:val="auto"/>
            <w:sz w:val="24"/>
            <w:szCs w:val="24"/>
          </w:rPr>
          <w:t>https://doi.org/10.4337/9781802208771.00039</w:t>
        </w:r>
      </w:hyperlink>
      <w:r w:rsidRPr="00C43AF5">
        <w:rPr>
          <w:rFonts w:ascii="Times New Roman" w:hAnsi="Times New Roman" w:cs="Times New Roman"/>
          <w:sz w:val="24"/>
          <w:szCs w:val="24"/>
        </w:rPr>
        <w:t>.</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Endo, K., (2020). Corporate governance beyond the shareholder stakeholder dichotomy: Lessons from Japanese corporations' environmental performance. </w:t>
      </w:r>
      <w:r w:rsidRPr="00C43AF5">
        <w:rPr>
          <w:rFonts w:ascii="Times New Roman" w:hAnsi="Times New Roman" w:cs="Times New Roman"/>
          <w:i/>
          <w:sz w:val="24"/>
          <w:szCs w:val="24"/>
        </w:rPr>
        <w:t>Business Strategy and the Environment, 29</w:t>
      </w:r>
      <w:r w:rsidRPr="00C43AF5">
        <w:rPr>
          <w:rFonts w:ascii="Times New Roman" w:hAnsi="Times New Roman" w:cs="Times New Roman"/>
          <w:sz w:val="24"/>
          <w:szCs w:val="24"/>
        </w:rPr>
        <w:t>(4), 1625-1633.</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lastRenderedPageBreak/>
        <w:t xml:space="preserve">Fabian, A. A., Uchechukwu, E. S., Okoye, C. C., &amp; Okeke, N. M. (2023). Corporate outsourcing and organizational performance in Nigerian investment banks. </w:t>
      </w:r>
      <w:r w:rsidRPr="00C43AF5">
        <w:rPr>
          <w:rFonts w:ascii="Times New Roman" w:hAnsi="Times New Roman" w:cs="Times New Roman"/>
          <w:i/>
          <w:sz w:val="24"/>
          <w:szCs w:val="24"/>
        </w:rPr>
        <w:t>School Journal of Economics, Business Management, 10</w:t>
      </w:r>
      <w:r w:rsidRPr="00C43AF5">
        <w:rPr>
          <w:rFonts w:ascii="Times New Roman" w:hAnsi="Times New Roman" w:cs="Times New Roman"/>
          <w:sz w:val="24"/>
          <w:szCs w:val="24"/>
        </w:rPr>
        <w:t>(3), 46-57.</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Fayad, A. A. S., Ariff, A. H. B. M., &amp; Sue Chern Ooi (2022). Dose board characteristics influence integrated reporting quality? Empirical evidence from an emerging market. </w:t>
      </w:r>
      <w:r w:rsidRPr="00C43AF5">
        <w:rPr>
          <w:rFonts w:ascii="Times New Roman" w:hAnsi="Times New Roman" w:cs="Times New Roman"/>
          <w:i/>
          <w:sz w:val="24"/>
          <w:szCs w:val="24"/>
        </w:rPr>
        <w:t>Cogent Economics &amp; Finance,</w:t>
      </w:r>
      <w:r w:rsidRPr="00C43AF5">
        <w:rPr>
          <w:rFonts w:ascii="Times New Roman" w:hAnsi="Times New Roman" w:cs="Times New Roman"/>
          <w:sz w:val="24"/>
          <w:szCs w:val="24"/>
        </w:rPr>
        <w:t xml:space="preserve"> 10, 2140907.</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Groenewald, L. (2020). Whistleblowing management handbook. Ethics Institute, Pretoria, available at: www.tei.org. za/wp-content/uploads/2020/09/Whistleblowing-Management-Handbook</w:t>
      </w:r>
      <w:r w:rsidRPr="00C43AF5">
        <w:rPr>
          <w:rFonts w:ascii="Times New Roman" w:hAnsi="Times New Roman" w:cs="Times New Roman"/>
          <w:sz w:val="24"/>
          <w:szCs w:val="24"/>
        </w:rPr>
        <w:softHyphen/>
        <w:t>_Final-for-Web-. pdf (accessed 28 February 2022).</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Ilugbusi, S., Akindejoye, J. A., Ajala, R. B., &amp; Ogundele, A. (2020). Financial liberalization and economic growth in Nigeria (1986-2018). </w:t>
      </w:r>
      <w:r w:rsidRPr="00C43AF5">
        <w:rPr>
          <w:rFonts w:ascii="Times New Roman" w:hAnsi="Times New Roman" w:cs="Times New Roman"/>
          <w:i/>
          <w:sz w:val="24"/>
          <w:szCs w:val="24"/>
        </w:rPr>
        <w:t>International Journal of Innovative Science and Research Technology, 5</w:t>
      </w:r>
      <w:r w:rsidRPr="00C43AF5">
        <w:rPr>
          <w:rFonts w:ascii="Times New Roman" w:hAnsi="Times New Roman" w:cs="Times New Roman"/>
          <w:sz w:val="24"/>
          <w:szCs w:val="24"/>
        </w:rPr>
        <w:t>(4), 1-9.</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Lawal, R., &amp; Yahaya, O. A. (2024). The impact of corporate governance in integrated reporting. </w:t>
      </w:r>
      <w:r w:rsidRPr="00C43AF5">
        <w:rPr>
          <w:rFonts w:ascii="Times New Roman" w:hAnsi="Times New Roman" w:cs="Times New Roman"/>
          <w:i/>
          <w:sz w:val="24"/>
          <w:szCs w:val="24"/>
        </w:rPr>
        <w:t>Management Decision, 61</w:t>
      </w:r>
      <w:r w:rsidRPr="00C43AF5">
        <w:rPr>
          <w:rFonts w:ascii="Times New Roman" w:hAnsi="Times New Roman" w:cs="Times New Roman"/>
          <w:sz w:val="24"/>
          <w:szCs w:val="24"/>
        </w:rPr>
        <w:t>(1), 370-392.</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Liu, X., Shi, J., &amp; Wei, Z. (2024). Corporate governance, executive compensation, and firm financing decisions: Evidence from Chinese listed companies. </w:t>
      </w:r>
      <w:r w:rsidRPr="00C43AF5">
        <w:rPr>
          <w:rFonts w:ascii="Times New Roman" w:hAnsi="Times New Roman" w:cs="Times New Roman"/>
          <w:i/>
          <w:sz w:val="24"/>
          <w:szCs w:val="24"/>
        </w:rPr>
        <w:t xml:space="preserve">Journal of Corporate Finance, </w:t>
      </w:r>
      <w:r w:rsidRPr="00C43AF5">
        <w:rPr>
          <w:rFonts w:ascii="Times New Roman" w:hAnsi="Times New Roman" w:cs="Times New Roman"/>
          <w:sz w:val="24"/>
          <w:szCs w:val="24"/>
        </w:rPr>
        <w:t xml:space="preserve">70, 101874. </w:t>
      </w:r>
      <w:hyperlink r:id="rId11" w:history="1">
        <w:r w:rsidRPr="00C43AF5">
          <w:rPr>
            <w:rStyle w:val="Hyperlink"/>
            <w:rFonts w:ascii="Times New Roman" w:hAnsi="Times New Roman" w:cs="Times New Roman"/>
            <w:color w:val="auto"/>
            <w:sz w:val="24"/>
            <w:szCs w:val="24"/>
          </w:rPr>
          <w:t>https://doi.org/10.1016/j.jcorpfin.2021.101874</w:t>
        </w:r>
      </w:hyperlink>
      <w:r w:rsidRPr="00C43AF5">
        <w:rPr>
          <w:rFonts w:ascii="Times New Roman" w:hAnsi="Times New Roman" w:cs="Times New Roman"/>
          <w:sz w:val="24"/>
          <w:szCs w:val="24"/>
        </w:rPr>
        <w:t>.</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Loperte, S. (2024). An environmental participatory governance (EPG) model for the ecological transition: The case of the Basilicata region. </w:t>
      </w:r>
      <w:r w:rsidRPr="00C43AF5">
        <w:rPr>
          <w:rFonts w:ascii="Times New Roman" w:hAnsi="Times New Roman" w:cs="Times New Roman"/>
          <w:i/>
          <w:sz w:val="24"/>
          <w:szCs w:val="24"/>
        </w:rPr>
        <w:t>Sustainability, 16</w:t>
      </w:r>
      <w:r w:rsidRPr="00C43AF5">
        <w:rPr>
          <w:rFonts w:ascii="Times New Roman" w:hAnsi="Times New Roman" w:cs="Times New Roman"/>
          <w:sz w:val="24"/>
          <w:szCs w:val="24"/>
        </w:rPr>
        <w:t xml:space="preserve">(2), Article 674. </w:t>
      </w:r>
      <w:hyperlink r:id="rId12" w:history="1">
        <w:r w:rsidRPr="00C43AF5">
          <w:rPr>
            <w:rStyle w:val="Hyperlink"/>
            <w:rFonts w:ascii="Times New Roman" w:hAnsi="Times New Roman" w:cs="Times New Roman"/>
            <w:color w:val="auto"/>
            <w:sz w:val="24"/>
            <w:szCs w:val="24"/>
          </w:rPr>
          <w:t>https://doi.org/10.3390/su16020674</w:t>
        </w:r>
      </w:hyperlink>
      <w:r w:rsidRPr="00C43AF5">
        <w:rPr>
          <w:rFonts w:ascii="Times New Roman" w:hAnsi="Times New Roman" w:cs="Times New Roman"/>
          <w:sz w:val="24"/>
          <w:szCs w:val="24"/>
        </w:rPr>
        <w:t>.</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Nakpodia, F., &amp; Olan, F. (2022). Corporate governance reform in Nigeria: upstream and downstream interventions. Corporate Governance: </w:t>
      </w:r>
      <w:r w:rsidRPr="00C43AF5">
        <w:rPr>
          <w:rFonts w:ascii="Times New Roman" w:hAnsi="Times New Roman" w:cs="Times New Roman"/>
          <w:i/>
          <w:sz w:val="24"/>
          <w:szCs w:val="24"/>
        </w:rPr>
        <w:t>The International Journal of Business in Society, 22</w:t>
      </w:r>
      <w:r w:rsidRPr="00C43AF5">
        <w:rPr>
          <w:rFonts w:ascii="Times New Roman" w:hAnsi="Times New Roman" w:cs="Times New Roman"/>
          <w:sz w:val="24"/>
          <w:szCs w:val="24"/>
        </w:rPr>
        <w:t>(5), 979-1003.</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Noor, M., Norita, A. R., Abdul Rashid, M. A., Muhammad, F. M., &amp; Abas, I. H. (2022). Ranking of corporate governance dimensions: A Delphi study. </w:t>
      </w:r>
      <w:r w:rsidRPr="00C43AF5">
        <w:rPr>
          <w:rFonts w:ascii="Times New Roman" w:hAnsi="Times New Roman" w:cs="Times New Roman"/>
          <w:i/>
          <w:sz w:val="24"/>
          <w:szCs w:val="24"/>
        </w:rPr>
        <w:t>Administrative Sciences, 12</w:t>
      </w:r>
      <w:r w:rsidRPr="00C43AF5">
        <w:rPr>
          <w:rFonts w:ascii="Times New Roman" w:hAnsi="Times New Roman" w:cs="Times New Roman"/>
          <w:sz w:val="24"/>
          <w:szCs w:val="24"/>
        </w:rPr>
        <w:t>, 173. https://doi.org/10.3390/ admsci12040173.</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Olutimehin, D. O., Ofodile, O. C., Ugochukwu, C. E., &amp; Nwankwo, E. E. (2024). Corporate governance and stakeholder engagement in Nigerian enterprises: A review of current practices and future directions. </w:t>
      </w:r>
      <w:r w:rsidRPr="00C43AF5">
        <w:rPr>
          <w:rFonts w:ascii="Times New Roman" w:hAnsi="Times New Roman" w:cs="Times New Roman"/>
          <w:i/>
          <w:sz w:val="24"/>
          <w:szCs w:val="24"/>
        </w:rPr>
        <w:t>World Journal of Advanced Research and Reviews, 21</w:t>
      </w:r>
      <w:r w:rsidRPr="00C43AF5">
        <w:rPr>
          <w:rFonts w:ascii="Times New Roman" w:hAnsi="Times New Roman" w:cs="Times New Roman"/>
          <w:sz w:val="24"/>
          <w:szCs w:val="24"/>
        </w:rPr>
        <w:t>(03), 736-742.</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Osemene, O. F., Adinnu, P., Fagbemi, T. O., &amp;Olowookere, J. K. (2021). Corporate governance and environmental accounting reporting in selected quoted African companies. </w:t>
      </w:r>
      <w:r w:rsidRPr="00C43AF5">
        <w:rPr>
          <w:rFonts w:ascii="Times New Roman" w:hAnsi="Times New Roman" w:cs="Times New Roman"/>
          <w:i/>
          <w:sz w:val="24"/>
          <w:szCs w:val="24"/>
        </w:rPr>
        <w:t>Global Business Review</w:t>
      </w:r>
      <w:r w:rsidRPr="00C43AF5">
        <w:rPr>
          <w:rFonts w:ascii="Times New Roman" w:hAnsi="Times New Roman" w:cs="Times New Roman"/>
          <w:sz w:val="24"/>
          <w:szCs w:val="24"/>
        </w:rPr>
        <w:t>, p.09721509211010989.</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Ozili, P. K. (2020). Corporate governance research in Nigeria: A review. </w:t>
      </w:r>
      <w:r w:rsidRPr="00C43AF5">
        <w:rPr>
          <w:rFonts w:ascii="Times New Roman" w:hAnsi="Times New Roman" w:cs="Times New Roman"/>
          <w:i/>
          <w:sz w:val="24"/>
          <w:szCs w:val="24"/>
        </w:rPr>
        <w:t>SN Business &amp; Economics, 1</w:t>
      </w:r>
      <w:r w:rsidRPr="00C43AF5">
        <w:rPr>
          <w:rFonts w:ascii="Times New Roman" w:hAnsi="Times New Roman" w:cs="Times New Roman"/>
          <w:sz w:val="24"/>
          <w:szCs w:val="24"/>
        </w:rPr>
        <w:t>(1), 17-29.</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Pantić, M., Cilliers, J., Cimadomo, G., Montaño, F., Olufemi, O., Torres Mallma, S., &amp; Van den Berg, J. (2021). Challenges and opportunities for public participation in urban and regional planning during the COVID-19 pandemic. </w:t>
      </w:r>
      <w:r w:rsidRPr="00C43AF5">
        <w:rPr>
          <w:rFonts w:ascii="Times New Roman" w:hAnsi="Times New Roman" w:cs="Times New Roman"/>
          <w:i/>
          <w:sz w:val="24"/>
          <w:szCs w:val="24"/>
        </w:rPr>
        <w:t>Lessons learned for the future. Land, 10</w:t>
      </w:r>
      <w:r w:rsidRPr="00C43AF5">
        <w:rPr>
          <w:rFonts w:ascii="Times New Roman" w:hAnsi="Times New Roman" w:cs="Times New Roman"/>
          <w:sz w:val="24"/>
          <w:szCs w:val="24"/>
        </w:rPr>
        <w:t>(12), 1379.</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Qaderi, S. A., Ghaleb, B. A. A., Hashed, A. A., Chandren, S., &amp; Abdullah, Z. (2022). Board characteristics and integrated reporting strategy: Does sustainability committee matter? </w:t>
      </w:r>
      <w:r w:rsidRPr="00C43AF5">
        <w:rPr>
          <w:rFonts w:ascii="Times New Roman" w:hAnsi="Times New Roman" w:cs="Times New Roman"/>
          <w:i/>
          <w:sz w:val="24"/>
          <w:szCs w:val="24"/>
        </w:rPr>
        <w:t>Sustainability, 14</w:t>
      </w:r>
      <w:r w:rsidRPr="00C43AF5">
        <w:rPr>
          <w:rFonts w:ascii="Times New Roman" w:hAnsi="Times New Roman" w:cs="Times New Roman"/>
          <w:sz w:val="24"/>
          <w:szCs w:val="24"/>
        </w:rPr>
        <w:t>(10), 6092.</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Shneiderman, B. (2020). Bridging the gap between ethics and practice: guidelines for reliable, safe, and trustworthy human-centered AI systems. </w:t>
      </w:r>
      <w:r w:rsidRPr="00C43AF5">
        <w:rPr>
          <w:rFonts w:ascii="Times New Roman" w:hAnsi="Times New Roman" w:cs="Times New Roman"/>
          <w:i/>
          <w:sz w:val="24"/>
          <w:szCs w:val="24"/>
        </w:rPr>
        <w:t>ACM Transactions on Interactive Intelligent Systems (TIIS), 10</w:t>
      </w:r>
      <w:r w:rsidRPr="00C43AF5">
        <w:rPr>
          <w:rFonts w:ascii="Times New Roman" w:hAnsi="Times New Roman" w:cs="Times New Roman"/>
          <w:sz w:val="24"/>
          <w:szCs w:val="24"/>
        </w:rPr>
        <w:t>(4), 1- 31.</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lastRenderedPageBreak/>
        <w:t xml:space="preserve">Sinervo, L.-M., Bartocci, L., Lehtonen, P., &amp;Ebdon, C. (2024). Toward sustainable governance with participatory budgeting. </w:t>
      </w:r>
      <w:r w:rsidRPr="00C43AF5">
        <w:rPr>
          <w:rFonts w:ascii="Times New Roman" w:hAnsi="Times New Roman" w:cs="Times New Roman"/>
          <w:i/>
          <w:sz w:val="24"/>
          <w:szCs w:val="24"/>
        </w:rPr>
        <w:t>Journal of Public Budgeting, Accounting &amp; Financial Management, 36</w:t>
      </w:r>
      <w:r w:rsidRPr="00C43AF5">
        <w:rPr>
          <w:rFonts w:ascii="Times New Roman" w:hAnsi="Times New Roman" w:cs="Times New Roman"/>
          <w:sz w:val="24"/>
          <w:szCs w:val="24"/>
        </w:rPr>
        <w:t xml:space="preserve">(1), 1-19. </w:t>
      </w:r>
      <w:hyperlink r:id="rId13" w:history="1">
        <w:r w:rsidRPr="00C43AF5">
          <w:rPr>
            <w:rStyle w:val="Hyperlink"/>
            <w:rFonts w:ascii="Times New Roman" w:hAnsi="Times New Roman" w:cs="Times New Roman"/>
            <w:color w:val="auto"/>
            <w:sz w:val="24"/>
            <w:szCs w:val="24"/>
          </w:rPr>
          <w:t>https://doi.org/10.1108/JPBAFM-11-2023-0205</w:t>
        </w:r>
      </w:hyperlink>
      <w:r w:rsidRPr="00C43AF5">
        <w:rPr>
          <w:rFonts w:ascii="Times New Roman" w:hAnsi="Times New Roman" w:cs="Times New Roman"/>
          <w:sz w:val="24"/>
          <w:szCs w:val="24"/>
        </w:rPr>
        <w:t>.</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Solomon, J. (2020). Corporate governance and accountability. John Wiley &amp; Sons.</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Song, B. (2024). The impacts of board diversity on CSR performance based on the UK Corporate Governance Code 202. </w:t>
      </w:r>
      <w:r w:rsidRPr="00C43AF5">
        <w:rPr>
          <w:rFonts w:ascii="Times New Roman" w:hAnsi="Times New Roman" w:cs="Times New Roman"/>
          <w:i/>
          <w:sz w:val="24"/>
          <w:szCs w:val="24"/>
        </w:rPr>
        <w:t>Journal of Global Economy, Business and Finance (JGEBF), 6</w:t>
      </w:r>
      <w:r w:rsidRPr="00C43AF5">
        <w:rPr>
          <w:rFonts w:ascii="Times New Roman" w:hAnsi="Times New Roman" w:cs="Times New Roman"/>
          <w:sz w:val="24"/>
          <w:szCs w:val="24"/>
        </w:rPr>
        <w:t>(6), 11-20.</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Uchechukwu, E. S., Amechi, A. F., Okoye, C. C., &amp; Okeke, N. M. (2023). Youth Unemployment and Security Challenges in Anambra State, Nigeria. </w:t>
      </w:r>
      <w:r w:rsidRPr="00C43AF5">
        <w:rPr>
          <w:rFonts w:ascii="Times New Roman" w:hAnsi="Times New Roman" w:cs="Times New Roman"/>
          <w:i/>
          <w:sz w:val="24"/>
          <w:szCs w:val="24"/>
        </w:rPr>
        <w:t>School Journal of Arts, Humanity and Social Sciences,</w:t>
      </w:r>
      <w:r w:rsidRPr="00C43AF5">
        <w:rPr>
          <w:rFonts w:ascii="Times New Roman" w:hAnsi="Times New Roman" w:cs="Times New Roman"/>
          <w:sz w:val="24"/>
          <w:szCs w:val="24"/>
        </w:rPr>
        <w:t xml:space="preserve"> 4, 81-91.</w:t>
      </w:r>
    </w:p>
    <w:p w:rsidR="00F0314D"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Ukoba, K., &amp; Jen, T. C. (2023). Thin films, atomic layer deposition, and 3D printing: Demystifying the concepts and their relevance in industry 4.0. CRC Press. </w:t>
      </w:r>
      <w:hyperlink r:id="rId14" w:history="1">
        <w:r w:rsidRPr="00C43AF5">
          <w:rPr>
            <w:rStyle w:val="Hyperlink"/>
            <w:rFonts w:ascii="Times New Roman" w:hAnsi="Times New Roman" w:cs="Times New Roman"/>
            <w:color w:val="auto"/>
            <w:sz w:val="24"/>
            <w:szCs w:val="24"/>
          </w:rPr>
          <w:t>www.emeraldgrouppublishing.com/licensing/reprints.htm</w:t>
        </w:r>
      </w:hyperlink>
      <w:r w:rsidRPr="00C43AF5">
        <w:rPr>
          <w:rFonts w:ascii="Times New Roman" w:hAnsi="Times New Roman" w:cs="Times New Roman"/>
          <w:sz w:val="24"/>
          <w:szCs w:val="24"/>
        </w:rPr>
        <w:t>.</w:t>
      </w:r>
    </w:p>
    <w:p w:rsidR="00113A00" w:rsidRPr="00C43AF5" w:rsidRDefault="00F0314D" w:rsidP="00357602">
      <w:pPr>
        <w:spacing w:after="0" w:line="240" w:lineRule="auto"/>
        <w:ind w:left="720" w:hanging="720"/>
        <w:jc w:val="both"/>
        <w:rPr>
          <w:rFonts w:ascii="Times New Roman" w:hAnsi="Times New Roman" w:cs="Times New Roman"/>
          <w:sz w:val="24"/>
          <w:szCs w:val="24"/>
        </w:rPr>
      </w:pPr>
      <w:r w:rsidRPr="00C43AF5">
        <w:rPr>
          <w:rFonts w:ascii="Times New Roman" w:hAnsi="Times New Roman" w:cs="Times New Roman"/>
          <w:sz w:val="24"/>
          <w:szCs w:val="24"/>
        </w:rPr>
        <w:t xml:space="preserve">Zouari, G., &amp;Dhifi, K. (2022). The impact of ownership structure on integrated reporting in European firms. Corporate Communications: </w:t>
      </w:r>
      <w:r w:rsidRPr="00C43AF5">
        <w:rPr>
          <w:rFonts w:ascii="Times New Roman" w:hAnsi="Times New Roman" w:cs="Times New Roman"/>
          <w:i/>
          <w:sz w:val="24"/>
          <w:szCs w:val="24"/>
        </w:rPr>
        <w:t>An International Journal, 27</w:t>
      </w:r>
      <w:r w:rsidRPr="00C43AF5">
        <w:rPr>
          <w:rFonts w:ascii="Times New Roman" w:hAnsi="Times New Roman" w:cs="Times New Roman"/>
          <w:sz w:val="24"/>
          <w:szCs w:val="24"/>
        </w:rPr>
        <w:t>(3), 527-542.</w:t>
      </w:r>
    </w:p>
    <w:sectPr w:rsidR="00113A00" w:rsidRPr="00C43AF5" w:rsidSect="00A95BA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OKO MFB" w:date="2025-02-27T12:11:00Z" w:initials="OM">
    <w:p w:rsidR="006F1D34" w:rsidRDefault="006F1D34">
      <w:pPr>
        <w:pStyle w:val="CommentText"/>
      </w:pPr>
      <w:r>
        <w:rPr>
          <w:rStyle w:val="CommentReference"/>
        </w:rPr>
        <w:annotationRef/>
      </w:r>
      <w:r>
        <w:t>Repeatition, kindly remove</w:t>
      </w:r>
    </w:p>
  </w:comment>
  <w:comment w:id="2" w:author="OKO MFB" w:date="2025-02-27T12:17:00Z" w:initials="OM">
    <w:p w:rsidR="006F1D34" w:rsidRDefault="006F1D34">
      <w:pPr>
        <w:pStyle w:val="CommentText"/>
      </w:pPr>
      <w:r>
        <w:rPr>
          <w:rStyle w:val="CommentReference"/>
        </w:rPr>
        <w:annotationRef/>
      </w:r>
      <w:r>
        <w:t>On first citation, all authors must be mentioned</w:t>
      </w:r>
    </w:p>
  </w:comment>
  <w:comment w:id="3" w:author="OKO MFB" w:date="2025-02-27T12:26:00Z" w:initials="OM">
    <w:p w:rsidR="0067709A" w:rsidRDefault="0067709A">
      <w:pPr>
        <w:pStyle w:val="CommentText"/>
      </w:pPr>
      <w:r>
        <w:rPr>
          <w:rStyle w:val="CommentReference"/>
        </w:rPr>
        <w:annotationRef/>
      </w:r>
      <w:r>
        <w:t>Provide your source for this assertion</w:t>
      </w:r>
    </w:p>
  </w:comment>
  <w:comment w:id="4" w:author="OKO MFB" w:date="2025-02-27T12:29:00Z" w:initials="OM">
    <w:p w:rsidR="0067709A" w:rsidRDefault="0067709A">
      <w:pPr>
        <w:pStyle w:val="CommentText"/>
      </w:pPr>
      <w:r>
        <w:rPr>
          <w:rStyle w:val="CommentReference"/>
        </w:rPr>
        <w:annotationRef/>
      </w:r>
      <w:r>
        <w:t>Mention co authors</w:t>
      </w:r>
    </w:p>
  </w:comment>
  <w:comment w:id="5" w:author="OKO MFB" w:date="2025-02-27T12:30:00Z" w:initials="OM">
    <w:p w:rsidR="0067709A" w:rsidRDefault="0067709A">
      <w:pPr>
        <w:pStyle w:val="CommentText"/>
      </w:pPr>
      <w:r>
        <w:rPr>
          <w:rStyle w:val="CommentReference"/>
        </w:rPr>
        <w:annotationRef/>
      </w:r>
      <w:r>
        <w:t>Insert a space here</w:t>
      </w:r>
    </w:p>
  </w:comment>
  <w:comment w:id="6" w:author="OKO MFB" w:date="2025-02-27T12:30:00Z" w:initials="OM">
    <w:p w:rsidR="0067709A" w:rsidRDefault="0067709A">
      <w:pPr>
        <w:pStyle w:val="CommentText"/>
      </w:pPr>
      <w:r>
        <w:rPr>
          <w:rStyle w:val="CommentReference"/>
        </w:rPr>
        <w:annotationRef/>
      </w:r>
      <w:r>
        <w:t>Insert a space here</w:t>
      </w:r>
    </w:p>
  </w:comment>
  <w:comment w:id="7" w:author="OKO MFB" w:date="2025-02-27T12:31:00Z" w:initials="OM">
    <w:p w:rsidR="002A48DC" w:rsidRDefault="002A48DC">
      <w:pPr>
        <w:pStyle w:val="CommentText"/>
      </w:pPr>
      <w:r>
        <w:rPr>
          <w:rStyle w:val="CommentReference"/>
        </w:rPr>
        <w:annotationRef/>
      </w:r>
      <w:r>
        <w:t>Mention co authors</w:t>
      </w:r>
    </w:p>
  </w:comment>
  <w:comment w:id="8" w:author="OKO MFB" w:date="2025-02-27T12:31:00Z" w:initials="OM">
    <w:p w:rsidR="002A48DC" w:rsidRDefault="002A48DC">
      <w:pPr>
        <w:pStyle w:val="CommentText"/>
      </w:pPr>
      <w:r>
        <w:rPr>
          <w:rStyle w:val="CommentReference"/>
        </w:rPr>
        <w:annotationRef/>
      </w:r>
      <w:r>
        <w:t>Mention co authors</w:t>
      </w:r>
    </w:p>
  </w:comment>
  <w:comment w:id="9" w:author="OKO MFB" w:date="2025-02-27T12:33:00Z" w:initials="OM">
    <w:p w:rsidR="002A48DC" w:rsidRDefault="002A48DC">
      <w:pPr>
        <w:pStyle w:val="CommentText"/>
      </w:pPr>
      <w:r>
        <w:rPr>
          <w:rStyle w:val="CommentReference"/>
        </w:rPr>
        <w:annotationRef/>
      </w:r>
      <w:r>
        <w:t>Use another word in place of independent</w:t>
      </w:r>
    </w:p>
  </w:comment>
  <w:comment w:id="10" w:author="OKO MFB" w:date="2025-02-27T12:33:00Z" w:initials="OM">
    <w:p w:rsidR="002A48DC" w:rsidRDefault="002A48DC">
      <w:pPr>
        <w:pStyle w:val="CommentText"/>
      </w:pPr>
      <w:r>
        <w:rPr>
          <w:rStyle w:val="CommentReference"/>
        </w:rPr>
        <w:annotationRef/>
      </w:r>
      <w:r>
        <w:t>Mention co authors</w:t>
      </w:r>
    </w:p>
  </w:comment>
  <w:comment w:id="11" w:author="OKO MFB" w:date="2025-02-27T12:34:00Z" w:initials="OM">
    <w:p w:rsidR="002A48DC" w:rsidRDefault="002A48DC">
      <w:pPr>
        <w:pStyle w:val="CommentText"/>
      </w:pPr>
      <w:r>
        <w:rPr>
          <w:rStyle w:val="CommentReference"/>
        </w:rPr>
        <w:annotationRef/>
      </w:r>
      <w:r>
        <w:t>Use ‘’the’’ to replace the ‘’a’’</w:t>
      </w:r>
    </w:p>
  </w:comment>
  <w:comment w:id="12" w:author="OKO MFB" w:date="2025-02-27T12:35:00Z" w:initials="OM">
    <w:p w:rsidR="000B4373" w:rsidRDefault="000B4373">
      <w:pPr>
        <w:pStyle w:val="CommentText"/>
      </w:pPr>
      <w:r>
        <w:rPr>
          <w:rStyle w:val="CommentReference"/>
        </w:rPr>
        <w:annotationRef/>
      </w:r>
      <w:r>
        <w:t>Mention co authors</w:t>
      </w:r>
    </w:p>
  </w:comment>
  <w:comment w:id="13" w:author="OKO MFB" w:date="2025-02-27T12:36:00Z" w:initials="OM">
    <w:p w:rsidR="000B4373" w:rsidRDefault="000B4373">
      <w:pPr>
        <w:pStyle w:val="CommentText"/>
      </w:pPr>
      <w:r>
        <w:rPr>
          <w:rStyle w:val="CommentReference"/>
        </w:rPr>
        <w:annotationRef/>
      </w:r>
      <w:r>
        <w:t>Mention co authors</w:t>
      </w:r>
    </w:p>
  </w:comment>
  <w:comment w:id="14" w:author="OKO MFB" w:date="2025-02-27T12:37:00Z" w:initials="OM">
    <w:p w:rsidR="000B4373" w:rsidRDefault="000B4373">
      <w:pPr>
        <w:pStyle w:val="CommentText"/>
      </w:pPr>
      <w:r>
        <w:rPr>
          <w:rStyle w:val="CommentReference"/>
        </w:rPr>
        <w:annotationRef/>
      </w:r>
      <w:r>
        <w:t>Mention co authors</w:t>
      </w:r>
    </w:p>
  </w:comment>
  <w:comment w:id="15" w:author="OKO MFB" w:date="2025-02-27T12:39:00Z" w:initials="OM">
    <w:p w:rsidR="000B4373" w:rsidRDefault="000B4373">
      <w:pPr>
        <w:pStyle w:val="CommentText"/>
      </w:pPr>
      <w:r>
        <w:rPr>
          <w:rStyle w:val="CommentReference"/>
        </w:rPr>
        <w:annotationRef/>
      </w:r>
      <w:r>
        <w:t>Mention co authors</w:t>
      </w:r>
    </w:p>
  </w:comment>
  <w:comment w:id="16" w:author="OKO MFB" w:date="2025-02-27T12:40:00Z" w:initials="OM">
    <w:p w:rsidR="000B4373" w:rsidRDefault="000B4373">
      <w:pPr>
        <w:pStyle w:val="CommentText"/>
      </w:pPr>
      <w:r>
        <w:rPr>
          <w:rStyle w:val="CommentReference"/>
        </w:rPr>
        <w:annotationRef/>
      </w:r>
      <w:r>
        <w:t>Mention co authors</w:t>
      </w:r>
    </w:p>
  </w:comment>
  <w:comment w:id="17" w:author="OKO MFB" w:date="2025-02-27T12:40:00Z" w:initials="OM">
    <w:p w:rsidR="000B4373" w:rsidRDefault="000B4373">
      <w:pPr>
        <w:pStyle w:val="CommentText"/>
      </w:pPr>
      <w:r>
        <w:rPr>
          <w:rStyle w:val="CommentReference"/>
        </w:rPr>
        <w:annotationRef/>
      </w:r>
      <w:r>
        <w:t>Mention co authors</w:t>
      </w:r>
    </w:p>
  </w:comment>
  <w:comment w:id="18" w:author="OKO MFB" w:date="2025-02-27T12:43:00Z" w:initials="OM">
    <w:p w:rsidR="00D675B3" w:rsidRDefault="00D675B3">
      <w:pPr>
        <w:pStyle w:val="CommentText"/>
      </w:pPr>
      <w:r>
        <w:rPr>
          <w:rStyle w:val="CommentReference"/>
        </w:rPr>
        <w:annotationRef/>
      </w:r>
      <w:r>
        <w:t>Mention co authors</w:t>
      </w:r>
    </w:p>
  </w:comment>
  <w:comment w:id="19" w:author="OKO MFB" w:date="2025-02-27T12:44:00Z" w:initials="OM">
    <w:p w:rsidR="00D675B3" w:rsidRDefault="00D675B3">
      <w:pPr>
        <w:pStyle w:val="CommentText"/>
      </w:pPr>
      <w:r>
        <w:rPr>
          <w:rStyle w:val="CommentReference"/>
        </w:rPr>
        <w:annotationRef/>
      </w:r>
      <w:r>
        <w:t>Mention co authors</w:t>
      </w:r>
    </w:p>
  </w:comment>
  <w:comment w:id="20" w:author="OKO MFB" w:date="2025-02-27T12:45:00Z" w:initials="OM">
    <w:p w:rsidR="00D675B3" w:rsidRDefault="00D675B3">
      <w:pPr>
        <w:pStyle w:val="CommentText"/>
      </w:pPr>
      <w:r>
        <w:rPr>
          <w:rStyle w:val="CommentReference"/>
        </w:rPr>
        <w:annotationRef/>
      </w:r>
      <w:r>
        <w:t>Mention co authors</w:t>
      </w:r>
    </w:p>
  </w:comment>
  <w:comment w:id="21" w:author="OKO MFB" w:date="2025-02-27T12:47:00Z" w:initials="OM">
    <w:p w:rsidR="00D675B3" w:rsidRDefault="00D675B3">
      <w:pPr>
        <w:pStyle w:val="CommentText"/>
      </w:pPr>
      <w:r>
        <w:rPr>
          <w:rStyle w:val="CommentReference"/>
        </w:rPr>
        <w:annotationRef/>
      </w:r>
      <w:r>
        <w:t>Mention co authors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7E3" w:rsidRDefault="00AB07E3" w:rsidP="004D36F8">
      <w:pPr>
        <w:spacing w:after="0" w:line="240" w:lineRule="auto"/>
      </w:pPr>
      <w:r>
        <w:separator/>
      </w:r>
    </w:p>
  </w:endnote>
  <w:endnote w:type="continuationSeparator" w:id="1">
    <w:p w:rsidR="00AB07E3" w:rsidRDefault="00AB07E3" w:rsidP="004D36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charset w:val="00"/>
    <w:family w:val="roman"/>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A2F" w:rsidRDefault="00EF0A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A2F" w:rsidRDefault="00EF0A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A2F" w:rsidRDefault="00EF0A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7E3" w:rsidRDefault="00AB07E3" w:rsidP="004D36F8">
      <w:pPr>
        <w:spacing w:after="0" w:line="240" w:lineRule="auto"/>
      </w:pPr>
      <w:r>
        <w:separator/>
      </w:r>
    </w:p>
  </w:footnote>
  <w:footnote w:type="continuationSeparator" w:id="1">
    <w:p w:rsidR="00AB07E3" w:rsidRDefault="00AB07E3" w:rsidP="004D36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A2F" w:rsidRDefault="00A95B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5892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A2F" w:rsidRDefault="00A95B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5892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A2F" w:rsidRDefault="00A95B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5892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90502"/>
    <w:multiLevelType w:val="hybridMultilevel"/>
    <w:tmpl w:val="527A8562"/>
    <w:lvl w:ilvl="0" w:tplc="13003DB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33772843"/>
    <w:multiLevelType w:val="multilevel"/>
    <w:tmpl w:val="BEBA7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876AF1"/>
    <w:multiLevelType w:val="hybridMultilevel"/>
    <w:tmpl w:val="2EA6F97A"/>
    <w:lvl w:ilvl="0" w:tplc="6B98332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408D3558"/>
    <w:multiLevelType w:val="multilevel"/>
    <w:tmpl w:val="408A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80616"/>
    <w:rsid w:val="000067C5"/>
    <w:rsid w:val="00011712"/>
    <w:rsid w:val="00017A73"/>
    <w:rsid w:val="00020F86"/>
    <w:rsid w:val="00021C9C"/>
    <w:rsid w:val="000253D1"/>
    <w:rsid w:val="00035D10"/>
    <w:rsid w:val="00035E46"/>
    <w:rsid w:val="000411D0"/>
    <w:rsid w:val="00043BE8"/>
    <w:rsid w:val="00051E18"/>
    <w:rsid w:val="00054D35"/>
    <w:rsid w:val="00060DF7"/>
    <w:rsid w:val="00070372"/>
    <w:rsid w:val="00070E46"/>
    <w:rsid w:val="0007100F"/>
    <w:rsid w:val="00073104"/>
    <w:rsid w:val="000755D4"/>
    <w:rsid w:val="00080E40"/>
    <w:rsid w:val="000917DC"/>
    <w:rsid w:val="000B4373"/>
    <w:rsid w:val="000B58A9"/>
    <w:rsid w:val="000C5541"/>
    <w:rsid w:val="000D51B2"/>
    <w:rsid w:val="000F7727"/>
    <w:rsid w:val="00107A0F"/>
    <w:rsid w:val="00113A00"/>
    <w:rsid w:val="00113D77"/>
    <w:rsid w:val="0011423B"/>
    <w:rsid w:val="0012373B"/>
    <w:rsid w:val="00130D4A"/>
    <w:rsid w:val="0013158E"/>
    <w:rsid w:val="00133135"/>
    <w:rsid w:val="001374FC"/>
    <w:rsid w:val="001402C1"/>
    <w:rsid w:val="001416BB"/>
    <w:rsid w:val="0014173C"/>
    <w:rsid w:val="00142775"/>
    <w:rsid w:val="00143D2D"/>
    <w:rsid w:val="00145BFC"/>
    <w:rsid w:val="001532EC"/>
    <w:rsid w:val="00155952"/>
    <w:rsid w:val="00160746"/>
    <w:rsid w:val="00161998"/>
    <w:rsid w:val="00164553"/>
    <w:rsid w:val="0016708C"/>
    <w:rsid w:val="00167F34"/>
    <w:rsid w:val="00174F11"/>
    <w:rsid w:val="001932D8"/>
    <w:rsid w:val="0019680F"/>
    <w:rsid w:val="00197D0D"/>
    <w:rsid w:val="001A6B26"/>
    <w:rsid w:val="001C248D"/>
    <w:rsid w:val="001D0AFD"/>
    <w:rsid w:val="001D7AF8"/>
    <w:rsid w:val="001E0C12"/>
    <w:rsid w:val="001E647B"/>
    <w:rsid w:val="001E75C8"/>
    <w:rsid w:val="001F110B"/>
    <w:rsid w:val="001F3633"/>
    <w:rsid w:val="001F5864"/>
    <w:rsid w:val="00210241"/>
    <w:rsid w:val="0021377C"/>
    <w:rsid w:val="002155EB"/>
    <w:rsid w:val="00216422"/>
    <w:rsid w:val="002167FD"/>
    <w:rsid w:val="00221F25"/>
    <w:rsid w:val="00222CC9"/>
    <w:rsid w:val="00236907"/>
    <w:rsid w:val="002563CC"/>
    <w:rsid w:val="00257004"/>
    <w:rsid w:val="00261078"/>
    <w:rsid w:val="00263313"/>
    <w:rsid w:val="00264AA2"/>
    <w:rsid w:val="00272D39"/>
    <w:rsid w:val="00274CA4"/>
    <w:rsid w:val="00287486"/>
    <w:rsid w:val="00291ECC"/>
    <w:rsid w:val="002A48DC"/>
    <w:rsid w:val="002B0FED"/>
    <w:rsid w:val="002B3C5F"/>
    <w:rsid w:val="002B7D75"/>
    <w:rsid w:val="002C0737"/>
    <w:rsid w:val="002C640D"/>
    <w:rsid w:val="002D100F"/>
    <w:rsid w:val="002D1EA8"/>
    <w:rsid w:val="002F0DE5"/>
    <w:rsid w:val="002F34C4"/>
    <w:rsid w:val="003001BB"/>
    <w:rsid w:val="003022AE"/>
    <w:rsid w:val="00315B49"/>
    <w:rsid w:val="00341E95"/>
    <w:rsid w:val="00344225"/>
    <w:rsid w:val="00347FAD"/>
    <w:rsid w:val="003548B1"/>
    <w:rsid w:val="00355310"/>
    <w:rsid w:val="00357602"/>
    <w:rsid w:val="00361397"/>
    <w:rsid w:val="00363513"/>
    <w:rsid w:val="00363DCC"/>
    <w:rsid w:val="003647B3"/>
    <w:rsid w:val="003731DC"/>
    <w:rsid w:val="00374CA4"/>
    <w:rsid w:val="0038234E"/>
    <w:rsid w:val="003879E3"/>
    <w:rsid w:val="00390C8D"/>
    <w:rsid w:val="0039209B"/>
    <w:rsid w:val="00395873"/>
    <w:rsid w:val="00397615"/>
    <w:rsid w:val="003A1F8F"/>
    <w:rsid w:val="003A41DA"/>
    <w:rsid w:val="003C0ECB"/>
    <w:rsid w:val="003C1518"/>
    <w:rsid w:val="003C5299"/>
    <w:rsid w:val="003C6265"/>
    <w:rsid w:val="003C781B"/>
    <w:rsid w:val="003D4828"/>
    <w:rsid w:val="003D7980"/>
    <w:rsid w:val="003E3F5E"/>
    <w:rsid w:val="003E6545"/>
    <w:rsid w:val="003F0F76"/>
    <w:rsid w:val="003F1729"/>
    <w:rsid w:val="004031A2"/>
    <w:rsid w:val="004124DB"/>
    <w:rsid w:val="00426B8F"/>
    <w:rsid w:val="00430B1F"/>
    <w:rsid w:val="004320C7"/>
    <w:rsid w:val="004377CE"/>
    <w:rsid w:val="00472FA5"/>
    <w:rsid w:val="004805E3"/>
    <w:rsid w:val="0049070C"/>
    <w:rsid w:val="0049411F"/>
    <w:rsid w:val="004A589F"/>
    <w:rsid w:val="004B0CDF"/>
    <w:rsid w:val="004B4775"/>
    <w:rsid w:val="004C2E1D"/>
    <w:rsid w:val="004C4BAC"/>
    <w:rsid w:val="004C5B97"/>
    <w:rsid w:val="004D1F42"/>
    <w:rsid w:val="004D3543"/>
    <w:rsid w:val="004D36F8"/>
    <w:rsid w:val="004D4293"/>
    <w:rsid w:val="004D757A"/>
    <w:rsid w:val="004E0CD0"/>
    <w:rsid w:val="004F063B"/>
    <w:rsid w:val="004F68EC"/>
    <w:rsid w:val="00504E60"/>
    <w:rsid w:val="0051296C"/>
    <w:rsid w:val="00523AFC"/>
    <w:rsid w:val="00527463"/>
    <w:rsid w:val="00530D05"/>
    <w:rsid w:val="00536C2B"/>
    <w:rsid w:val="00541E62"/>
    <w:rsid w:val="005444D1"/>
    <w:rsid w:val="005504FD"/>
    <w:rsid w:val="00552E13"/>
    <w:rsid w:val="00553738"/>
    <w:rsid w:val="00562D27"/>
    <w:rsid w:val="00564DCB"/>
    <w:rsid w:val="00574FC3"/>
    <w:rsid w:val="00575647"/>
    <w:rsid w:val="00575BA7"/>
    <w:rsid w:val="0058324A"/>
    <w:rsid w:val="00587B92"/>
    <w:rsid w:val="005914D7"/>
    <w:rsid w:val="00592DA0"/>
    <w:rsid w:val="005A37BF"/>
    <w:rsid w:val="005B0A73"/>
    <w:rsid w:val="005B3162"/>
    <w:rsid w:val="005B50D9"/>
    <w:rsid w:val="005B5827"/>
    <w:rsid w:val="005C08FD"/>
    <w:rsid w:val="005C698B"/>
    <w:rsid w:val="005D559D"/>
    <w:rsid w:val="005D5A2F"/>
    <w:rsid w:val="005E5E05"/>
    <w:rsid w:val="005F1C31"/>
    <w:rsid w:val="005F4E82"/>
    <w:rsid w:val="00600B5B"/>
    <w:rsid w:val="00602D5F"/>
    <w:rsid w:val="00607267"/>
    <w:rsid w:val="00610D7A"/>
    <w:rsid w:val="00613347"/>
    <w:rsid w:val="00616555"/>
    <w:rsid w:val="00620402"/>
    <w:rsid w:val="006217BC"/>
    <w:rsid w:val="0062250F"/>
    <w:rsid w:val="00623BCE"/>
    <w:rsid w:val="006273E9"/>
    <w:rsid w:val="006334AB"/>
    <w:rsid w:val="00634E1F"/>
    <w:rsid w:val="0063538C"/>
    <w:rsid w:val="00637F2F"/>
    <w:rsid w:val="0064408F"/>
    <w:rsid w:val="00647E57"/>
    <w:rsid w:val="00647FC0"/>
    <w:rsid w:val="006501EF"/>
    <w:rsid w:val="006530F2"/>
    <w:rsid w:val="0065414B"/>
    <w:rsid w:val="006543A5"/>
    <w:rsid w:val="00654BBE"/>
    <w:rsid w:val="00657243"/>
    <w:rsid w:val="00657FBA"/>
    <w:rsid w:val="00666D9A"/>
    <w:rsid w:val="00675415"/>
    <w:rsid w:val="0067709A"/>
    <w:rsid w:val="0068706F"/>
    <w:rsid w:val="006908DA"/>
    <w:rsid w:val="006954CF"/>
    <w:rsid w:val="006A34BD"/>
    <w:rsid w:val="006A4211"/>
    <w:rsid w:val="006A54FE"/>
    <w:rsid w:val="006A5D71"/>
    <w:rsid w:val="006A7109"/>
    <w:rsid w:val="006B34F0"/>
    <w:rsid w:val="006B7961"/>
    <w:rsid w:val="006C1FF0"/>
    <w:rsid w:val="006C6A82"/>
    <w:rsid w:val="006D4CD8"/>
    <w:rsid w:val="006F0CCB"/>
    <w:rsid w:val="006F1D34"/>
    <w:rsid w:val="006F2DC9"/>
    <w:rsid w:val="006F3226"/>
    <w:rsid w:val="006F38B0"/>
    <w:rsid w:val="006F73E0"/>
    <w:rsid w:val="00707961"/>
    <w:rsid w:val="00707E1E"/>
    <w:rsid w:val="00713784"/>
    <w:rsid w:val="0071693E"/>
    <w:rsid w:val="0072535A"/>
    <w:rsid w:val="007274A4"/>
    <w:rsid w:val="00727807"/>
    <w:rsid w:val="0073799B"/>
    <w:rsid w:val="00741F06"/>
    <w:rsid w:val="007421BB"/>
    <w:rsid w:val="00742736"/>
    <w:rsid w:val="00756DD4"/>
    <w:rsid w:val="00770B44"/>
    <w:rsid w:val="0077219A"/>
    <w:rsid w:val="00782ECE"/>
    <w:rsid w:val="00786292"/>
    <w:rsid w:val="00793740"/>
    <w:rsid w:val="00797B7A"/>
    <w:rsid w:val="007A4776"/>
    <w:rsid w:val="007B6C81"/>
    <w:rsid w:val="007C65E4"/>
    <w:rsid w:val="007C69C9"/>
    <w:rsid w:val="007D1DB9"/>
    <w:rsid w:val="007D526B"/>
    <w:rsid w:val="007E0418"/>
    <w:rsid w:val="007E17F4"/>
    <w:rsid w:val="007E3C82"/>
    <w:rsid w:val="007E6BB6"/>
    <w:rsid w:val="007F0C90"/>
    <w:rsid w:val="007F1C07"/>
    <w:rsid w:val="007F5F22"/>
    <w:rsid w:val="007F7590"/>
    <w:rsid w:val="00801E01"/>
    <w:rsid w:val="00820947"/>
    <w:rsid w:val="008218C5"/>
    <w:rsid w:val="008421C8"/>
    <w:rsid w:val="0084374A"/>
    <w:rsid w:val="008439A2"/>
    <w:rsid w:val="00851161"/>
    <w:rsid w:val="00860C61"/>
    <w:rsid w:val="00863A32"/>
    <w:rsid w:val="008664DF"/>
    <w:rsid w:val="00872229"/>
    <w:rsid w:val="00886462"/>
    <w:rsid w:val="00897953"/>
    <w:rsid w:val="008A634F"/>
    <w:rsid w:val="008B2333"/>
    <w:rsid w:val="008B2591"/>
    <w:rsid w:val="008B4063"/>
    <w:rsid w:val="008B5329"/>
    <w:rsid w:val="008B63F7"/>
    <w:rsid w:val="008B6EF3"/>
    <w:rsid w:val="008B79C1"/>
    <w:rsid w:val="008D1E36"/>
    <w:rsid w:val="008D3A0A"/>
    <w:rsid w:val="008D7618"/>
    <w:rsid w:val="008E0E5C"/>
    <w:rsid w:val="008E785E"/>
    <w:rsid w:val="008F1FED"/>
    <w:rsid w:val="008F2A25"/>
    <w:rsid w:val="008F4BF4"/>
    <w:rsid w:val="00900C2F"/>
    <w:rsid w:val="00905CDA"/>
    <w:rsid w:val="009145BA"/>
    <w:rsid w:val="00916B4B"/>
    <w:rsid w:val="00916E18"/>
    <w:rsid w:val="00927F00"/>
    <w:rsid w:val="0094565C"/>
    <w:rsid w:val="009459A9"/>
    <w:rsid w:val="00952E25"/>
    <w:rsid w:val="009570C1"/>
    <w:rsid w:val="00964ECA"/>
    <w:rsid w:val="00965497"/>
    <w:rsid w:val="00975273"/>
    <w:rsid w:val="00981629"/>
    <w:rsid w:val="00982184"/>
    <w:rsid w:val="00986A24"/>
    <w:rsid w:val="009949B5"/>
    <w:rsid w:val="00995FE9"/>
    <w:rsid w:val="00996255"/>
    <w:rsid w:val="009B136A"/>
    <w:rsid w:val="009B464E"/>
    <w:rsid w:val="009B5EDF"/>
    <w:rsid w:val="009C1F5D"/>
    <w:rsid w:val="009C22B7"/>
    <w:rsid w:val="009C6796"/>
    <w:rsid w:val="009D075F"/>
    <w:rsid w:val="009D0919"/>
    <w:rsid w:val="009D1048"/>
    <w:rsid w:val="009D6E47"/>
    <w:rsid w:val="009E56CC"/>
    <w:rsid w:val="009E6DC2"/>
    <w:rsid w:val="009F13FB"/>
    <w:rsid w:val="009F6DC2"/>
    <w:rsid w:val="009F70F7"/>
    <w:rsid w:val="009F7F9B"/>
    <w:rsid w:val="00A00E19"/>
    <w:rsid w:val="00A02626"/>
    <w:rsid w:val="00A07580"/>
    <w:rsid w:val="00A10035"/>
    <w:rsid w:val="00A102C2"/>
    <w:rsid w:val="00A1411D"/>
    <w:rsid w:val="00A265FA"/>
    <w:rsid w:val="00A302A8"/>
    <w:rsid w:val="00A43D44"/>
    <w:rsid w:val="00A535F6"/>
    <w:rsid w:val="00A539C8"/>
    <w:rsid w:val="00A54B5A"/>
    <w:rsid w:val="00A71BE9"/>
    <w:rsid w:val="00A769BA"/>
    <w:rsid w:val="00A8052B"/>
    <w:rsid w:val="00A85EFE"/>
    <w:rsid w:val="00A8775A"/>
    <w:rsid w:val="00A95BAE"/>
    <w:rsid w:val="00A96CAA"/>
    <w:rsid w:val="00AA4074"/>
    <w:rsid w:val="00AB07E3"/>
    <w:rsid w:val="00AB2E46"/>
    <w:rsid w:val="00AB4DA6"/>
    <w:rsid w:val="00AB4EF6"/>
    <w:rsid w:val="00AE0810"/>
    <w:rsid w:val="00AE3732"/>
    <w:rsid w:val="00AE5AB0"/>
    <w:rsid w:val="00AE6B9E"/>
    <w:rsid w:val="00AF3719"/>
    <w:rsid w:val="00AF4673"/>
    <w:rsid w:val="00AF5728"/>
    <w:rsid w:val="00AF6626"/>
    <w:rsid w:val="00B00B95"/>
    <w:rsid w:val="00B01D38"/>
    <w:rsid w:val="00B053D9"/>
    <w:rsid w:val="00B0598D"/>
    <w:rsid w:val="00B07B0A"/>
    <w:rsid w:val="00B1456A"/>
    <w:rsid w:val="00B14880"/>
    <w:rsid w:val="00B238DC"/>
    <w:rsid w:val="00B3155A"/>
    <w:rsid w:val="00B33A18"/>
    <w:rsid w:val="00B60802"/>
    <w:rsid w:val="00B716B9"/>
    <w:rsid w:val="00B73667"/>
    <w:rsid w:val="00B74194"/>
    <w:rsid w:val="00B84164"/>
    <w:rsid w:val="00B93176"/>
    <w:rsid w:val="00BA4407"/>
    <w:rsid w:val="00BB64B6"/>
    <w:rsid w:val="00BB6FF2"/>
    <w:rsid w:val="00BC09CE"/>
    <w:rsid w:val="00BC14D2"/>
    <w:rsid w:val="00BC1DB6"/>
    <w:rsid w:val="00BC4E20"/>
    <w:rsid w:val="00BC5A08"/>
    <w:rsid w:val="00BC6524"/>
    <w:rsid w:val="00BD3B57"/>
    <w:rsid w:val="00BD5755"/>
    <w:rsid w:val="00BE38FE"/>
    <w:rsid w:val="00C04179"/>
    <w:rsid w:val="00C04FBB"/>
    <w:rsid w:val="00C0763D"/>
    <w:rsid w:val="00C11A7E"/>
    <w:rsid w:val="00C24C62"/>
    <w:rsid w:val="00C277DE"/>
    <w:rsid w:val="00C352B8"/>
    <w:rsid w:val="00C42032"/>
    <w:rsid w:val="00C43AF5"/>
    <w:rsid w:val="00C446CC"/>
    <w:rsid w:val="00C5528D"/>
    <w:rsid w:val="00C61EBB"/>
    <w:rsid w:val="00C62A77"/>
    <w:rsid w:val="00C6300B"/>
    <w:rsid w:val="00C636DE"/>
    <w:rsid w:val="00C83E07"/>
    <w:rsid w:val="00C85087"/>
    <w:rsid w:val="00C93290"/>
    <w:rsid w:val="00C93F77"/>
    <w:rsid w:val="00C965D8"/>
    <w:rsid w:val="00CA6179"/>
    <w:rsid w:val="00CB7780"/>
    <w:rsid w:val="00CC0F27"/>
    <w:rsid w:val="00CC10D0"/>
    <w:rsid w:val="00CC1F3C"/>
    <w:rsid w:val="00CD0801"/>
    <w:rsid w:val="00CD2C87"/>
    <w:rsid w:val="00CE0E53"/>
    <w:rsid w:val="00CE747C"/>
    <w:rsid w:val="00CF0EE3"/>
    <w:rsid w:val="00CF0F49"/>
    <w:rsid w:val="00CF729A"/>
    <w:rsid w:val="00D13976"/>
    <w:rsid w:val="00D22BB4"/>
    <w:rsid w:val="00D34CD8"/>
    <w:rsid w:val="00D4019B"/>
    <w:rsid w:val="00D446BF"/>
    <w:rsid w:val="00D45B17"/>
    <w:rsid w:val="00D45BC2"/>
    <w:rsid w:val="00D5402F"/>
    <w:rsid w:val="00D5561E"/>
    <w:rsid w:val="00D675B3"/>
    <w:rsid w:val="00D76F16"/>
    <w:rsid w:val="00D80979"/>
    <w:rsid w:val="00D84AF6"/>
    <w:rsid w:val="00D84E28"/>
    <w:rsid w:val="00D95E7B"/>
    <w:rsid w:val="00D97952"/>
    <w:rsid w:val="00DA15A8"/>
    <w:rsid w:val="00DA4F13"/>
    <w:rsid w:val="00DA6FFE"/>
    <w:rsid w:val="00DB35B8"/>
    <w:rsid w:val="00DC0894"/>
    <w:rsid w:val="00DC1893"/>
    <w:rsid w:val="00DC6B17"/>
    <w:rsid w:val="00DD0DD8"/>
    <w:rsid w:val="00DD29E9"/>
    <w:rsid w:val="00DE0136"/>
    <w:rsid w:val="00DE51D3"/>
    <w:rsid w:val="00DE522F"/>
    <w:rsid w:val="00DE718A"/>
    <w:rsid w:val="00DF43AF"/>
    <w:rsid w:val="00DF6D3E"/>
    <w:rsid w:val="00E0365A"/>
    <w:rsid w:val="00E04974"/>
    <w:rsid w:val="00E05221"/>
    <w:rsid w:val="00E159D2"/>
    <w:rsid w:val="00E15F74"/>
    <w:rsid w:val="00E40227"/>
    <w:rsid w:val="00E41EA8"/>
    <w:rsid w:val="00E442F9"/>
    <w:rsid w:val="00E569CD"/>
    <w:rsid w:val="00E64BC9"/>
    <w:rsid w:val="00E70DB6"/>
    <w:rsid w:val="00E74749"/>
    <w:rsid w:val="00E8017B"/>
    <w:rsid w:val="00E80616"/>
    <w:rsid w:val="00E82D02"/>
    <w:rsid w:val="00E86178"/>
    <w:rsid w:val="00E8617E"/>
    <w:rsid w:val="00E87DC3"/>
    <w:rsid w:val="00E96FF4"/>
    <w:rsid w:val="00E97D93"/>
    <w:rsid w:val="00EA1782"/>
    <w:rsid w:val="00EA4877"/>
    <w:rsid w:val="00EB25CB"/>
    <w:rsid w:val="00EC4B44"/>
    <w:rsid w:val="00EC6E35"/>
    <w:rsid w:val="00ED22EC"/>
    <w:rsid w:val="00ED3A69"/>
    <w:rsid w:val="00ED53F8"/>
    <w:rsid w:val="00EF0A2F"/>
    <w:rsid w:val="00EF0F59"/>
    <w:rsid w:val="00EF6933"/>
    <w:rsid w:val="00EF7031"/>
    <w:rsid w:val="00F0314D"/>
    <w:rsid w:val="00F05876"/>
    <w:rsid w:val="00F0676C"/>
    <w:rsid w:val="00F10749"/>
    <w:rsid w:val="00F123A1"/>
    <w:rsid w:val="00F2086A"/>
    <w:rsid w:val="00F22CB8"/>
    <w:rsid w:val="00F23A50"/>
    <w:rsid w:val="00F317E9"/>
    <w:rsid w:val="00F36CE3"/>
    <w:rsid w:val="00F40A8B"/>
    <w:rsid w:val="00F55E9E"/>
    <w:rsid w:val="00F63E56"/>
    <w:rsid w:val="00F75B0B"/>
    <w:rsid w:val="00F824C1"/>
    <w:rsid w:val="00F86C39"/>
    <w:rsid w:val="00F93FCB"/>
    <w:rsid w:val="00F9606B"/>
    <w:rsid w:val="00F97C29"/>
    <w:rsid w:val="00FA7B51"/>
    <w:rsid w:val="00FB0840"/>
    <w:rsid w:val="00FB2A17"/>
    <w:rsid w:val="00FD1B03"/>
    <w:rsid w:val="00FD2BE5"/>
    <w:rsid w:val="00FD3153"/>
    <w:rsid w:val="00FD358F"/>
    <w:rsid w:val="00FD7722"/>
    <w:rsid w:val="00FE7B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BAE"/>
  </w:style>
  <w:style w:type="paragraph" w:styleId="Heading1">
    <w:name w:val="heading 1"/>
    <w:basedOn w:val="Normal"/>
    <w:link w:val="Heading1Char"/>
    <w:uiPriority w:val="9"/>
    <w:qFormat/>
    <w:rsid w:val="00995F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87B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1893"/>
    <w:rPr>
      <w:color w:val="0563C1" w:themeColor="hyperlink"/>
      <w:u w:val="single"/>
    </w:rPr>
  </w:style>
  <w:style w:type="paragraph" w:styleId="NormalWeb">
    <w:name w:val="Normal (Web)"/>
    <w:basedOn w:val="Normal"/>
    <w:uiPriority w:val="99"/>
    <w:unhideWhenUsed/>
    <w:rsid w:val="006530F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530F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530F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530F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530F2"/>
    <w:rPr>
      <w:rFonts w:ascii="Arial" w:eastAsia="Times New Roman" w:hAnsi="Arial" w:cs="Arial"/>
      <w:vanish/>
      <w:sz w:val="16"/>
      <w:szCs w:val="16"/>
    </w:rPr>
  </w:style>
  <w:style w:type="character" w:styleId="Strong">
    <w:name w:val="Strong"/>
    <w:basedOn w:val="DefaultParagraphFont"/>
    <w:uiPriority w:val="22"/>
    <w:qFormat/>
    <w:rsid w:val="003E6545"/>
    <w:rPr>
      <w:b/>
      <w:bCs/>
    </w:rPr>
  </w:style>
  <w:style w:type="paragraph" w:styleId="NoSpacing">
    <w:name w:val="No Spacing"/>
    <w:link w:val="NoSpacingChar"/>
    <w:uiPriority w:val="1"/>
    <w:qFormat/>
    <w:rsid w:val="00EA1782"/>
    <w:pPr>
      <w:spacing w:after="0" w:line="240" w:lineRule="auto"/>
    </w:pPr>
  </w:style>
  <w:style w:type="character" w:customStyle="1" w:styleId="NoSpacingChar">
    <w:name w:val="No Spacing Char"/>
    <w:basedOn w:val="DefaultParagraphFont"/>
    <w:link w:val="NoSpacing"/>
    <w:uiPriority w:val="1"/>
    <w:rsid w:val="00EA1782"/>
  </w:style>
  <w:style w:type="character" w:styleId="PlaceholderText">
    <w:name w:val="Placeholder Text"/>
    <w:basedOn w:val="DefaultParagraphFont"/>
    <w:uiPriority w:val="99"/>
    <w:semiHidden/>
    <w:rsid w:val="006A54FE"/>
    <w:rPr>
      <w:color w:val="808080"/>
    </w:rPr>
  </w:style>
  <w:style w:type="paragraph" w:styleId="ListParagraph">
    <w:name w:val="List Paragraph"/>
    <w:basedOn w:val="Normal"/>
    <w:uiPriority w:val="34"/>
    <w:qFormat/>
    <w:rsid w:val="00A54B5A"/>
    <w:pPr>
      <w:ind w:left="720"/>
      <w:contextualSpacing/>
    </w:pPr>
  </w:style>
  <w:style w:type="paragraph" w:styleId="Header">
    <w:name w:val="header"/>
    <w:basedOn w:val="Normal"/>
    <w:link w:val="HeaderChar"/>
    <w:uiPriority w:val="99"/>
    <w:unhideWhenUsed/>
    <w:rsid w:val="004D3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6F8"/>
  </w:style>
  <w:style w:type="paragraph" w:styleId="Footer">
    <w:name w:val="footer"/>
    <w:basedOn w:val="Normal"/>
    <w:link w:val="FooterChar"/>
    <w:uiPriority w:val="99"/>
    <w:unhideWhenUsed/>
    <w:rsid w:val="004D3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6F8"/>
  </w:style>
  <w:style w:type="character" w:customStyle="1" w:styleId="Heading1Char">
    <w:name w:val="Heading 1 Char"/>
    <w:basedOn w:val="DefaultParagraphFont"/>
    <w:link w:val="Heading1"/>
    <w:uiPriority w:val="9"/>
    <w:rsid w:val="00995FE9"/>
    <w:rPr>
      <w:rFonts w:ascii="Times New Roman" w:eastAsia="Times New Roman" w:hAnsi="Times New Roman" w:cs="Times New Roman"/>
      <w:b/>
      <w:bCs/>
      <w:kern w:val="36"/>
      <w:sz w:val="48"/>
      <w:szCs w:val="48"/>
    </w:rPr>
  </w:style>
  <w:style w:type="character" w:customStyle="1" w:styleId="UnresolvedMention">
    <w:name w:val="Unresolved Mention"/>
    <w:basedOn w:val="DefaultParagraphFont"/>
    <w:uiPriority w:val="99"/>
    <w:semiHidden/>
    <w:unhideWhenUsed/>
    <w:rsid w:val="0073799B"/>
    <w:rPr>
      <w:color w:val="605E5C"/>
      <w:shd w:val="clear" w:color="auto" w:fill="E1DFDD"/>
    </w:rPr>
  </w:style>
  <w:style w:type="character" w:customStyle="1" w:styleId="Heading3Char">
    <w:name w:val="Heading 3 Char"/>
    <w:basedOn w:val="DefaultParagraphFont"/>
    <w:link w:val="Heading3"/>
    <w:uiPriority w:val="9"/>
    <w:semiHidden/>
    <w:rsid w:val="00587B92"/>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F1D34"/>
    <w:rPr>
      <w:sz w:val="16"/>
      <w:szCs w:val="16"/>
    </w:rPr>
  </w:style>
  <w:style w:type="paragraph" w:styleId="CommentText">
    <w:name w:val="annotation text"/>
    <w:basedOn w:val="Normal"/>
    <w:link w:val="CommentTextChar"/>
    <w:uiPriority w:val="99"/>
    <w:semiHidden/>
    <w:unhideWhenUsed/>
    <w:rsid w:val="006F1D34"/>
    <w:pPr>
      <w:spacing w:line="240" w:lineRule="auto"/>
    </w:pPr>
    <w:rPr>
      <w:sz w:val="20"/>
      <w:szCs w:val="20"/>
    </w:rPr>
  </w:style>
  <w:style w:type="character" w:customStyle="1" w:styleId="CommentTextChar">
    <w:name w:val="Comment Text Char"/>
    <w:basedOn w:val="DefaultParagraphFont"/>
    <w:link w:val="CommentText"/>
    <w:uiPriority w:val="99"/>
    <w:semiHidden/>
    <w:rsid w:val="006F1D34"/>
    <w:rPr>
      <w:sz w:val="20"/>
      <w:szCs w:val="20"/>
    </w:rPr>
  </w:style>
  <w:style w:type="paragraph" w:styleId="CommentSubject">
    <w:name w:val="annotation subject"/>
    <w:basedOn w:val="CommentText"/>
    <w:next w:val="CommentText"/>
    <w:link w:val="CommentSubjectChar"/>
    <w:uiPriority w:val="99"/>
    <w:semiHidden/>
    <w:unhideWhenUsed/>
    <w:rsid w:val="006F1D34"/>
    <w:rPr>
      <w:b/>
      <w:bCs/>
    </w:rPr>
  </w:style>
  <w:style w:type="character" w:customStyle="1" w:styleId="CommentSubjectChar">
    <w:name w:val="Comment Subject Char"/>
    <w:basedOn w:val="CommentTextChar"/>
    <w:link w:val="CommentSubject"/>
    <w:uiPriority w:val="99"/>
    <w:semiHidden/>
    <w:rsid w:val="006F1D34"/>
    <w:rPr>
      <w:b/>
      <w:bCs/>
    </w:rPr>
  </w:style>
  <w:style w:type="paragraph" w:styleId="BalloonText">
    <w:name w:val="Balloon Text"/>
    <w:basedOn w:val="Normal"/>
    <w:link w:val="BalloonTextChar"/>
    <w:uiPriority w:val="99"/>
    <w:semiHidden/>
    <w:unhideWhenUsed/>
    <w:rsid w:val="006F1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D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32873">
      <w:bodyDiv w:val="1"/>
      <w:marLeft w:val="0"/>
      <w:marRight w:val="0"/>
      <w:marTop w:val="0"/>
      <w:marBottom w:val="0"/>
      <w:divBdr>
        <w:top w:val="none" w:sz="0" w:space="0" w:color="auto"/>
        <w:left w:val="none" w:sz="0" w:space="0" w:color="auto"/>
        <w:bottom w:val="none" w:sz="0" w:space="0" w:color="auto"/>
        <w:right w:val="none" w:sz="0" w:space="0" w:color="auto"/>
      </w:divBdr>
    </w:div>
    <w:div w:id="63915574">
      <w:bodyDiv w:val="1"/>
      <w:marLeft w:val="0"/>
      <w:marRight w:val="0"/>
      <w:marTop w:val="0"/>
      <w:marBottom w:val="0"/>
      <w:divBdr>
        <w:top w:val="none" w:sz="0" w:space="0" w:color="auto"/>
        <w:left w:val="none" w:sz="0" w:space="0" w:color="auto"/>
        <w:bottom w:val="none" w:sz="0" w:space="0" w:color="auto"/>
        <w:right w:val="none" w:sz="0" w:space="0" w:color="auto"/>
      </w:divBdr>
    </w:div>
    <w:div w:id="146827410">
      <w:bodyDiv w:val="1"/>
      <w:marLeft w:val="0"/>
      <w:marRight w:val="0"/>
      <w:marTop w:val="0"/>
      <w:marBottom w:val="0"/>
      <w:divBdr>
        <w:top w:val="none" w:sz="0" w:space="0" w:color="auto"/>
        <w:left w:val="none" w:sz="0" w:space="0" w:color="auto"/>
        <w:bottom w:val="none" w:sz="0" w:space="0" w:color="auto"/>
        <w:right w:val="none" w:sz="0" w:space="0" w:color="auto"/>
      </w:divBdr>
    </w:div>
    <w:div w:id="217282763">
      <w:bodyDiv w:val="1"/>
      <w:marLeft w:val="0"/>
      <w:marRight w:val="0"/>
      <w:marTop w:val="0"/>
      <w:marBottom w:val="0"/>
      <w:divBdr>
        <w:top w:val="none" w:sz="0" w:space="0" w:color="auto"/>
        <w:left w:val="none" w:sz="0" w:space="0" w:color="auto"/>
        <w:bottom w:val="none" w:sz="0" w:space="0" w:color="auto"/>
        <w:right w:val="none" w:sz="0" w:space="0" w:color="auto"/>
      </w:divBdr>
    </w:div>
    <w:div w:id="373310485">
      <w:bodyDiv w:val="1"/>
      <w:marLeft w:val="0"/>
      <w:marRight w:val="0"/>
      <w:marTop w:val="0"/>
      <w:marBottom w:val="0"/>
      <w:divBdr>
        <w:top w:val="none" w:sz="0" w:space="0" w:color="auto"/>
        <w:left w:val="none" w:sz="0" w:space="0" w:color="auto"/>
        <w:bottom w:val="none" w:sz="0" w:space="0" w:color="auto"/>
        <w:right w:val="none" w:sz="0" w:space="0" w:color="auto"/>
      </w:divBdr>
    </w:div>
    <w:div w:id="545720534">
      <w:bodyDiv w:val="1"/>
      <w:marLeft w:val="0"/>
      <w:marRight w:val="0"/>
      <w:marTop w:val="0"/>
      <w:marBottom w:val="0"/>
      <w:divBdr>
        <w:top w:val="none" w:sz="0" w:space="0" w:color="auto"/>
        <w:left w:val="none" w:sz="0" w:space="0" w:color="auto"/>
        <w:bottom w:val="none" w:sz="0" w:space="0" w:color="auto"/>
        <w:right w:val="none" w:sz="0" w:space="0" w:color="auto"/>
      </w:divBdr>
    </w:div>
    <w:div w:id="579023035">
      <w:bodyDiv w:val="1"/>
      <w:marLeft w:val="0"/>
      <w:marRight w:val="0"/>
      <w:marTop w:val="0"/>
      <w:marBottom w:val="0"/>
      <w:divBdr>
        <w:top w:val="none" w:sz="0" w:space="0" w:color="auto"/>
        <w:left w:val="none" w:sz="0" w:space="0" w:color="auto"/>
        <w:bottom w:val="none" w:sz="0" w:space="0" w:color="auto"/>
        <w:right w:val="none" w:sz="0" w:space="0" w:color="auto"/>
      </w:divBdr>
    </w:div>
    <w:div w:id="595558089">
      <w:bodyDiv w:val="1"/>
      <w:marLeft w:val="0"/>
      <w:marRight w:val="0"/>
      <w:marTop w:val="0"/>
      <w:marBottom w:val="0"/>
      <w:divBdr>
        <w:top w:val="none" w:sz="0" w:space="0" w:color="auto"/>
        <w:left w:val="none" w:sz="0" w:space="0" w:color="auto"/>
        <w:bottom w:val="none" w:sz="0" w:space="0" w:color="auto"/>
        <w:right w:val="none" w:sz="0" w:space="0" w:color="auto"/>
      </w:divBdr>
    </w:div>
    <w:div w:id="736634697">
      <w:bodyDiv w:val="1"/>
      <w:marLeft w:val="0"/>
      <w:marRight w:val="0"/>
      <w:marTop w:val="0"/>
      <w:marBottom w:val="0"/>
      <w:divBdr>
        <w:top w:val="none" w:sz="0" w:space="0" w:color="auto"/>
        <w:left w:val="none" w:sz="0" w:space="0" w:color="auto"/>
        <w:bottom w:val="none" w:sz="0" w:space="0" w:color="auto"/>
        <w:right w:val="none" w:sz="0" w:space="0" w:color="auto"/>
      </w:divBdr>
    </w:div>
    <w:div w:id="827747874">
      <w:bodyDiv w:val="1"/>
      <w:marLeft w:val="0"/>
      <w:marRight w:val="0"/>
      <w:marTop w:val="0"/>
      <w:marBottom w:val="0"/>
      <w:divBdr>
        <w:top w:val="none" w:sz="0" w:space="0" w:color="auto"/>
        <w:left w:val="none" w:sz="0" w:space="0" w:color="auto"/>
        <w:bottom w:val="none" w:sz="0" w:space="0" w:color="auto"/>
        <w:right w:val="none" w:sz="0" w:space="0" w:color="auto"/>
      </w:divBdr>
    </w:div>
    <w:div w:id="851258342">
      <w:bodyDiv w:val="1"/>
      <w:marLeft w:val="0"/>
      <w:marRight w:val="0"/>
      <w:marTop w:val="0"/>
      <w:marBottom w:val="0"/>
      <w:divBdr>
        <w:top w:val="none" w:sz="0" w:space="0" w:color="auto"/>
        <w:left w:val="none" w:sz="0" w:space="0" w:color="auto"/>
        <w:bottom w:val="none" w:sz="0" w:space="0" w:color="auto"/>
        <w:right w:val="none" w:sz="0" w:space="0" w:color="auto"/>
      </w:divBdr>
    </w:div>
    <w:div w:id="872420883">
      <w:bodyDiv w:val="1"/>
      <w:marLeft w:val="0"/>
      <w:marRight w:val="0"/>
      <w:marTop w:val="0"/>
      <w:marBottom w:val="0"/>
      <w:divBdr>
        <w:top w:val="none" w:sz="0" w:space="0" w:color="auto"/>
        <w:left w:val="none" w:sz="0" w:space="0" w:color="auto"/>
        <w:bottom w:val="none" w:sz="0" w:space="0" w:color="auto"/>
        <w:right w:val="none" w:sz="0" w:space="0" w:color="auto"/>
      </w:divBdr>
    </w:div>
    <w:div w:id="875586953">
      <w:bodyDiv w:val="1"/>
      <w:marLeft w:val="0"/>
      <w:marRight w:val="0"/>
      <w:marTop w:val="0"/>
      <w:marBottom w:val="0"/>
      <w:divBdr>
        <w:top w:val="none" w:sz="0" w:space="0" w:color="auto"/>
        <w:left w:val="none" w:sz="0" w:space="0" w:color="auto"/>
        <w:bottom w:val="none" w:sz="0" w:space="0" w:color="auto"/>
        <w:right w:val="none" w:sz="0" w:space="0" w:color="auto"/>
      </w:divBdr>
    </w:div>
    <w:div w:id="879585633">
      <w:bodyDiv w:val="1"/>
      <w:marLeft w:val="0"/>
      <w:marRight w:val="0"/>
      <w:marTop w:val="0"/>
      <w:marBottom w:val="0"/>
      <w:divBdr>
        <w:top w:val="none" w:sz="0" w:space="0" w:color="auto"/>
        <w:left w:val="none" w:sz="0" w:space="0" w:color="auto"/>
        <w:bottom w:val="none" w:sz="0" w:space="0" w:color="auto"/>
        <w:right w:val="none" w:sz="0" w:space="0" w:color="auto"/>
      </w:divBdr>
    </w:div>
    <w:div w:id="922035895">
      <w:bodyDiv w:val="1"/>
      <w:marLeft w:val="0"/>
      <w:marRight w:val="0"/>
      <w:marTop w:val="0"/>
      <w:marBottom w:val="0"/>
      <w:divBdr>
        <w:top w:val="none" w:sz="0" w:space="0" w:color="auto"/>
        <w:left w:val="none" w:sz="0" w:space="0" w:color="auto"/>
        <w:bottom w:val="none" w:sz="0" w:space="0" w:color="auto"/>
        <w:right w:val="none" w:sz="0" w:space="0" w:color="auto"/>
      </w:divBdr>
    </w:div>
    <w:div w:id="922689556">
      <w:bodyDiv w:val="1"/>
      <w:marLeft w:val="0"/>
      <w:marRight w:val="0"/>
      <w:marTop w:val="0"/>
      <w:marBottom w:val="0"/>
      <w:divBdr>
        <w:top w:val="none" w:sz="0" w:space="0" w:color="auto"/>
        <w:left w:val="none" w:sz="0" w:space="0" w:color="auto"/>
        <w:bottom w:val="none" w:sz="0" w:space="0" w:color="auto"/>
        <w:right w:val="none" w:sz="0" w:space="0" w:color="auto"/>
      </w:divBdr>
    </w:div>
    <w:div w:id="946886962">
      <w:bodyDiv w:val="1"/>
      <w:marLeft w:val="0"/>
      <w:marRight w:val="0"/>
      <w:marTop w:val="0"/>
      <w:marBottom w:val="0"/>
      <w:divBdr>
        <w:top w:val="none" w:sz="0" w:space="0" w:color="auto"/>
        <w:left w:val="none" w:sz="0" w:space="0" w:color="auto"/>
        <w:bottom w:val="none" w:sz="0" w:space="0" w:color="auto"/>
        <w:right w:val="none" w:sz="0" w:space="0" w:color="auto"/>
      </w:divBdr>
    </w:div>
    <w:div w:id="1037199115">
      <w:bodyDiv w:val="1"/>
      <w:marLeft w:val="0"/>
      <w:marRight w:val="0"/>
      <w:marTop w:val="0"/>
      <w:marBottom w:val="0"/>
      <w:divBdr>
        <w:top w:val="none" w:sz="0" w:space="0" w:color="auto"/>
        <w:left w:val="none" w:sz="0" w:space="0" w:color="auto"/>
        <w:bottom w:val="none" w:sz="0" w:space="0" w:color="auto"/>
        <w:right w:val="none" w:sz="0" w:space="0" w:color="auto"/>
      </w:divBdr>
    </w:div>
    <w:div w:id="1043216053">
      <w:bodyDiv w:val="1"/>
      <w:marLeft w:val="0"/>
      <w:marRight w:val="0"/>
      <w:marTop w:val="0"/>
      <w:marBottom w:val="0"/>
      <w:divBdr>
        <w:top w:val="none" w:sz="0" w:space="0" w:color="auto"/>
        <w:left w:val="none" w:sz="0" w:space="0" w:color="auto"/>
        <w:bottom w:val="none" w:sz="0" w:space="0" w:color="auto"/>
        <w:right w:val="none" w:sz="0" w:space="0" w:color="auto"/>
      </w:divBdr>
    </w:div>
    <w:div w:id="1166287568">
      <w:bodyDiv w:val="1"/>
      <w:marLeft w:val="0"/>
      <w:marRight w:val="0"/>
      <w:marTop w:val="0"/>
      <w:marBottom w:val="0"/>
      <w:divBdr>
        <w:top w:val="none" w:sz="0" w:space="0" w:color="auto"/>
        <w:left w:val="none" w:sz="0" w:space="0" w:color="auto"/>
        <w:bottom w:val="none" w:sz="0" w:space="0" w:color="auto"/>
        <w:right w:val="none" w:sz="0" w:space="0" w:color="auto"/>
      </w:divBdr>
    </w:div>
    <w:div w:id="1196038568">
      <w:bodyDiv w:val="1"/>
      <w:marLeft w:val="0"/>
      <w:marRight w:val="0"/>
      <w:marTop w:val="0"/>
      <w:marBottom w:val="0"/>
      <w:divBdr>
        <w:top w:val="none" w:sz="0" w:space="0" w:color="auto"/>
        <w:left w:val="none" w:sz="0" w:space="0" w:color="auto"/>
        <w:bottom w:val="none" w:sz="0" w:space="0" w:color="auto"/>
        <w:right w:val="none" w:sz="0" w:space="0" w:color="auto"/>
      </w:divBdr>
    </w:div>
    <w:div w:id="1224870085">
      <w:bodyDiv w:val="1"/>
      <w:marLeft w:val="0"/>
      <w:marRight w:val="0"/>
      <w:marTop w:val="0"/>
      <w:marBottom w:val="0"/>
      <w:divBdr>
        <w:top w:val="none" w:sz="0" w:space="0" w:color="auto"/>
        <w:left w:val="none" w:sz="0" w:space="0" w:color="auto"/>
        <w:bottom w:val="none" w:sz="0" w:space="0" w:color="auto"/>
        <w:right w:val="none" w:sz="0" w:space="0" w:color="auto"/>
      </w:divBdr>
    </w:div>
    <w:div w:id="1252854776">
      <w:bodyDiv w:val="1"/>
      <w:marLeft w:val="0"/>
      <w:marRight w:val="0"/>
      <w:marTop w:val="0"/>
      <w:marBottom w:val="0"/>
      <w:divBdr>
        <w:top w:val="none" w:sz="0" w:space="0" w:color="auto"/>
        <w:left w:val="none" w:sz="0" w:space="0" w:color="auto"/>
        <w:bottom w:val="none" w:sz="0" w:space="0" w:color="auto"/>
        <w:right w:val="none" w:sz="0" w:space="0" w:color="auto"/>
      </w:divBdr>
    </w:div>
    <w:div w:id="1351688776">
      <w:bodyDiv w:val="1"/>
      <w:marLeft w:val="0"/>
      <w:marRight w:val="0"/>
      <w:marTop w:val="0"/>
      <w:marBottom w:val="0"/>
      <w:divBdr>
        <w:top w:val="none" w:sz="0" w:space="0" w:color="auto"/>
        <w:left w:val="none" w:sz="0" w:space="0" w:color="auto"/>
        <w:bottom w:val="none" w:sz="0" w:space="0" w:color="auto"/>
        <w:right w:val="none" w:sz="0" w:space="0" w:color="auto"/>
      </w:divBdr>
    </w:div>
    <w:div w:id="1430807214">
      <w:bodyDiv w:val="1"/>
      <w:marLeft w:val="0"/>
      <w:marRight w:val="0"/>
      <w:marTop w:val="0"/>
      <w:marBottom w:val="0"/>
      <w:divBdr>
        <w:top w:val="none" w:sz="0" w:space="0" w:color="auto"/>
        <w:left w:val="none" w:sz="0" w:space="0" w:color="auto"/>
        <w:bottom w:val="none" w:sz="0" w:space="0" w:color="auto"/>
        <w:right w:val="none" w:sz="0" w:space="0" w:color="auto"/>
      </w:divBdr>
    </w:div>
    <w:div w:id="1451053086">
      <w:bodyDiv w:val="1"/>
      <w:marLeft w:val="0"/>
      <w:marRight w:val="0"/>
      <w:marTop w:val="0"/>
      <w:marBottom w:val="0"/>
      <w:divBdr>
        <w:top w:val="none" w:sz="0" w:space="0" w:color="auto"/>
        <w:left w:val="none" w:sz="0" w:space="0" w:color="auto"/>
        <w:bottom w:val="none" w:sz="0" w:space="0" w:color="auto"/>
        <w:right w:val="none" w:sz="0" w:space="0" w:color="auto"/>
      </w:divBdr>
    </w:div>
    <w:div w:id="1469590861">
      <w:bodyDiv w:val="1"/>
      <w:marLeft w:val="0"/>
      <w:marRight w:val="0"/>
      <w:marTop w:val="0"/>
      <w:marBottom w:val="0"/>
      <w:divBdr>
        <w:top w:val="none" w:sz="0" w:space="0" w:color="auto"/>
        <w:left w:val="none" w:sz="0" w:space="0" w:color="auto"/>
        <w:bottom w:val="none" w:sz="0" w:space="0" w:color="auto"/>
        <w:right w:val="none" w:sz="0" w:space="0" w:color="auto"/>
      </w:divBdr>
    </w:div>
    <w:div w:id="1525049309">
      <w:bodyDiv w:val="1"/>
      <w:marLeft w:val="0"/>
      <w:marRight w:val="0"/>
      <w:marTop w:val="0"/>
      <w:marBottom w:val="0"/>
      <w:divBdr>
        <w:top w:val="none" w:sz="0" w:space="0" w:color="auto"/>
        <w:left w:val="none" w:sz="0" w:space="0" w:color="auto"/>
        <w:bottom w:val="none" w:sz="0" w:space="0" w:color="auto"/>
        <w:right w:val="none" w:sz="0" w:space="0" w:color="auto"/>
      </w:divBdr>
    </w:div>
    <w:div w:id="1530417061">
      <w:bodyDiv w:val="1"/>
      <w:marLeft w:val="0"/>
      <w:marRight w:val="0"/>
      <w:marTop w:val="0"/>
      <w:marBottom w:val="0"/>
      <w:divBdr>
        <w:top w:val="none" w:sz="0" w:space="0" w:color="auto"/>
        <w:left w:val="none" w:sz="0" w:space="0" w:color="auto"/>
        <w:bottom w:val="none" w:sz="0" w:space="0" w:color="auto"/>
        <w:right w:val="none" w:sz="0" w:space="0" w:color="auto"/>
      </w:divBdr>
    </w:div>
    <w:div w:id="1562981620">
      <w:bodyDiv w:val="1"/>
      <w:marLeft w:val="0"/>
      <w:marRight w:val="0"/>
      <w:marTop w:val="0"/>
      <w:marBottom w:val="0"/>
      <w:divBdr>
        <w:top w:val="none" w:sz="0" w:space="0" w:color="auto"/>
        <w:left w:val="none" w:sz="0" w:space="0" w:color="auto"/>
        <w:bottom w:val="none" w:sz="0" w:space="0" w:color="auto"/>
        <w:right w:val="none" w:sz="0" w:space="0" w:color="auto"/>
      </w:divBdr>
      <w:divsChild>
        <w:div w:id="1621449194">
          <w:marLeft w:val="0"/>
          <w:marRight w:val="0"/>
          <w:marTop w:val="0"/>
          <w:marBottom w:val="0"/>
          <w:divBdr>
            <w:top w:val="none" w:sz="0" w:space="0" w:color="auto"/>
            <w:left w:val="none" w:sz="0" w:space="0" w:color="auto"/>
            <w:bottom w:val="none" w:sz="0" w:space="0" w:color="auto"/>
            <w:right w:val="none" w:sz="0" w:space="0" w:color="auto"/>
          </w:divBdr>
          <w:divsChild>
            <w:div w:id="1517495494">
              <w:marLeft w:val="0"/>
              <w:marRight w:val="0"/>
              <w:marTop w:val="0"/>
              <w:marBottom w:val="0"/>
              <w:divBdr>
                <w:top w:val="none" w:sz="0" w:space="0" w:color="auto"/>
                <w:left w:val="none" w:sz="0" w:space="0" w:color="auto"/>
                <w:bottom w:val="none" w:sz="0" w:space="0" w:color="auto"/>
                <w:right w:val="none" w:sz="0" w:space="0" w:color="auto"/>
              </w:divBdr>
              <w:divsChild>
                <w:div w:id="253632009">
                  <w:marLeft w:val="0"/>
                  <w:marRight w:val="0"/>
                  <w:marTop w:val="0"/>
                  <w:marBottom w:val="0"/>
                  <w:divBdr>
                    <w:top w:val="none" w:sz="0" w:space="0" w:color="auto"/>
                    <w:left w:val="none" w:sz="0" w:space="0" w:color="auto"/>
                    <w:bottom w:val="none" w:sz="0" w:space="0" w:color="auto"/>
                    <w:right w:val="none" w:sz="0" w:space="0" w:color="auto"/>
                  </w:divBdr>
                  <w:divsChild>
                    <w:div w:id="2043630448">
                      <w:marLeft w:val="0"/>
                      <w:marRight w:val="0"/>
                      <w:marTop w:val="0"/>
                      <w:marBottom w:val="0"/>
                      <w:divBdr>
                        <w:top w:val="none" w:sz="0" w:space="0" w:color="auto"/>
                        <w:left w:val="none" w:sz="0" w:space="0" w:color="auto"/>
                        <w:bottom w:val="none" w:sz="0" w:space="0" w:color="auto"/>
                        <w:right w:val="none" w:sz="0" w:space="0" w:color="auto"/>
                      </w:divBdr>
                      <w:divsChild>
                        <w:div w:id="2096321395">
                          <w:marLeft w:val="0"/>
                          <w:marRight w:val="0"/>
                          <w:marTop w:val="0"/>
                          <w:marBottom w:val="0"/>
                          <w:divBdr>
                            <w:top w:val="none" w:sz="0" w:space="0" w:color="auto"/>
                            <w:left w:val="none" w:sz="0" w:space="0" w:color="auto"/>
                            <w:bottom w:val="none" w:sz="0" w:space="0" w:color="auto"/>
                            <w:right w:val="none" w:sz="0" w:space="0" w:color="auto"/>
                          </w:divBdr>
                          <w:divsChild>
                            <w:div w:id="1412116023">
                              <w:marLeft w:val="0"/>
                              <w:marRight w:val="0"/>
                              <w:marTop w:val="0"/>
                              <w:marBottom w:val="0"/>
                              <w:divBdr>
                                <w:top w:val="none" w:sz="0" w:space="0" w:color="auto"/>
                                <w:left w:val="none" w:sz="0" w:space="0" w:color="auto"/>
                                <w:bottom w:val="none" w:sz="0" w:space="0" w:color="auto"/>
                                <w:right w:val="none" w:sz="0" w:space="0" w:color="auto"/>
                              </w:divBdr>
                              <w:divsChild>
                                <w:div w:id="1037509546">
                                  <w:marLeft w:val="0"/>
                                  <w:marRight w:val="0"/>
                                  <w:marTop w:val="0"/>
                                  <w:marBottom w:val="0"/>
                                  <w:divBdr>
                                    <w:top w:val="none" w:sz="0" w:space="0" w:color="auto"/>
                                    <w:left w:val="none" w:sz="0" w:space="0" w:color="auto"/>
                                    <w:bottom w:val="none" w:sz="0" w:space="0" w:color="auto"/>
                                    <w:right w:val="none" w:sz="0" w:space="0" w:color="auto"/>
                                  </w:divBdr>
                                  <w:divsChild>
                                    <w:div w:id="268245152">
                                      <w:marLeft w:val="0"/>
                                      <w:marRight w:val="0"/>
                                      <w:marTop w:val="0"/>
                                      <w:marBottom w:val="0"/>
                                      <w:divBdr>
                                        <w:top w:val="none" w:sz="0" w:space="0" w:color="auto"/>
                                        <w:left w:val="none" w:sz="0" w:space="0" w:color="auto"/>
                                        <w:bottom w:val="none" w:sz="0" w:space="0" w:color="auto"/>
                                        <w:right w:val="none" w:sz="0" w:space="0" w:color="auto"/>
                                      </w:divBdr>
                                      <w:divsChild>
                                        <w:div w:id="1763136088">
                                          <w:marLeft w:val="0"/>
                                          <w:marRight w:val="0"/>
                                          <w:marTop w:val="0"/>
                                          <w:marBottom w:val="0"/>
                                          <w:divBdr>
                                            <w:top w:val="none" w:sz="0" w:space="0" w:color="auto"/>
                                            <w:left w:val="none" w:sz="0" w:space="0" w:color="auto"/>
                                            <w:bottom w:val="none" w:sz="0" w:space="0" w:color="auto"/>
                                            <w:right w:val="none" w:sz="0" w:space="0" w:color="auto"/>
                                          </w:divBdr>
                                          <w:divsChild>
                                            <w:div w:id="478499064">
                                              <w:marLeft w:val="0"/>
                                              <w:marRight w:val="0"/>
                                              <w:marTop w:val="0"/>
                                              <w:marBottom w:val="0"/>
                                              <w:divBdr>
                                                <w:top w:val="none" w:sz="0" w:space="0" w:color="auto"/>
                                                <w:left w:val="none" w:sz="0" w:space="0" w:color="auto"/>
                                                <w:bottom w:val="none" w:sz="0" w:space="0" w:color="auto"/>
                                                <w:right w:val="none" w:sz="0" w:space="0" w:color="auto"/>
                                              </w:divBdr>
                                              <w:divsChild>
                                                <w:div w:id="792947777">
                                                  <w:marLeft w:val="0"/>
                                                  <w:marRight w:val="0"/>
                                                  <w:marTop w:val="0"/>
                                                  <w:marBottom w:val="0"/>
                                                  <w:divBdr>
                                                    <w:top w:val="none" w:sz="0" w:space="0" w:color="auto"/>
                                                    <w:left w:val="none" w:sz="0" w:space="0" w:color="auto"/>
                                                    <w:bottom w:val="none" w:sz="0" w:space="0" w:color="auto"/>
                                                    <w:right w:val="none" w:sz="0" w:space="0" w:color="auto"/>
                                                  </w:divBdr>
                                                  <w:divsChild>
                                                    <w:div w:id="25984851">
                                                      <w:marLeft w:val="0"/>
                                                      <w:marRight w:val="0"/>
                                                      <w:marTop w:val="0"/>
                                                      <w:marBottom w:val="0"/>
                                                      <w:divBdr>
                                                        <w:top w:val="none" w:sz="0" w:space="0" w:color="auto"/>
                                                        <w:left w:val="none" w:sz="0" w:space="0" w:color="auto"/>
                                                        <w:bottom w:val="none" w:sz="0" w:space="0" w:color="auto"/>
                                                        <w:right w:val="none" w:sz="0" w:space="0" w:color="auto"/>
                                                      </w:divBdr>
                                                      <w:divsChild>
                                                        <w:div w:id="1012101251">
                                                          <w:marLeft w:val="0"/>
                                                          <w:marRight w:val="0"/>
                                                          <w:marTop w:val="0"/>
                                                          <w:marBottom w:val="0"/>
                                                          <w:divBdr>
                                                            <w:top w:val="none" w:sz="0" w:space="0" w:color="auto"/>
                                                            <w:left w:val="none" w:sz="0" w:space="0" w:color="auto"/>
                                                            <w:bottom w:val="none" w:sz="0" w:space="0" w:color="auto"/>
                                                            <w:right w:val="none" w:sz="0" w:space="0" w:color="auto"/>
                                                          </w:divBdr>
                                                          <w:divsChild>
                                                            <w:div w:id="58642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8047528">
          <w:marLeft w:val="0"/>
          <w:marRight w:val="0"/>
          <w:marTop w:val="0"/>
          <w:marBottom w:val="0"/>
          <w:divBdr>
            <w:top w:val="none" w:sz="0" w:space="0" w:color="auto"/>
            <w:left w:val="none" w:sz="0" w:space="0" w:color="auto"/>
            <w:bottom w:val="none" w:sz="0" w:space="0" w:color="auto"/>
            <w:right w:val="none" w:sz="0" w:space="0" w:color="auto"/>
          </w:divBdr>
          <w:divsChild>
            <w:div w:id="2072577223">
              <w:marLeft w:val="0"/>
              <w:marRight w:val="0"/>
              <w:marTop w:val="0"/>
              <w:marBottom w:val="0"/>
              <w:divBdr>
                <w:top w:val="none" w:sz="0" w:space="0" w:color="auto"/>
                <w:left w:val="none" w:sz="0" w:space="0" w:color="auto"/>
                <w:bottom w:val="none" w:sz="0" w:space="0" w:color="auto"/>
                <w:right w:val="none" w:sz="0" w:space="0" w:color="auto"/>
              </w:divBdr>
              <w:divsChild>
                <w:div w:id="20098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6503">
      <w:bodyDiv w:val="1"/>
      <w:marLeft w:val="0"/>
      <w:marRight w:val="0"/>
      <w:marTop w:val="0"/>
      <w:marBottom w:val="0"/>
      <w:divBdr>
        <w:top w:val="none" w:sz="0" w:space="0" w:color="auto"/>
        <w:left w:val="none" w:sz="0" w:space="0" w:color="auto"/>
        <w:bottom w:val="none" w:sz="0" w:space="0" w:color="auto"/>
        <w:right w:val="none" w:sz="0" w:space="0" w:color="auto"/>
      </w:divBdr>
    </w:div>
    <w:div w:id="1869250118">
      <w:bodyDiv w:val="1"/>
      <w:marLeft w:val="0"/>
      <w:marRight w:val="0"/>
      <w:marTop w:val="0"/>
      <w:marBottom w:val="0"/>
      <w:divBdr>
        <w:top w:val="none" w:sz="0" w:space="0" w:color="auto"/>
        <w:left w:val="none" w:sz="0" w:space="0" w:color="auto"/>
        <w:bottom w:val="none" w:sz="0" w:space="0" w:color="auto"/>
        <w:right w:val="none" w:sz="0" w:space="0" w:color="auto"/>
      </w:divBdr>
    </w:div>
    <w:div w:id="2040356118">
      <w:bodyDiv w:val="1"/>
      <w:marLeft w:val="0"/>
      <w:marRight w:val="0"/>
      <w:marTop w:val="0"/>
      <w:marBottom w:val="0"/>
      <w:divBdr>
        <w:top w:val="none" w:sz="0" w:space="0" w:color="auto"/>
        <w:left w:val="none" w:sz="0" w:space="0" w:color="auto"/>
        <w:bottom w:val="none" w:sz="0" w:space="0" w:color="auto"/>
        <w:right w:val="none" w:sz="0" w:space="0" w:color="auto"/>
      </w:divBdr>
    </w:div>
    <w:div w:id="2057198107">
      <w:bodyDiv w:val="1"/>
      <w:marLeft w:val="0"/>
      <w:marRight w:val="0"/>
      <w:marTop w:val="0"/>
      <w:marBottom w:val="0"/>
      <w:divBdr>
        <w:top w:val="none" w:sz="0" w:space="0" w:color="auto"/>
        <w:left w:val="none" w:sz="0" w:space="0" w:color="auto"/>
        <w:bottom w:val="none" w:sz="0" w:space="0" w:color="auto"/>
        <w:right w:val="none" w:sz="0" w:space="0" w:color="auto"/>
      </w:divBdr>
    </w:div>
    <w:div w:id="213740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Abubakar_Ahmed15?_tp=eyJjb250ZXh0Ijp7ImZpcnN0UGFnZSI6InB1YmxpY2F0aW9uIiwicGFnZSI6InB1YmxpY2F0aW9uIn19" TargetMode="External"/><Relationship Id="rId13" Type="http://schemas.openxmlformats.org/officeDocument/2006/relationships/hyperlink" Target="https://doi.org/10.1108/JPBAFM-11-2023-0205"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s://doi.org/10.3390/su1602067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jcorpfin.2021.10187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4337/9781802208771.00039"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60079/amfr.v1i3.237" TargetMode="External"/><Relationship Id="rId14" Type="http://schemas.openxmlformats.org/officeDocument/2006/relationships/hyperlink" Target="http://www.emeraldgrouppublishing.com/licensing/reprints.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13</Pages>
  <Words>5878</Words>
  <Characters>33508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PAODA 4 CHRIST</dc:creator>
  <cp:lastModifiedBy>OKO MFB</cp:lastModifiedBy>
  <cp:revision>4</cp:revision>
  <dcterms:created xsi:type="dcterms:W3CDTF">2025-02-27T11:08:00Z</dcterms:created>
  <dcterms:modified xsi:type="dcterms:W3CDTF">2025-02-27T11:51:00Z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57739890-5d98-423e-9f96-04d7702bd03d</vt:lpwstr>
  </property>
</Properties>
</file>