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C148" w14:textId="77777777" w:rsidR="0070639F" w:rsidRDefault="0070639F" w:rsidP="00886270">
      <w:pPr>
        <w:spacing w:line="360" w:lineRule="auto"/>
        <w:jc w:val="both"/>
        <w:rPr>
          <w:rFonts w:ascii="Times New Roman" w:hAnsi="Times New Roman" w:cs="Times New Roman"/>
          <w:b/>
          <w:bCs/>
          <w:sz w:val="22"/>
          <w:szCs w:val="22"/>
        </w:rPr>
      </w:pPr>
    </w:p>
    <w:p w14:paraId="6FE847AD" w14:textId="77777777" w:rsidR="0070639F" w:rsidRDefault="0070639F" w:rsidP="00886270">
      <w:pPr>
        <w:spacing w:line="360" w:lineRule="auto"/>
        <w:jc w:val="both"/>
        <w:rPr>
          <w:rFonts w:ascii="Times New Roman" w:hAnsi="Times New Roman" w:cs="Times New Roman"/>
          <w:b/>
          <w:bCs/>
          <w:sz w:val="22"/>
          <w:szCs w:val="22"/>
        </w:rPr>
      </w:pPr>
    </w:p>
    <w:p w14:paraId="5F9AC8E0" w14:textId="7C309C47" w:rsidR="003B18E9" w:rsidRPr="00886270" w:rsidRDefault="003B18E9" w:rsidP="00886270">
      <w:pPr>
        <w:spacing w:line="360" w:lineRule="auto"/>
        <w:jc w:val="both"/>
        <w:rPr>
          <w:rFonts w:ascii="Times New Roman" w:hAnsi="Times New Roman" w:cs="Times New Roman"/>
          <w:b/>
          <w:bCs/>
          <w:sz w:val="22"/>
          <w:szCs w:val="22"/>
        </w:rPr>
      </w:pPr>
      <w:r w:rsidRPr="00886270">
        <w:rPr>
          <w:rFonts w:ascii="Times New Roman" w:hAnsi="Times New Roman" w:cs="Times New Roman"/>
          <w:b/>
          <w:bCs/>
          <w:sz w:val="22"/>
          <w:szCs w:val="22"/>
        </w:rPr>
        <w:t>Premium Motor Spirit Consumption and Environmental Sustainability in Nigeria: A Complex Interplay</w:t>
      </w:r>
    </w:p>
    <w:p w14:paraId="50191191" w14:textId="3895E767" w:rsidR="003B18E9" w:rsidRPr="00886270" w:rsidRDefault="00647DBA" w:rsidP="00886270">
      <w:pPr>
        <w:spacing w:line="240" w:lineRule="auto"/>
        <w:jc w:val="both"/>
        <w:rPr>
          <w:rFonts w:ascii="Times New Roman" w:hAnsi="Times New Roman" w:cs="Times New Roman"/>
          <w:b/>
          <w:bCs/>
          <w:sz w:val="22"/>
          <w:szCs w:val="22"/>
        </w:rPr>
      </w:pPr>
      <w:r w:rsidRPr="00886270">
        <w:rPr>
          <w:rFonts w:ascii="Times New Roman" w:hAnsi="Times New Roman" w:cs="Times New Roman"/>
          <w:b/>
          <w:bCs/>
          <w:sz w:val="22"/>
          <w:szCs w:val="22"/>
        </w:rPr>
        <w:t xml:space="preserve">  </w:t>
      </w:r>
      <w:r w:rsidRPr="00886270">
        <w:rPr>
          <w:rFonts w:ascii="Times New Roman" w:hAnsi="Times New Roman" w:cs="Times New Roman"/>
          <w:b/>
          <w:bCs/>
          <w:sz w:val="22"/>
          <w:szCs w:val="22"/>
        </w:rPr>
        <w:tab/>
      </w:r>
      <w:r w:rsidRPr="00886270">
        <w:rPr>
          <w:rFonts w:ascii="Times New Roman" w:hAnsi="Times New Roman" w:cs="Times New Roman"/>
          <w:b/>
          <w:bCs/>
          <w:sz w:val="22"/>
          <w:szCs w:val="22"/>
        </w:rPr>
        <w:tab/>
      </w:r>
      <w:r w:rsidRPr="00886270">
        <w:rPr>
          <w:rFonts w:ascii="Times New Roman" w:hAnsi="Times New Roman" w:cs="Times New Roman"/>
          <w:b/>
          <w:bCs/>
          <w:sz w:val="22"/>
          <w:szCs w:val="22"/>
        </w:rPr>
        <w:tab/>
      </w:r>
      <w:r w:rsidRPr="00886270">
        <w:rPr>
          <w:rFonts w:ascii="Times New Roman" w:hAnsi="Times New Roman" w:cs="Times New Roman"/>
          <w:b/>
          <w:bCs/>
          <w:sz w:val="22"/>
          <w:szCs w:val="22"/>
        </w:rPr>
        <w:tab/>
        <w:t xml:space="preserve"> </w:t>
      </w:r>
    </w:p>
    <w:p w14:paraId="2BB02477" w14:textId="64157232" w:rsidR="003B18E9" w:rsidRDefault="00FE1462" w:rsidP="0070639F">
      <w:pPr>
        <w:spacing w:line="240" w:lineRule="auto"/>
        <w:rPr>
          <w:rFonts w:ascii="Times New Roman" w:hAnsi="Times New Roman" w:cs="Times New Roman"/>
          <w:sz w:val="22"/>
          <w:szCs w:val="22"/>
        </w:rPr>
      </w:pPr>
      <w:r>
        <w:rPr>
          <w:rFonts w:ascii="Times New Roman" w:hAnsi="Times New Roman" w:cs="Times New Roman"/>
          <w:sz w:val="22"/>
          <w:szCs w:val="22"/>
        </w:rPr>
        <w:t xml:space="preserve">                                      </w:t>
      </w:r>
    </w:p>
    <w:p w14:paraId="25CAD7A9" w14:textId="71C02CA8" w:rsidR="0070639F" w:rsidRDefault="0070639F" w:rsidP="0070639F">
      <w:pPr>
        <w:spacing w:line="240" w:lineRule="auto"/>
        <w:rPr>
          <w:rFonts w:ascii="Times New Roman" w:hAnsi="Times New Roman" w:cs="Times New Roman"/>
          <w:sz w:val="22"/>
          <w:szCs w:val="22"/>
        </w:rPr>
      </w:pPr>
    </w:p>
    <w:p w14:paraId="747E270F" w14:textId="26AD585F" w:rsidR="0070639F" w:rsidRDefault="0070639F" w:rsidP="0070639F">
      <w:pPr>
        <w:spacing w:line="240" w:lineRule="auto"/>
        <w:rPr>
          <w:rFonts w:ascii="Times New Roman" w:hAnsi="Times New Roman" w:cs="Times New Roman"/>
          <w:sz w:val="22"/>
          <w:szCs w:val="22"/>
        </w:rPr>
      </w:pPr>
    </w:p>
    <w:p w14:paraId="6323F9F8" w14:textId="77777777" w:rsidR="0070639F" w:rsidRPr="00886270" w:rsidRDefault="0070639F" w:rsidP="0070639F">
      <w:pPr>
        <w:spacing w:line="240" w:lineRule="auto"/>
        <w:rPr>
          <w:rFonts w:ascii="Times New Roman" w:hAnsi="Times New Roman" w:cs="Times New Roman"/>
          <w:sz w:val="22"/>
          <w:szCs w:val="22"/>
        </w:rPr>
      </w:pPr>
    </w:p>
    <w:p w14:paraId="1F73AF4A" w14:textId="77777777" w:rsidR="003B18E9" w:rsidRPr="00886270" w:rsidRDefault="003B18E9" w:rsidP="0070639F">
      <w:pPr>
        <w:spacing w:line="360" w:lineRule="auto"/>
        <w:rPr>
          <w:rFonts w:ascii="Times New Roman" w:hAnsi="Times New Roman" w:cs="Times New Roman"/>
          <w:b/>
          <w:bCs/>
          <w:sz w:val="22"/>
          <w:szCs w:val="22"/>
        </w:rPr>
      </w:pPr>
      <w:bookmarkStart w:id="0" w:name="_GoBack"/>
      <w:bookmarkEnd w:id="0"/>
      <w:r w:rsidRPr="00886270">
        <w:rPr>
          <w:rFonts w:ascii="Times New Roman" w:hAnsi="Times New Roman" w:cs="Times New Roman"/>
          <w:b/>
          <w:bCs/>
          <w:sz w:val="22"/>
          <w:szCs w:val="22"/>
        </w:rPr>
        <w:t>Abstract</w:t>
      </w:r>
    </w:p>
    <w:p w14:paraId="34187D5B" w14:textId="77777777" w:rsidR="003B18E9" w:rsidRPr="00886270" w:rsidRDefault="003B18E9" w:rsidP="00886270">
      <w:pPr>
        <w:spacing w:line="240" w:lineRule="auto"/>
        <w:jc w:val="both"/>
        <w:rPr>
          <w:rFonts w:ascii="Times New Roman" w:hAnsi="Times New Roman" w:cs="Times New Roman"/>
          <w:sz w:val="22"/>
          <w:szCs w:val="22"/>
        </w:rPr>
      </w:pPr>
      <w:r w:rsidRPr="00886270">
        <w:rPr>
          <w:rFonts w:ascii="Times New Roman" w:hAnsi="Times New Roman" w:cs="Times New Roman"/>
          <w:sz w:val="22"/>
          <w:szCs w:val="22"/>
        </w:rPr>
        <w:t>Anthropogenic activities globally have resulted in environmental degradation, which poses a threat to resource sustainability for the benefit of future generations. Intergovernmental and private organizations have championed the concept of environmental sustainability as a strategy to preserve the environment for intergenerational use. This research employed the Autoregressive Distributed Lag or Bounds Test to Co-integration model, incorporating disaggregated energy consumption sources – petroleum motor spirit and hydroelectricity – along with population growth, to investigate the progress of environmental sustainability efforts in Nigeria. The findings indicate that PMS consumption and population growth consumption patterns constitute a significant threat to environmental sustainability in Nigeria, both in the long and short term, whereas hydroelectricity consumption enhances environmental sustainability. Policy developers are advised to regularly review and update comprehensive programs that promote the widespread adoption and utilization of renewable energy consumption as a dominant component in the energy mix.</w:t>
      </w:r>
    </w:p>
    <w:p w14:paraId="2A8DCCE0" w14:textId="7C53D9BB" w:rsidR="003B18E9" w:rsidRPr="00886270" w:rsidRDefault="00647DBA" w:rsidP="00886270">
      <w:pPr>
        <w:spacing w:line="360" w:lineRule="auto"/>
        <w:jc w:val="both"/>
        <w:rPr>
          <w:rFonts w:ascii="Times New Roman" w:hAnsi="Times New Roman" w:cs="Times New Roman"/>
          <w:b/>
          <w:bCs/>
          <w:sz w:val="22"/>
          <w:szCs w:val="22"/>
        </w:rPr>
      </w:pPr>
      <w:r w:rsidRPr="00886270">
        <w:rPr>
          <w:rFonts w:ascii="Times New Roman" w:hAnsi="Times New Roman" w:cs="Times New Roman"/>
          <w:b/>
          <w:bCs/>
          <w:sz w:val="22"/>
          <w:szCs w:val="22"/>
        </w:rPr>
        <w:t xml:space="preserve">Key words: Premium Motor Spirit, Environmental sustainability, population growth rate and hydroelectricity </w:t>
      </w:r>
    </w:p>
    <w:p w14:paraId="1CF9656D" w14:textId="28221478" w:rsidR="003B18E9" w:rsidRPr="00886270" w:rsidRDefault="003B18E9" w:rsidP="00886270">
      <w:pPr>
        <w:pStyle w:val="ListParagraph"/>
        <w:numPr>
          <w:ilvl w:val="0"/>
          <w:numId w:val="2"/>
        </w:numPr>
        <w:spacing w:line="360" w:lineRule="auto"/>
        <w:jc w:val="both"/>
        <w:rPr>
          <w:rFonts w:ascii="Times New Roman" w:hAnsi="Times New Roman" w:cs="Times New Roman"/>
          <w:b/>
          <w:bCs/>
          <w:sz w:val="22"/>
          <w:szCs w:val="22"/>
        </w:rPr>
      </w:pPr>
      <w:r w:rsidRPr="00886270">
        <w:rPr>
          <w:rFonts w:ascii="Times New Roman" w:hAnsi="Times New Roman" w:cs="Times New Roman"/>
          <w:b/>
          <w:bCs/>
          <w:sz w:val="22"/>
          <w:szCs w:val="22"/>
        </w:rPr>
        <w:t>Introduction</w:t>
      </w:r>
    </w:p>
    <w:p w14:paraId="26B4B4FB" w14:textId="77777777"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Nigeria, a rapidly developing country with a growing population, faces the dual challenge of meeting its increasing energy needs while protecting its environment. Despite being endowed with abundant energy resources, Nigeria has been struggling with energy poverty in its pursuit of individual and national economic goals. According to the Nigerian Upstream Petroleum Regulatory Commission's Report, Nigeria has recorded a combined reserve of 37.5 billion barrels of crude oil and condensate, solidifying its position as the second largest in Africa and the tenth largest in the world (</w:t>
      </w:r>
      <w:proofErr w:type="spellStart"/>
      <w:r w:rsidRPr="00886270">
        <w:rPr>
          <w:rFonts w:ascii="Times New Roman" w:hAnsi="Times New Roman" w:cs="Times New Roman"/>
          <w:sz w:val="22"/>
          <w:szCs w:val="22"/>
        </w:rPr>
        <w:t>Villar</w:t>
      </w:r>
      <w:proofErr w:type="spellEnd"/>
      <w:r w:rsidRPr="00886270">
        <w:rPr>
          <w:rFonts w:ascii="Times New Roman" w:hAnsi="Times New Roman" w:cs="Times New Roman"/>
          <w:sz w:val="22"/>
          <w:szCs w:val="22"/>
        </w:rPr>
        <w:t>, 2023). Unfortunately, Nigeria continues to grapple with significant obstacles in the production and distribution of premium motor spirit and power to its burgeoning population. This energy scarcity has compelled the ambitious population to resort to poor-quality energy sources to power their daily economic activities, leading to negative environmental consequences such as land degradation and climate change (</w:t>
      </w:r>
      <w:proofErr w:type="spellStart"/>
      <w:r w:rsidRPr="00886270">
        <w:rPr>
          <w:rFonts w:ascii="Times New Roman" w:hAnsi="Times New Roman" w:cs="Times New Roman"/>
          <w:sz w:val="22"/>
          <w:szCs w:val="22"/>
        </w:rPr>
        <w:t>Nwozor</w:t>
      </w:r>
      <w:proofErr w:type="spellEnd"/>
      <w:r w:rsidRPr="00886270">
        <w:rPr>
          <w:rFonts w:ascii="Times New Roman" w:hAnsi="Times New Roman" w:cs="Times New Roman"/>
          <w:sz w:val="22"/>
          <w:szCs w:val="22"/>
        </w:rPr>
        <w:t xml:space="preserve"> et al., 2019).</w:t>
      </w:r>
    </w:p>
    <w:p w14:paraId="7D8FC55D" w14:textId="77777777" w:rsidR="003B18E9" w:rsidRPr="00886270" w:rsidRDefault="003B18E9" w:rsidP="00886270">
      <w:pPr>
        <w:spacing w:line="360" w:lineRule="auto"/>
        <w:jc w:val="both"/>
        <w:rPr>
          <w:rFonts w:ascii="Times New Roman" w:hAnsi="Times New Roman" w:cs="Times New Roman"/>
          <w:bCs/>
          <w:sz w:val="22"/>
          <w:szCs w:val="22"/>
        </w:rPr>
      </w:pPr>
      <w:r w:rsidRPr="00886270">
        <w:rPr>
          <w:rFonts w:ascii="Times New Roman" w:hAnsi="Times New Roman" w:cs="Times New Roman"/>
          <w:bCs/>
          <w:sz w:val="22"/>
          <w:szCs w:val="22"/>
        </w:rPr>
        <w:lastRenderedPageBreak/>
        <w:t>Fossil fuel consumption in Nigeria and other parts of the world is a major contributor to greenhouse gas emissions, primarily carbon dioxide. These emissions are a significant driver of global climate change, leading to rising temperatures, altered precipitation patterns, and increased frequency of extreme weather events. Nigeria is already grappling with the consequences of climate change, including desertification, flooding, and coastal erosion. In August 2012, Nigeria experienced its most severe floods in four decades, affecting 7 million people across 33 states, and an estimated 2 million victims losing their homes due to the elevated floodwaters. The 2012 Niger Delta floods, linked to climate change, caused widespread destruction to house, farmland, crops, and property, as well as loss of life (Hassan et al., 2020). Furthermore, in 2014, a windstorm in the southwest region of Nigeria was reported to have demolished approximately 5,000 houses across four states, according to the National Emergency Management Agency. These unintended negative environmental impacts have prompted government interventions focused on environmental sustainability.</w:t>
      </w:r>
    </w:p>
    <w:p w14:paraId="0F938C3B" w14:textId="755631D9" w:rsidR="003B18E9" w:rsidRPr="00886270" w:rsidRDefault="003B18E9" w:rsidP="00886270">
      <w:pPr>
        <w:spacing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 xml:space="preserve">Nigeria, endowed with abundant energy resources, has chosen to prioritize the global agenda of environmental sustainability and climate change, even though this decision carries social and economic implications for the country. The Nigerian government has domesticated international agreements, enacted domestic legislation, implemented policies, and introduced stricter regulations to realize this goal. However, this </w:t>
      </w:r>
      <w:r w:rsidR="008D2B9F" w:rsidRPr="00886270">
        <w:rPr>
          <w:rFonts w:ascii="Times New Roman" w:hAnsi="Times New Roman" w:cs="Times New Roman"/>
          <w:bCs/>
          <w:color w:val="000000"/>
          <w:sz w:val="22"/>
          <w:szCs w:val="22"/>
        </w:rPr>
        <w:t>decision could cause the abundant natural resources such oil and gas to remain stranded and economic waste</w:t>
      </w:r>
      <w:r w:rsidRPr="00886270">
        <w:rPr>
          <w:rFonts w:ascii="Times New Roman" w:hAnsi="Times New Roman" w:cs="Times New Roman"/>
          <w:bCs/>
          <w:color w:val="000000"/>
          <w:sz w:val="22"/>
          <w:szCs w:val="22"/>
        </w:rPr>
        <w:t xml:space="preserve">. </w:t>
      </w:r>
      <w:r w:rsidR="008D2B9F" w:rsidRPr="00886270">
        <w:rPr>
          <w:rFonts w:ascii="Times New Roman" w:hAnsi="Times New Roman" w:cs="Times New Roman"/>
          <w:bCs/>
          <w:color w:val="000000"/>
          <w:sz w:val="22"/>
          <w:szCs w:val="22"/>
        </w:rPr>
        <w:t>Additionally</w:t>
      </w:r>
      <w:r w:rsidRPr="00886270">
        <w:rPr>
          <w:rFonts w:ascii="Times New Roman" w:hAnsi="Times New Roman" w:cs="Times New Roman"/>
          <w:bCs/>
          <w:color w:val="000000"/>
          <w:sz w:val="22"/>
          <w:szCs w:val="22"/>
        </w:rPr>
        <w:t>,</w:t>
      </w:r>
      <w:r w:rsidR="008D2B9F" w:rsidRPr="00886270">
        <w:rPr>
          <w:rFonts w:ascii="Times New Roman" w:hAnsi="Times New Roman" w:cs="Times New Roman"/>
          <w:bCs/>
          <w:color w:val="000000"/>
          <w:sz w:val="22"/>
          <w:szCs w:val="22"/>
        </w:rPr>
        <w:t xml:space="preserve"> the development and enforcement of environmental regulations require huge financial burden on individuals, legal entities and government</w:t>
      </w:r>
      <w:r w:rsidRPr="00886270">
        <w:rPr>
          <w:rFonts w:ascii="Times New Roman" w:hAnsi="Times New Roman" w:cs="Times New Roman"/>
          <w:bCs/>
          <w:color w:val="000000"/>
          <w:sz w:val="22"/>
          <w:szCs w:val="22"/>
        </w:rPr>
        <w:t xml:space="preserve"> (</w:t>
      </w:r>
      <w:proofErr w:type="spellStart"/>
      <w:r w:rsidRPr="00886270">
        <w:rPr>
          <w:rFonts w:ascii="Times New Roman" w:hAnsi="Times New Roman" w:cs="Times New Roman"/>
          <w:bCs/>
          <w:color w:val="000000"/>
          <w:sz w:val="22"/>
          <w:szCs w:val="22"/>
        </w:rPr>
        <w:t>Kalagbor</w:t>
      </w:r>
      <w:proofErr w:type="spellEnd"/>
      <w:r w:rsidRPr="00886270">
        <w:rPr>
          <w:rFonts w:ascii="Times New Roman" w:hAnsi="Times New Roman" w:cs="Times New Roman"/>
          <w:bCs/>
          <w:color w:val="000000"/>
          <w:sz w:val="22"/>
          <w:szCs w:val="22"/>
        </w:rPr>
        <w:t xml:space="preserve"> et al., 2022).</w:t>
      </w:r>
    </w:p>
    <w:p w14:paraId="644F2BAB" w14:textId="56064672" w:rsidR="00010F1C" w:rsidRPr="00886270" w:rsidRDefault="003B18E9" w:rsidP="00886270">
      <w:pPr>
        <w:spacing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Despite various</w:t>
      </w:r>
      <w:r w:rsidR="00010F1C" w:rsidRPr="00886270">
        <w:rPr>
          <w:rFonts w:ascii="Times New Roman" w:hAnsi="Times New Roman" w:cs="Times New Roman"/>
          <w:bCs/>
          <w:color w:val="000000"/>
          <w:sz w:val="22"/>
          <w:szCs w:val="22"/>
        </w:rPr>
        <w:t xml:space="preserve"> government efforts towards achieving</w:t>
      </w:r>
      <w:r w:rsidRPr="00886270">
        <w:rPr>
          <w:rFonts w:ascii="Times New Roman" w:hAnsi="Times New Roman" w:cs="Times New Roman"/>
          <w:bCs/>
          <w:color w:val="000000"/>
          <w:sz w:val="22"/>
          <w:szCs w:val="22"/>
        </w:rPr>
        <w:t xml:space="preserve"> environmental sustainability, </w:t>
      </w:r>
      <w:r w:rsidR="00010F1C" w:rsidRPr="00886270">
        <w:rPr>
          <w:rFonts w:ascii="Times New Roman" w:hAnsi="Times New Roman" w:cs="Times New Roman"/>
          <w:bCs/>
          <w:color w:val="000000"/>
          <w:sz w:val="22"/>
          <w:szCs w:val="22"/>
        </w:rPr>
        <w:t xml:space="preserve">one of the challenges lies in understanding the intricate relationship among </w:t>
      </w:r>
      <w:r w:rsidRPr="00886270">
        <w:rPr>
          <w:rFonts w:ascii="Times New Roman" w:hAnsi="Times New Roman" w:cs="Times New Roman"/>
          <w:bCs/>
          <w:color w:val="000000"/>
          <w:sz w:val="22"/>
          <w:szCs w:val="22"/>
        </w:rPr>
        <w:t>Premium Motor Spirit consumption,</w:t>
      </w:r>
      <w:r w:rsidR="00010F1C" w:rsidRPr="00886270">
        <w:rPr>
          <w:rFonts w:ascii="Times New Roman" w:hAnsi="Times New Roman" w:cs="Times New Roman"/>
          <w:bCs/>
          <w:color w:val="000000"/>
          <w:sz w:val="22"/>
          <w:szCs w:val="22"/>
        </w:rPr>
        <w:t xml:space="preserve"> population growth and environmental</w:t>
      </w:r>
      <w:r w:rsidRPr="00886270">
        <w:rPr>
          <w:rFonts w:ascii="Times New Roman" w:hAnsi="Times New Roman" w:cs="Times New Roman"/>
          <w:bCs/>
          <w:color w:val="000000"/>
          <w:sz w:val="22"/>
          <w:szCs w:val="22"/>
        </w:rPr>
        <w:t xml:space="preserve"> degradation. This</w:t>
      </w:r>
      <w:r w:rsidR="00010F1C" w:rsidRPr="00886270">
        <w:rPr>
          <w:rFonts w:ascii="Times New Roman" w:hAnsi="Times New Roman" w:cs="Times New Roman"/>
          <w:bCs/>
          <w:color w:val="000000"/>
          <w:sz w:val="22"/>
          <w:szCs w:val="22"/>
        </w:rPr>
        <w:t xml:space="preserve"> study </w:t>
      </w:r>
      <w:r w:rsidR="00E80264" w:rsidRPr="00886270">
        <w:rPr>
          <w:rFonts w:ascii="Times New Roman" w:hAnsi="Times New Roman" w:cs="Times New Roman"/>
          <w:bCs/>
          <w:color w:val="000000"/>
          <w:sz w:val="22"/>
          <w:szCs w:val="22"/>
        </w:rPr>
        <w:t>seeks</w:t>
      </w:r>
      <w:r w:rsidR="00010F1C" w:rsidRPr="00886270">
        <w:rPr>
          <w:rFonts w:ascii="Times New Roman" w:hAnsi="Times New Roman" w:cs="Times New Roman"/>
          <w:bCs/>
          <w:color w:val="000000"/>
          <w:sz w:val="22"/>
          <w:szCs w:val="22"/>
        </w:rPr>
        <w:t xml:space="preserve"> to unravel their complex relationship and assess the effectiveness of policy implementations such as renewable energy consumption for achieving sustainable energy future.</w:t>
      </w:r>
    </w:p>
    <w:p w14:paraId="6A58D0D8" w14:textId="274D17EE"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Nigeria</w:t>
      </w:r>
      <w:r w:rsidR="00E80264" w:rsidRPr="00886270">
        <w:rPr>
          <w:rFonts w:ascii="Times New Roman" w:hAnsi="Times New Roman" w:cs="Times New Roman"/>
          <w:sz w:val="22"/>
          <w:szCs w:val="22"/>
        </w:rPr>
        <w:t xml:space="preserve"> </w:t>
      </w:r>
      <w:r w:rsidR="00B81AA2" w:rsidRPr="00886270">
        <w:rPr>
          <w:rFonts w:ascii="Times New Roman" w:hAnsi="Times New Roman" w:cs="Times New Roman"/>
          <w:sz w:val="22"/>
          <w:szCs w:val="22"/>
        </w:rPr>
        <w:t>has a rapidly growing population which has impact on the consumption of premium motor spirit and other form of energy</w:t>
      </w:r>
      <w:r w:rsidRPr="00886270">
        <w:rPr>
          <w:rFonts w:ascii="Times New Roman" w:hAnsi="Times New Roman" w:cs="Times New Roman"/>
          <w:sz w:val="22"/>
          <w:szCs w:val="22"/>
        </w:rPr>
        <w:t xml:space="preserve">. </w:t>
      </w:r>
      <w:r w:rsidR="00B81AA2" w:rsidRPr="00886270">
        <w:rPr>
          <w:rFonts w:ascii="Times New Roman" w:hAnsi="Times New Roman" w:cs="Times New Roman"/>
          <w:sz w:val="22"/>
          <w:szCs w:val="22"/>
        </w:rPr>
        <w:t xml:space="preserve">The populace and the need to commute across locations cause a high demand for transportation which increase the number of vehicles nationwide. </w:t>
      </w:r>
      <w:r w:rsidRPr="00886270">
        <w:rPr>
          <w:rFonts w:ascii="Times New Roman" w:hAnsi="Times New Roman" w:cs="Times New Roman"/>
          <w:sz w:val="22"/>
          <w:szCs w:val="22"/>
        </w:rPr>
        <w:t>This, in turn, exacerbates traffic congestion, causing idling vehicles that further drive-up PMS demand. Furthermore, a larger population corresponds with heightened demand for goods and services, requiring more freight transportation that heavily relies on PMS-powered trucks, further contributing to overall PMS consumption (</w:t>
      </w:r>
      <w:proofErr w:type="spellStart"/>
      <w:r w:rsidRPr="00886270">
        <w:rPr>
          <w:rFonts w:ascii="Times New Roman" w:hAnsi="Times New Roman" w:cs="Times New Roman"/>
          <w:sz w:val="22"/>
          <w:szCs w:val="22"/>
        </w:rPr>
        <w:t>Pooladsanj</w:t>
      </w:r>
      <w:proofErr w:type="spellEnd"/>
      <w:r w:rsidRPr="00886270">
        <w:rPr>
          <w:rFonts w:ascii="Times New Roman" w:hAnsi="Times New Roman" w:cs="Times New Roman"/>
          <w:sz w:val="22"/>
          <w:szCs w:val="22"/>
        </w:rPr>
        <w:t xml:space="preserve"> et al., 2023).</w:t>
      </w:r>
    </w:p>
    <w:p w14:paraId="6C50E9CC" w14:textId="77777777" w:rsidR="003B18E9" w:rsidRPr="00886270" w:rsidRDefault="003B18E9" w:rsidP="00886270">
      <w:pPr>
        <w:spacing w:line="360" w:lineRule="auto"/>
        <w:jc w:val="both"/>
        <w:rPr>
          <w:rFonts w:ascii="Times New Roman" w:hAnsi="Times New Roman" w:cs="Times New Roman"/>
          <w:bCs/>
          <w:color w:val="000000"/>
          <w:sz w:val="22"/>
          <w:szCs w:val="22"/>
          <w:shd w:val="clear" w:color="auto" w:fill="FFFFFF"/>
        </w:rPr>
      </w:pPr>
      <w:r w:rsidRPr="00886270">
        <w:rPr>
          <w:rFonts w:ascii="Times New Roman" w:hAnsi="Times New Roman" w:cs="Times New Roman"/>
          <w:bCs/>
          <w:color w:val="000000"/>
          <w:sz w:val="22"/>
          <w:szCs w:val="22"/>
          <w:shd w:val="clear" w:color="auto" w:fill="FFFFFF"/>
        </w:rPr>
        <w:t xml:space="preserve">Consumers are primarily interested in the services that energy enables, such as refrigeration, hot water, air conditioning, and powering machines and computers. Energy consumption is the main factor in the operating costs of most devices (Das et al., 2022). This is a major concern for consumers, as the raw </w:t>
      </w:r>
      <w:r w:rsidRPr="00886270">
        <w:rPr>
          <w:rFonts w:ascii="Times New Roman" w:hAnsi="Times New Roman" w:cs="Times New Roman"/>
          <w:bCs/>
          <w:color w:val="000000"/>
          <w:sz w:val="22"/>
          <w:szCs w:val="22"/>
          <w:shd w:val="clear" w:color="auto" w:fill="FFFFFF"/>
        </w:rPr>
        <w:lastRenderedPageBreak/>
        <w:t>energy units cannot be directly used. However, in areas with low energy costs, the focus on energy usage and efficiency decreases. (Kim et al., 2023)</w:t>
      </w:r>
    </w:p>
    <w:p w14:paraId="5541D11A" w14:textId="53BFB1E0" w:rsidR="0044481D"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 xml:space="preserve">The substantial portion of Nigeria's economy that operates within the informal sector often relies on small-scale transportation modes, such as motorcycles and tricycles, which primarily utilize PMS (Aliyu et al., 2020). </w:t>
      </w:r>
      <w:r w:rsidR="004B451B" w:rsidRPr="00886270">
        <w:rPr>
          <w:rFonts w:ascii="Times New Roman" w:hAnsi="Times New Roman" w:cs="Times New Roman"/>
          <w:sz w:val="22"/>
          <w:szCs w:val="22"/>
        </w:rPr>
        <w:t xml:space="preserve">Involvement in myriad economic activities increase the income levels of the </w:t>
      </w:r>
      <w:proofErr w:type="spellStart"/>
      <w:r w:rsidR="004B451B" w:rsidRPr="00886270">
        <w:rPr>
          <w:rFonts w:ascii="Times New Roman" w:hAnsi="Times New Roman" w:cs="Times New Roman"/>
          <w:sz w:val="22"/>
          <w:szCs w:val="22"/>
        </w:rPr>
        <w:t>upsurging</w:t>
      </w:r>
      <w:proofErr w:type="spellEnd"/>
      <w:r w:rsidR="004B451B" w:rsidRPr="00886270">
        <w:rPr>
          <w:rFonts w:ascii="Times New Roman" w:hAnsi="Times New Roman" w:cs="Times New Roman"/>
          <w:sz w:val="22"/>
          <w:szCs w:val="22"/>
        </w:rPr>
        <w:t xml:space="preserve"> population causing speedy rise in vehicle ownership and corresponding increase in PMS consumption. </w:t>
      </w:r>
      <w:r w:rsidR="00AA25C9" w:rsidRPr="00886270">
        <w:rPr>
          <w:rFonts w:ascii="Times New Roman" w:hAnsi="Times New Roman" w:cs="Times New Roman"/>
          <w:sz w:val="22"/>
          <w:szCs w:val="22"/>
        </w:rPr>
        <w:t xml:space="preserve">Many Nigerians are using old and less efficient appliances and vehicles which constitute continuous increase in PMS consumption </w:t>
      </w:r>
      <w:proofErr w:type="gramStart"/>
      <w:r w:rsidRPr="00886270">
        <w:rPr>
          <w:rFonts w:ascii="Times New Roman" w:hAnsi="Times New Roman" w:cs="Times New Roman"/>
          <w:sz w:val="22"/>
          <w:szCs w:val="22"/>
        </w:rPr>
        <w:t>(</w:t>
      </w:r>
      <w:r w:rsidR="00AA25C9" w:rsidRPr="00886270">
        <w:rPr>
          <w:rFonts w:ascii="Times New Roman" w:hAnsi="Times New Roman" w:cs="Times New Roman"/>
          <w:sz w:val="22"/>
          <w:szCs w:val="22"/>
        </w:rPr>
        <w:t xml:space="preserve"> </w:t>
      </w:r>
      <w:proofErr w:type="spellStart"/>
      <w:r w:rsidRPr="00886270">
        <w:rPr>
          <w:rFonts w:ascii="Times New Roman" w:hAnsi="Times New Roman" w:cs="Times New Roman"/>
          <w:sz w:val="22"/>
          <w:szCs w:val="22"/>
        </w:rPr>
        <w:t>Nsoke</w:t>
      </w:r>
      <w:proofErr w:type="spellEnd"/>
      <w:proofErr w:type="gramEnd"/>
      <w:r w:rsidRPr="00886270">
        <w:rPr>
          <w:rFonts w:ascii="Times New Roman" w:hAnsi="Times New Roman" w:cs="Times New Roman"/>
          <w:sz w:val="22"/>
          <w:szCs w:val="22"/>
        </w:rPr>
        <w:t xml:space="preserve"> et al., 2021). </w:t>
      </w:r>
      <w:r w:rsidR="00AA25C9" w:rsidRPr="00886270">
        <w:rPr>
          <w:rFonts w:ascii="Times New Roman" w:hAnsi="Times New Roman" w:cs="Times New Roman"/>
          <w:sz w:val="22"/>
          <w:szCs w:val="22"/>
        </w:rPr>
        <w:t>The heavy dependence on PMS consumption has since become a major source of concern as it greatly impacts the environment in areas such as air pollution and environmental degradation</w:t>
      </w:r>
      <w:r w:rsidRPr="00886270">
        <w:rPr>
          <w:rFonts w:ascii="Times New Roman" w:hAnsi="Times New Roman" w:cs="Times New Roman"/>
          <w:sz w:val="22"/>
          <w:szCs w:val="22"/>
        </w:rPr>
        <w:t>. This paper</w:t>
      </w:r>
      <w:r w:rsidR="00AA25C9" w:rsidRPr="00886270">
        <w:rPr>
          <w:rFonts w:ascii="Times New Roman" w:hAnsi="Times New Roman" w:cs="Times New Roman"/>
          <w:sz w:val="22"/>
          <w:szCs w:val="22"/>
        </w:rPr>
        <w:t xml:space="preserve"> </w:t>
      </w:r>
      <w:r w:rsidR="0044481D" w:rsidRPr="00886270">
        <w:rPr>
          <w:rFonts w:ascii="Times New Roman" w:hAnsi="Times New Roman" w:cs="Times New Roman"/>
          <w:sz w:val="22"/>
          <w:szCs w:val="22"/>
        </w:rPr>
        <w:t>assesses</w:t>
      </w:r>
      <w:r w:rsidR="00AA25C9" w:rsidRPr="00886270">
        <w:rPr>
          <w:rFonts w:ascii="Times New Roman" w:hAnsi="Times New Roman" w:cs="Times New Roman"/>
          <w:sz w:val="22"/>
          <w:szCs w:val="22"/>
        </w:rPr>
        <w:t xml:space="preserve"> the interconnectivity between PMS consumption and environmental sustainability agenda in Nigeria while capturing additional variables such as population growth and renewable energy consumption </w:t>
      </w:r>
      <w:r w:rsidR="0044481D" w:rsidRPr="00886270">
        <w:rPr>
          <w:rFonts w:ascii="Times New Roman" w:hAnsi="Times New Roman" w:cs="Times New Roman"/>
          <w:sz w:val="22"/>
          <w:szCs w:val="22"/>
        </w:rPr>
        <w:t>entire ecosystem of the model.</w:t>
      </w:r>
    </w:p>
    <w:p w14:paraId="7005E5B1" w14:textId="4D5A6ED3" w:rsidR="003B18E9" w:rsidRPr="00087F42" w:rsidRDefault="003B18E9" w:rsidP="00886270">
      <w:pPr>
        <w:pStyle w:val="ListParagraph"/>
        <w:numPr>
          <w:ilvl w:val="0"/>
          <w:numId w:val="2"/>
        </w:numPr>
        <w:spacing w:line="360" w:lineRule="auto"/>
        <w:jc w:val="both"/>
        <w:rPr>
          <w:b/>
          <w:sz w:val="22"/>
          <w:szCs w:val="22"/>
        </w:rPr>
      </w:pPr>
      <w:bookmarkStart w:id="1" w:name="_Hlk173450990"/>
      <w:r w:rsidRPr="00087F42">
        <w:rPr>
          <w:rFonts w:ascii="Times New Roman" w:hAnsi="Times New Roman" w:cs="Times New Roman"/>
          <w:b/>
          <w:color w:val="000000"/>
          <w:spacing w:val="2"/>
          <w:sz w:val="22"/>
          <w:szCs w:val="22"/>
          <w:shd w:val="clear" w:color="auto" w:fill="FFFFFF"/>
        </w:rPr>
        <w:t>Review of Literature</w:t>
      </w:r>
    </w:p>
    <w:bookmarkEnd w:id="1"/>
    <w:p w14:paraId="34F8DF49" w14:textId="27914896" w:rsidR="00087F42" w:rsidRDefault="00087F42" w:rsidP="00087F42">
      <w:pPr>
        <w:spacing w:line="360" w:lineRule="auto"/>
        <w:jc w:val="both"/>
        <w:rPr>
          <w:rFonts w:ascii="Times New Roman" w:hAnsi="Times New Roman" w:cs="Times New Roman"/>
          <w:bCs/>
          <w:color w:val="000000"/>
          <w:spacing w:val="2"/>
          <w:sz w:val="22"/>
          <w:szCs w:val="22"/>
          <w:shd w:val="clear" w:color="auto" w:fill="FFFFFF"/>
        </w:rPr>
      </w:pPr>
      <w:r w:rsidRPr="00087F42">
        <w:rPr>
          <w:rFonts w:ascii="Times New Roman" w:hAnsi="Times New Roman" w:cs="Times New Roman"/>
          <w:bCs/>
          <w:color w:val="000000"/>
          <w:spacing w:val="2"/>
          <w:sz w:val="22"/>
          <w:szCs w:val="22"/>
          <w:shd w:val="clear" w:color="auto" w:fill="FFFFFF"/>
        </w:rPr>
        <w:t xml:space="preserve">The Environmental Kuznets Curve analysis originates from the inverted U-shape curve developed by Kuznets in 1955. This was initially meant to </w:t>
      </w:r>
      <w:proofErr w:type="spellStart"/>
      <w:r w:rsidRPr="00087F42">
        <w:rPr>
          <w:rFonts w:ascii="Times New Roman" w:hAnsi="Times New Roman" w:cs="Times New Roman"/>
          <w:bCs/>
          <w:color w:val="000000"/>
          <w:spacing w:val="2"/>
          <w:sz w:val="22"/>
          <w:szCs w:val="22"/>
          <w:shd w:val="clear" w:color="auto" w:fill="FFFFFF"/>
        </w:rPr>
        <w:t>analyse</w:t>
      </w:r>
      <w:proofErr w:type="spellEnd"/>
      <w:r w:rsidRPr="00087F42">
        <w:rPr>
          <w:rFonts w:ascii="Times New Roman" w:hAnsi="Times New Roman" w:cs="Times New Roman"/>
          <w:bCs/>
          <w:color w:val="000000"/>
          <w:spacing w:val="2"/>
          <w:sz w:val="22"/>
          <w:szCs w:val="22"/>
          <w:shd w:val="clear" w:color="auto" w:fill="FFFFFF"/>
        </w:rPr>
        <w:t xml:space="preserve"> the correlation between per capital income and income inequality but consequently gain prominence when it was applied in the analysis of environmental issues (</w:t>
      </w:r>
      <w:proofErr w:type="spellStart"/>
      <w:r w:rsidRPr="00087F42">
        <w:rPr>
          <w:rFonts w:ascii="Times New Roman" w:hAnsi="Times New Roman" w:cs="Times New Roman"/>
          <w:bCs/>
          <w:color w:val="000000"/>
          <w:spacing w:val="2"/>
          <w:sz w:val="22"/>
          <w:szCs w:val="22"/>
          <w:shd w:val="clear" w:color="auto" w:fill="FFFFFF"/>
        </w:rPr>
        <w:t>Zhi</w:t>
      </w:r>
      <w:proofErr w:type="spellEnd"/>
      <w:r w:rsidRPr="00087F42">
        <w:rPr>
          <w:rFonts w:ascii="Times New Roman" w:hAnsi="Times New Roman" w:cs="Times New Roman"/>
          <w:bCs/>
          <w:color w:val="000000"/>
          <w:spacing w:val="2"/>
          <w:sz w:val="22"/>
          <w:szCs w:val="22"/>
          <w:shd w:val="clear" w:color="auto" w:fill="FFFFFF"/>
        </w:rPr>
        <w:t xml:space="preserve"> et al., 2023). The theory was subsequently applied in testing the hypothesis on the impact of economic growth on the environment as noted by </w:t>
      </w:r>
      <w:proofErr w:type="spellStart"/>
      <w:r w:rsidRPr="00087F42">
        <w:rPr>
          <w:rFonts w:ascii="Times New Roman" w:hAnsi="Times New Roman" w:cs="Times New Roman"/>
          <w:bCs/>
          <w:color w:val="000000"/>
          <w:spacing w:val="2"/>
          <w:sz w:val="22"/>
          <w:szCs w:val="22"/>
          <w:shd w:val="clear" w:color="auto" w:fill="FFFFFF"/>
        </w:rPr>
        <w:t>Panayotou</w:t>
      </w:r>
      <w:proofErr w:type="spellEnd"/>
      <w:r w:rsidRPr="00087F42">
        <w:rPr>
          <w:rFonts w:ascii="Times New Roman" w:hAnsi="Times New Roman" w:cs="Times New Roman"/>
          <w:bCs/>
          <w:color w:val="000000"/>
          <w:spacing w:val="2"/>
          <w:sz w:val="22"/>
          <w:szCs w:val="22"/>
          <w:shd w:val="clear" w:color="auto" w:fill="FFFFFF"/>
        </w:rPr>
        <w:t xml:space="preserve"> (</w:t>
      </w:r>
      <w:proofErr w:type="spellStart"/>
      <w:r w:rsidRPr="00087F42">
        <w:rPr>
          <w:rFonts w:ascii="Times New Roman" w:hAnsi="Times New Roman" w:cs="Times New Roman"/>
          <w:bCs/>
          <w:color w:val="000000"/>
          <w:spacing w:val="2"/>
          <w:sz w:val="22"/>
          <w:szCs w:val="22"/>
          <w:shd w:val="clear" w:color="auto" w:fill="FFFFFF"/>
        </w:rPr>
        <w:t>Şentürk</w:t>
      </w:r>
      <w:proofErr w:type="spellEnd"/>
      <w:r w:rsidRPr="00087F42">
        <w:rPr>
          <w:rFonts w:ascii="Times New Roman" w:hAnsi="Times New Roman" w:cs="Times New Roman"/>
          <w:bCs/>
          <w:color w:val="000000"/>
          <w:spacing w:val="2"/>
          <w:sz w:val="22"/>
          <w:szCs w:val="22"/>
          <w:shd w:val="clear" w:color="auto" w:fill="FFFFFF"/>
        </w:rPr>
        <w:t xml:space="preserve"> et al., 2020). The EKC is typically shown in stages as shown below:    </w:t>
      </w:r>
    </w:p>
    <w:p w14:paraId="4A9ABBFA" w14:textId="77777777" w:rsidR="00087F42" w:rsidRPr="00087F42" w:rsidRDefault="00087F42" w:rsidP="00087F42">
      <w:pPr>
        <w:spacing w:line="360" w:lineRule="auto"/>
        <w:jc w:val="both"/>
        <w:rPr>
          <w:sz w:val="22"/>
          <w:szCs w:val="22"/>
        </w:rPr>
      </w:pPr>
      <w:r w:rsidRPr="00886270">
        <w:rPr>
          <w:noProof/>
          <w:shd w:val="clear" w:color="auto" w:fill="FFFFFF"/>
        </w:rPr>
        <w:drawing>
          <wp:inline distT="0" distB="0" distL="0" distR="0" wp14:anchorId="48AC5631" wp14:editId="09A3BC66">
            <wp:extent cx="5656580" cy="2809875"/>
            <wp:effectExtent l="0" t="0" r="1270" b="9525"/>
            <wp:docPr id="2102479432" name="Picture 2" descr="kuznets-environ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71702" cy="2817387"/>
                    </a:xfrm>
                    <a:prstGeom prst="rect">
                      <a:avLst/>
                    </a:prstGeom>
                    <a:noFill/>
                    <a:ln>
                      <a:noFill/>
                      <a:prstDash/>
                    </a:ln>
                  </pic:spPr>
                </pic:pic>
              </a:graphicData>
            </a:graphic>
          </wp:inline>
        </w:drawing>
      </w:r>
      <w:r w:rsidRPr="00087F42">
        <w:rPr>
          <w:rFonts w:ascii="Times New Roman" w:hAnsi="Times New Roman" w:cs="Times New Roman"/>
          <w:bCs/>
          <w:color w:val="000000"/>
          <w:spacing w:val="2"/>
          <w:sz w:val="22"/>
          <w:szCs w:val="22"/>
          <w:shd w:val="clear" w:color="auto" w:fill="FFFFFF"/>
        </w:rPr>
        <w:t xml:space="preserve">                                           </w:t>
      </w:r>
    </w:p>
    <w:p w14:paraId="2D2A3219" w14:textId="77777777" w:rsidR="00087F42" w:rsidRPr="00087F42" w:rsidRDefault="00087F42" w:rsidP="00087F42">
      <w:pPr>
        <w:spacing w:line="360" w:lineRule="auto"/>
        <w:jc w:val="both"/>
        <w:rPr>
          <w:rFonts w:ascii="Times New Roman" w:hAnsi="Times New Roman" w:cs="Times New Roman"/>
          <w:bCs/>
          <w:color w:val="000000"/>
          <w:spacing w:val="2"/>
          <w:sz w:val="22"/>
          <w:szCs w:val="22"/>
          <w:shd w:val="clear" w:color="auto" w:fill="FFFFFF"/>
        </w:rPr>
      </w:pPr>
      <w:r w:rsidRPr="00087F42">
        <w:rPr>
          <w:rFonts w:ascii="Times New Roman" w:hAnsi="Times New Roman" w:cs="Times New Roman"/>
          <w:bCs/>
          <w:color w:val="000000"/>
          <w:spacing w:val="2"/>
          <w:sz w:val="22"/>
          <w:szCs w:val="22"/>
          <w:shd w:val="clear" w:color="auto" w:fill="FFFFFF"/>
        </w:rPr>
        <w:t xml:space="preserve">        Figure 1: Environmental Kuznets Curve        </w:t>
      </w:r>
    </w:p>
    <w:p w14:paraId="2896A1C6" w14:textId="77777777" w:rsidR="00087F42" w:rsidRDefault="00087F42" w:rsidP="00087F42">
      <w:pPr>
        <w:spacing w:line="360" w:lineRule="auto"/>
        <w:jc w:val="both"/>
        <w:rPr>
          <w:rFonts w:ascii="Times New Roman" w:hAnsi="Times New Roman" w:cs="Times New Roman"/>
          <w:bCs/>
          <w:color w:val="000000"/>
          <w:spacing w:val="2"/>
          <w:sz w:val="22"/>
          <w:szCs w:val="22"/>
          <w:shd w:val="clear" w:color="auto" w:fill="FFFFFF"/>
        </w:rPr>
      </w:pPr>
      <w:r w:rsidRPr="00087F42">
        <w:rPr>
          <w:rFonts w:ascii="Times New Roman" w:hAnsi="Times New Roman" w:cs="Times New Roman"/>
          <w:bCs/>
          <w:color w:val="000000"/>
          <w:spacing w:val="2"/>
          <w:sz w:val="22"/>
          <w:szCs w:val="22"/>
          <w:shd w:val="clear" w:color="auto" w:fill="FFFFFF"/>
        </w:rPr>
        <w:t xml:space="preserve">The outcome of research carried out by economist Simon Kuznets in the 1950s and 1960s set the premise for understanding the linkage between economic growth and environment. They clarify that </w:t>
      </w:r>
      <w:r w:rsidRPr="00087F42">
        <w:rPr>
          <w:rFonts w:ascii="Times New Roman" w:hAnsi="Times New Roman" w:cs="Times New Roman"/>
          <w:bCs/>
          <w:color w:val="000000"/>
          <w:spacing w:val="2"/>
          <w:sz w:val="22"/>
          <w:szCs w:val="22"/>
          <w:shd w:val="clear" w:color="auto" w:fill="FFFFFF"/>
        </w:rPr>
        <w:lastRenderedPageBreak/>
        <w:t>as a country develops, the environment initially records high level of degradation to a threshold, thereafter, the pollution starts to decline (</w:t>
      </w:r>
      <w:proofErr w:type="spellStart"/>
      <w:r w:rsidRPr="00087F42">
        <w:rPr>
          <w:rFonts w:ascii="Times New Roman" w:hAnsi="Times New Roman" w:cs="Times New Roman"/>
          <w:bCs/>
          <w:color w:val="000000"/>
          <w:spacing w:val="2"/>
          <w:sz w:val="22"/>
          <w:szCs w:val="22"/>
          <w:shd w:val="clear" w:color="auto" w:fill="FFFFFF"/>
        </w:rPr>
        <w:t>Zhi</w:t>
      </w:r>
      <w:proofErr w:type="spellEnd"/>
      <w:r w:rsidRPr="00087F42">
        <w:rPr>
          <w:rFonts w:ascii="Times New Roman" w:hAnsi="Times New Roman" w:cs="Times New Roman"/>
          <w:bCs/>
          <w:color w:val="000000"/>
          <w:spacing w:val="2"/>
          <w:sz w:val="22"/>
          <w:szCs w:val="22"/>
          <w:shd w:val="clear" w:color="auto" w:fill="FFFFFF"/>
        </w:rPr>
        <w:t xml:space="preserve"> et al., 2023).</w:t>
      </w:r>
    </w:p>
    <w:p w14:paraId="514E6F5B" w14:textId="210A70D0" w:rsidR="00087F42" w:rsidRPr="00087F42" w:rsidRDefault="00087F42" w:rsidP="00087F42">
      <w:pPr>
        <w:spacing w:line="360" w:lineRule="auto"/>
        <w:jc w:val="both"/>
        <w:rPr>
          <w:rFonts w:ascii="Times New Roman" w:hAnsi="Times New Roman" w:cs="Times New Roman"/>
          <w:bCs/>
          <w:color w:val="000000"/>
          <w:spacing w:val="2"/>
          <w:sz w:val="22"/>
          <w:szCs w:val="22"/>
          <w:shd w:val="clear" w:color="auto" w:fill="FFFFFF"/>
        </w:rPr>
      </w:pPr>
      <w:r w:rsidRPr="00087F42">
        <w:rPr>
          <w:rFonts w:ascii="Times New Roman" w:hAnsi="Times New Roman" w:cs="Times New Roman"/>
          <w:bCs/>
          <w:color w:val="000000"/>
          <w:spacing w:val="2"/>
          <w:sz w:val="22"/>
          <w:szCs w:val="22"/>
          <w:shd w:val="clear" w:color="auto" w:fill="FFFFFF"/>
        </w:rPr>
        <w:t xml:space="preserve">The three stages of Environmental Kuznets Curve Analysis comprise of the pre-industrial economy which is characterized by abundant natural resources but less waste. The second   stage is the industrial economy marks by diminishing natural resources increasing pollution and reducing ecosystem regeneration, ineffective environmental regulations and insufficient conservation financing. And the post-industrial economy is characterized by advancement in technology, provision of industrial services, effective compliance with environmental regulations resulting to an improved environmental condition (Zhang et al., 2022). The post-industrial economic stage demonstrates the institutionalization of rising income levels, high capacity to reduce pollution via the utilization of awareness strategy causing the adoption of cleaner technology that guarantees an environment with good condition.  </w:t>
      </w:r>
    </w:p>
    <w:p w14:paraId="4912CD33" w14:textId="77777777" w:rsidR="00087F42" w:rsidRPr="00AC5D9B" w:rsidRDefault="00087F42" w:rsidP="00AC5D9B">
      <w:pPr>
        <w:spacing w:line="360" w:lineRule="auto"/>
        <w:jc w:val="both"/>
        <w:rPr>
          <w:rFonts w:ascii="Times New Roman" w:hAnsi="Times New Roman" w:cs="Times New Roman"/>
          <w:bCs/>
          <w:color w:val="000000"/>
          <w:spacing w:val="2"/>
          <w:sz w:val="22"/>
          <w:szCs w:val="22"/>
          <w:shd w:val="clear" w:color="auto" w:fill="FFFFFF"/>
        </w:rPr>
      </w:pPr>
      <w:r w:rsidRPr="00AC5D9B">
        <w:rPr>
          <w:rFonts w:ascii="Times New Roman" w:hAnsi="Times New Roman" w:cs="Times New Roman"/>
          <w:bCs/>
          <w:color w:val="000000"/>
          <w:spacing w:val="2"/>
          <w:sz w:val="22"/>
          <w:szCs w:val="22"/>
          <w:shd w:val="clear" w:color="auto" w:fill="FFFFFF"/>
        </w:rPr>
        <w:t xml:space="preserve">The application of the theory is not generic for all nations. The outcome of a study carried out by </w:t>
      </w:r>
      <w:proofErr w:type="spellStart"/>
      <w:r w:rsidRPr="00AC5D9B">
        <w:rPr>
          <w:rFonts w:ascii="Times New Roman" w:hAnsi="Times New Roman" w:cs="Times New Roman"/>
          <w:bCs/>
          <w:color w:val="000000"/>
          <w:spacing w:val="2"/>
          <w:sz w:val="22"/>
          <w:szCs w:val="22"/>
          <w:shd w:val="clear" w:color="auto" w:fill="FFFFFF"/>
        </w:rPr>
        <w:t>Ficko</w:t>
      </w:r>
      <w:proofErr w:type="spellEnd"/>
      <w:r w:rsidRPr="00AC5D9B">
        <w:rPr>
          <w:rFonts w:ascii="Times New Roman" w:hAnsi="Times New Roman" w:cs="Times New Roman"/>
          <w:bCs/>
          <w:color w:val="000000"/>
          <w:spacing w:val="2"/>
          <w:sz w:val="22"/>
          <w:szCs w:val="22"/>
          <w:shd w:val="clear" w:color="auto" w:fill="FFFFFF"/>
        </w:rPr>
        <w:t xml:space="preserve"> &amp; </w:t>
      </w:r>
      <w:proofErr w:type="spellStart"/>
      <w:r w:rsidRPr="00AC5D9B">
        <w:rPr>
          <w:rFonts w:ascii="Times New Roman" w:hAnsi="Times New Roman" w:cs="Times New Roman"/>
          <w:bCs/>
          <w:color w:val="000000"/>
          <w:spacing w:val="2"/>
          <w:sz w:val="22"/>
          <w:szCs w:val="22"/>
          <w:shd w:val="clear" w:color="auto" w:fill="FFFFFF"/>
        </w:rPr>
        <w:t>Bončina</w:t>
      </w:r>
      <w:proofErr w:type="spellEnd"/>
      <w:r w:rsidRPr="00AC5D9B">
        <w:rPr>
          <w:rFonts w:ascii="Times New Roman" w:hAnsi="Times New Roman" w:cs="Times New Roman"/>
          <w:bCs/>
          <w:color w:val="000000"/>
          <w:spacing w:val="2"/>
          <w:sz w:val="22"/>
          <w:szCs w:val="22"/>
          <w:shd w:val="clear" w:color="auto" w:fill="FFFFFF"/>
        </w:rPr>
        <w:t xml:space="preserve"> (2018) revealed that CO2 emission have increased and later fall in advanced nations like Japan and United States which is linked to the dynamism of market and economic structure such as income distribution, urbanization, infrastructure rather than sacrifices for environmental preservation. Considering the nature of fluctuating pollution of traditional pollutants such as </w:t>
      </w:r>
      <w:proofErr w:type="spellStart"/>
      <w:r w:rsidRPr="00AC5D9B">
        <w:rPr>
          <w:rFonts w:ascii="Times New Roman" w:hAnsi="Times New Roman" w:cs="Times New Roman"/>
          <w:bCs/>
          <w:color w:val="000000"/>
          <w:spacing w:val="2"/>
          <w:sz w:val="22"/>
          <w:szCs w:val="22"/>
          <w:shd w:val="clear" w:color="auto" w:fill="FFFFFF"/>
        </w:rPr>
        <w:t>sulphur</w:t>
      </w:r>
      <w:proofErr w:type="spellEnd"/>
      <w:r w:rsidRPr="00AC5D9B">
        <w:rPr>
          <w:rFonts w:ascii="Times New Roman" w:hAnsi="Times New Roman" w:cs="Times New Roman"/>
          <w:bCs/>
          <w:color w:val="000000"/>
          <w:spacing w:val="2"/>
          <w:sz w:val="22"/>
          <w:szCs w:val="22"/>
          <w:shd w:val="clear" w:color="auto" w:fill="FFFFFF"/>
        </w:rPr>
        <w:t xml:space="preserve">, the theory does not apply to greenhouse gas emissions (Pham et al., 2020). </w:t>
      </w:r>
    </w:p>
    <w:p w14:paraId="715700E1" w14:textId="77777777" w:rsidR="00087F42" w:rsidRPr="00AC5D9B" w:rsidRDefault="00087F42" w:rsidP="00AC5D9B">
      <w:pPr>
        <w:spacing w:line="360" w:lineRule="auto"/>
        <w:jc w:val="both"/>
        <w:rPr>
          <w:rFonts w:ascii="Times New Roman" w:hAnsi="Times New Roman" w:cs="Times New Roman"/>
          <w:bCs/>
          <w:color w:val="000000"/>
          <w:spacing w:val="2"/>
          <w:sz w:val="22"/>
          <w:szCs w:val="22"/>
          <w:shd w:val="clear" w:color="auto" w:fill="FFFFFF"/>
        </w:rPr>
      </w:pPr>
      <w:r w:rsidRPr="00AC5D9B">
        <w:rPr>
          <w:rFonts w:ascii="Times New Roman" w:hAnsi="Times New Roman" w:cs="Times New Roman"/>
          <w:bCs/>
          <w:color w:val="000000"/>
          <w:spacing w:val="2"/>
          <w:sz w:val="22"/>
          <w:szCs w:val="22"/>
          <w:shd w:val="clear" w:color="auto" w:fill="FFFFFF"/>
        </w:rPr>
        <w:t>Criticisms of Environmental Kuznets Curve (EKC)</w:t>
      </w:r>
    </w:p>
    <w:p w14:paraId="31C9B266" w14:textId="77777777" w:rsidR="00087F42" w:rsidRPr="00AC5D9B" w:rsidRDefault="00087F42" w:rsidP="00AC5D9B">
      <w:pPr>
        <w:spacing w:line="360" w:lineRule="auto"/>
        <w:jc w:val="both"/>
        <w:rPr>
          <w:rFonts w:ascii="Times New Roman" w:hAnsi="Times New Roman" w:cs="Times New Roman"/>
          <w:bCs/>
          <w:color w:val="000000"/>
          <w:spacing w:val="2"/>
          <w:sz w:val="22"/>
          <w:szCs w:val="22"/>
          <w:shd w:val="clear" w:color="auto" w:fill="FFFFFF"/>
        </w:rPr>
      </w:pPr>
      <w:r w:rsidRPr="00AC5D9B">
        <w:rPr>
          <w:rFonts w:ascii="Times New Roman" w:hAnsi="Times New Roman" w:cs="Times New Roman"/>
          <w:bCs/>
          <w:color w:val="000000"/>
          <w:spacing w:val="2"/>
          <w:sz w:val="22"/>
          <w:szCs w:val="22"/>
          <w:shd w:val="clear" w:color="auto" w:fill="FFFFFF"/>
        </w:rPr>
        <w:t>Environmental Kuznets Curve lacks global applicability, as there may not be a genuine overall decrease in pollution worldwide (Carson, 2009). Affluent nations often outsource highly polluting industries, such as clothing and furniture manufacturing, to less developed countries still undergoing industrialization (Wang et al., 2014). This implies that as underdeveloped countries progress, they may face a lack of suitable destinations to offload their environmental contaminants. The effort to clean the environment while growing the economy cannot continue indefinitely, as there may not be enough places to dispose of waste and polluting activities (</w:t>
      </w:r>
      <w:proofErr w:type="spellStart"/>
      <w:r w:rsidRPr="00AC5D9B">
        <w:rPr>
          <w:rFonts w:ascii="Times New Roman" w:hAnsi="Times New Roman" w:cs="Times New Roman"/>
          <w:bCs/>
          <w:color w:val="000000"/>
          <w:spacing w:val="2"/>
          <w:sz w:val="22"/>
          <w:szCs w:val="22"/>
          <w:shd w:val="clear" w:color="auto" w:fill="FFFFFF"/>
        </w:rPr>
        <w:t>Ogunbiyi</w:t>
      </w:r>
      <w:proofErr w:type="spellEnd"/>
      <w:r w:rsidRPr="00AC5D9B">
        <w:rPr>
          <w:rFonts w:ascii="Times New Roman" w:hAnsi="Times New Roman" w:cs="Times New Roman"/>
          <w:bCs/>
          <w:color w:val="000000"/>
          <w:spacing w:val="2"/>
          <w:sz w:val="22"/>
          <w:szCs w:val="22"/>
          <w:shd w:val="clear" w:color="auto" w:fill="FFFFFF"/>
        </w:rPr>
        <w:t xml:space="preserve"> et al., 2020). Grossman and Krueger, who provided the first clear evidence that economic growth is accompanied by improved environmental quality, referred to the Kuznets curve, noting the lack of "empirical support for the notion that environmental quality consistently declines as the economy expands."</w:t>
      </w:r>
    </w:p>
    <w:p w14:paraId="21CDB3DF" w14:textId="77777777" w:rsidR="00087F42" w:rsidRPr="00AC5D9B" w:rsidRDefault="00087F42" w:rsidP="00AC5D9B">
      <w:pPr>
        <w:spacing w:line="360" w:lineRule="auto"/>
        <w:jc w:val="both"/>
        <w:rPr>
          <w:rFonts w:ascii="Times New Roman" w:hAnsi="Times New Roman" w:cs="Times New Roman"/>
          <w:bCs/>
          <w:color w:val="000000"/>
          <w:spacing w:val="2"/>
          <w:sz w:val="22"/>
          <w:szCs w:val="22"/>
          <w:shd w:val="clear" w:color="auto" w:fill="FFFFFF"/>
        </w:rPr>
      </w:pPr>
      <w:r w:rsidRPr="00AC5D9B">
        <w:rPr>
          <w:rFonts w:ascii="Times New Roman" w:hAnsi="Times New Roman" w:cs="Times New Roman"/>
          <w:bCs/>
          <w:color w:val="000000"/>
          <w:spacing w:val="2"/>
          <w:sz w:val="22"/>
          <w:szCs w:val="22"/>
          <w:shd w:val="clear" w:color="auto" w:fill="FFFFFF"/>
        </w:rPr>
        <w:t xml:space="preserve">The discharge of carbon emissions contradicts the EKC because most pollutants, such as lead and </w:t>
      </w:r>
      <w:proofErr w:type="spellStart"/>
      <w:r w:rsidRPr="00AC5D9B">
        <w:rPr>
          <w:rFonts w:ascii="Times New Roman" w:hAnsi="Times New Roman" w:cs="Times New Roman"/>
          <w:bCs/>
          <w:color w:val="000000"/>
          <w:spacing w:val="2"/>
          <w:sz w:val="22"/>
          <w:szCs w:val="22"/>
          <w:shd w:val="clear" w:color="auto" w:fill="FFFFFF"/>
        </w:rPr>
        <w:t>sulphur</w:t>
      </w:r>
      <w:proofErr w:type="spellEnd"/>
      <w:r w:rsidRPr="00AC5D9B">
        <w:rPr>
          <w:rFonts w:ascii="Times New Roman" w:hAnsi="Times New Roman" w:cs="Times New Roman"/>
          <w:bCs/>
          <w:color w:val="000000"/>
          <w:spacing w:val="2"/>
          <w:sz w:val="22"/>
          <w:szCs w:val="22"/>
          <w:shd w:val="clear" w:color="auto" w:fill="FFFFFF"/>
        </w:rPr>
        <w:t xml:space="preserve">, are location-specific in their impacts, leading to greater incentive and faster action regarding those specific types of pollution (Stern, 2014). This may work for a nation improving as a whole, where the small benefit of removing these pollutants directly improves people's lives, but significant effects do not stem from reducing carbon dioxide emissions in a local area. This is a tragedy of the </w:t>
      </w:r>
      <w:r w:rsidRPr="00AC5D9B">
        <w:rPr>
          <w:rFonts w:ascii="Times New Roman" w:hAnsi="Times New Roman" w:cs="Times New Roman"/>
          <w:bCs/>
          <w:color w:val="000000"/>
          <w:spacing w:val="2"/>
          <w:sz w:val="22"/>
          <w:szCs w:val="22"/>
          <w:shd w:val="clear" w:color="auto" w:fill="FFFFFF"/>
        </w:rPr>
        <w:lastRenderedPageBreak/>
        <w:t>commons, where the best strategy is for everyone to pollute and no one to clean up, resulting in the worst outcome for all participants (Rashid, 2024).</w:t>
      </w:r>
    </w:p>
    <w:p w14:paraId="6B7A2A0E" w14:textId="449F2D74" w:rsidR="00087F42" w:rsidRPr="00AC5D9B" w:rsidRDefault="00087F42" w:rsidP="00AC5D9B">
      <w:pPr>
        <w:spacing w:line="360" w:lineRule="auto"/>
        <w:jc w:val="both"/>
        <w:rPr>
          <w:rFonts w:ascii="Times New Roman" w:hAnsi="Times New Roman" w:cs="Times New Roman"/>
          <w:bCs/>
          <w:color w:val="000000"/>
          <w:spacing w:val="2"/>
          <w:sz w:val="22"/>
          <w:szCs w:val="22"/>
          <w:shd w:val="clear" w:color="auto" w:fill="FFFFFF"/>
        </w:rPr>
      </w:pPr>
      <w:r w:rsidRPr="00AC5D9B">
        <w:rPr>
          <w:rFonts w:ascii="Times New Roman" w:hAnsi="Times New Roman" w:cs="Times New Roman"/>
          <w:bCs/>
          <w:color w:val="000000"/>
          <w:spacing w:val="2"/>
          <w:sz w:val="22"/>
          <w:szCs w:val="22"/>
          <w:shd w:val="clear" w:color="auto" w:fill="FFFFFF"/>
        </w:rPr>
        <w:t xml:space="preserve">Scholars disagree on the long-term shape of the curve stating that as the "inverse U" as a more "N" shape, where pollution increases with growth, declines after a GDP threshold is reached, and then increases again as national wealth rises </w:t>
      </w:r>
      <w:r w:rsidR="00C10A36" w:rsidRPr="00AC5D9B">
        <w:rPr>
          <w:rFonts w:ascii="Times New Roman" w:hAnsi="Times New Roman" w:cs="Times New Roman"/>
          <w:bCs/>
          <w:color w:val="000000"/>
          <w:spacing w:val="2"/>
          <w:sz w:val="22"/>
          <w:szCs w:val="22"/>
          <w:shd w:val="clear" w:color="auto" w:fill="FFFFFF"/>
        </w:rPr>
        <w:t>further (</w:t>
      </w:r>
      <w:proofErr w:type="spellStart"/>
      <w:r w:rsidRPr="00AC5D9B">
        <w:rPr>
          <w:rFonts w:ascii="Times New Roman" w:hAnsi="Times New Roman" w:cs="Times New Roman"/>
          <w:bCs/>
          <w:color w:val="000000"/>
          <w:spacing w:val="2"/>
          <w:sz w:val="22"/>
          <w:szCs w:val="22"/>
          <w:shd w:val="clear" w:color="auto" w:fill="FFFFFF"/>
        </w:rPr>
        <w:t>Bertinelli</w:t>
      </w:r>
      <w:proofErr w:type="spellEnd"/>
      <w:r w:rsidRPr="00AC5D9B">
        <w:rPr>
          <w:rFonts w:ascii="Times New Roman" w:hAnsi="Times New Roman" w:cs="Times New Roman"/>
          <w:bCs/>
          <w:color w:val="000000"/>
          <w:spacing w:val="2"/>
          <w:sz w:val="22"/>
          <w:szCs w:val="22"/>
          <w:shd w:val="clear" w:color="auto" w:fill="FFFFFF"/>
        </w:rPr>
        <w:t xml:space="preserve"> et al., 2011). Although disputed, these findings highlight the question of whether pollution actually declines steadily as a nation's wealth reaches a certain level, or if it merely shifts to poorer developing countries. Levinson concludes that the environmental Kuznets curve alone is an insufficient basis for either a no-action or government-action pollution policy.</w:t>
      </w:r>
    </w:p>
    <w:p w14:paraId="2D499BDB" w14:textId="3269440D" w:rsidR="003B18E9" w:rsidRPr="00886270" w:rsidRDefault="00AC5D9B" w:rsidP="00886270">
      <w:pPr>
        <w:spacing w:line="360" w:lineRule="auto"/>
        <w:jc w:val="both"/>
        <w:rPr>
          <w:rFonts w:ascii="Times New Roman" w:hAnsi="Times New Roman" w:cs="Times New Roman"/>
          <w:bCs/>
          <w:color w:val="000000"/>
          <w:spacing w:val="2"/>
          <w:sz w:val="22"/>
          <w:szCs w:val="22"/>
          <w:shd w:val="clear" w:color="auto" w:fill="FFFFFF"/>
        </w:rPr>
      </w:pPr>
      <w:r>
        <w:rPr>
          <w:rFonts w:ascii="Times New Roman" w:hAnsi="Times New Roman" w:cs="Times New Roman"/>
          <w:bCs/>
          <w:color w:val="000000"/>
          <w:spacing w:val="2"/>
          <w:sz w:val="22"/>
          <w:szCs w:val="22"/>
          <w:shd w:val="clear" w:color="auto" w:fill="FFFFFF"/>
        </w:rPr>
        <w:t xml:space="preserve">Myriad of empirical works exist on the nexus between </w:t>
      </w:r>
      <w:r w:rsidR="00C10A36">
        <w:rPr>
          <w:rFonts w:ascii="Times New Roman" w:hAnsi="Times New Roman" w:cs="Times New Roman"/>
          <w:bCs/>
          <w:color w:val="000000"/>
          <w:spacing w:val="2"/>
          <w:sz w:val="22"/>
          <w:szCs w:val="22"/>
          <w:shd w:val="clear" w:color="auto" w:fill="FFFFFF"/>
        </w:rPr>
        <w:t xml:space="preserve">energy use and the environment. </w:t>
      </w:r>
      <w:r w:rsidR="003B18E9" w:rsidRPr="00886270">
        <w:rPr>
          <w:rFonts w:ascii="Times New Roman" w:hAnsi="Times New Roman" w:cs="Times New Roman"/>
          <w:bCs/>
          <w:color w:val="000000"/>
          <w:spacing w:val="2"/>
          <w:sz w:val="22"/>
          <w:szCs w:val="22"/>
          <w:shd w:val="clear" w:color="auto" w:fill="FFFFFF"/>
        </w:rPr>
        <w:t>Lau et al. (2023) employed an ARDL model to examine the relationship between the Green Quality Index, which is related to energy use, and carbon dioxide emissions in the United States from 1970 to 2021. Their findings indicate that GDP per capita and urban population are positively associated with CO2 emissions in both the short and long run. Nguyen et al. (2023) considered the effect of natural resource extraction along with energy use on environmental sustainability, utilizing quantile regression and fixed OLS methods. Their analysis of ASEAN countries from 2006 to 2020 revealed that natural resource rent is strongly and positively linked to carbon emissions, making it a significant determinant of environmental pollution.</w:t>
      </w:r>
    </w:p>
    <w:p w14:paraId="7BECF167" w14:textId="77777777" w:rsidR="003B18E9" w:rsidRPr="00886270" w:rsidRDefault="003B18E9" w:rsidP="00886270">
      <w:pPr>
        <w:spacing w:line="360" w:lineRule="auto"/>
        <w:jc w:val="both"/>
        <w:rPr>
          <w:rFonts w:ascii="Times New Roman" w:hAnsi="Times New Roman" w:cs="Times New Roman"/>
          <w:bCs/>
          <w:color w:val="000000"/>
          <w:spacing w:val="2"/>
          <w:sz w:val="22"/>
          <w:szCs w:val="22"/>
          <w:shd w:val="clear" w:color="auto" w:fill="FFFFFF"/>
        </w:rPr>
      </w:pPr>
      <w:proofErr w:type="spellStart"/>
      <w:r w:rsidRPr="00886270">
        <w:rPr>
          <w:rFonts w:ascii="Times New Roman" w:hAnsi="Times New Roman" w:cs="Times New Roman"/>
          <w:bCs/>
          <w:color w:val="000000"/>
          <w:spacing w:val="2"/>
          <w:sz w:val="22"/>
          <w:szCs w:val="22"/>
          <w:shd w:val="clear" w:color="auto" w:fill="FFFFFF"/>
        </w:rPr>
        <w:t>Achuo</w:t>
      </w:r>
      <w:proofErr w:type="spellEnd"/>
      <w:r w:rsidRPr="00886270">
        <w:rPr>
          <w:rFonts w:ascii="Times New Roman" w:hAnsi="Times New Roman" w:cs="Times New Roman"/>
          <w:bCs/>
          <w:color w:val="000000"/>
          <w:spacing w:val="2"/>
          <w:sz w:val="22"/>
          <w:szCs w:val="22"/>
          <w:shd w:val="clear" w:color="auto" w:fill="FFFFFF"/>
        </w:rPr>
        <w:t xml:space="preserve"> et al. (2022) investigated the impact of energy use on environmental degradation, focusing on greenhouse gas emissions and the contribution of natural resources. Using panel data from 173 countries between 1996 and 2020, they employed robust methods and fixed-effect regression models with the Driscoll-</w:t>
      </w:r>
      <w:proofErr w:type="spellStart"/>
      <w:r w:rsidRPr="00886270">
        <w:rPr>
          <w:rFonts w:ascii="Times New Roman" w:hAnsi="Times New Roman" w:cs="Times New Roman"/>
          <w:bCs/>
          <w:color w:val="000000"/>
          <w:spacing w:val="2"/>
          <w:sz w:val="22"/>
          <w:szCs w:val="22"/>
          <w:shd w:val="clear" w:color="auto" w:fill="FFFFFF"/>
        </w:rPr>
        <w:t>Kraay</w:t>
      </w:r>
      <w:proofErr w:type="spellEnd"/>
      <w:r w:rsidRPr="00886270">
        <w:rPr>
          <w:rFonts w:ascii="Times New Roman" w:hAnsi="Times New Roman" w:cs="Times New Roman"/>
          <w:bCs/>
          <w:color w:val="000000"/>
          <w:spacing w:val="2"/>
          <w:sz w:val="22"/>
          <w:szCs w:val="22"/>
          <w:shd w:val="clear" w:color="auto" w:fill="FFFFFF"/>
        </w:rPr>
        <w:t xml:space="preserve"> approach. Their key findings suggest that the application of renewable energy enhances environmental quality by reducing greenhouse gas emissions, and the emissions causing the greenhouse effect were from non-renewable sources.</w:t>
      </w:r>
    </w:p>
    <w:p w14:paraId="4BF5FC3F" w14:textId="77777777" w:rsidR="003B18E9" w:rsidRPr="00886270" w:rsidRDefault="003B18E9" w:rsidP="00886270">
      <w:pPr>
        <w:spacing w:line="360" w:lineRule="auto"/>
        <w:jc w:val="both"/>
        <w:rPr>
          <w:sz w:val="22"/>
          <w:szCs w:val="22"/>
        </w:rPr>
      </w:pPr>
      <w:r w:rsidRPr="00886270">
        <w:rPr>
          <w:rFonts w:ascii="Times New Roman" w:hAnsi="Times New Roman" w:cs="Times New Roman"/>
          <w:bCs/>
          <w:color w:val="000000"/>
          <w:spacing w:val="2"/>
          <w:sz w:val="22"/>
          <w:szCs w:val="22"/>
          <w:shd w:val="clear" w:color="auto" w:fill="FFFFFF"/>
        </w:rPr>
        <w:t xml:space="preserve">Kelly and </w:t>
      </w:r>
      <w:proofErr w:type="spellStart"/>
      <w:r w:rsidRPr="00886270">
        <w:rPr>
          <w:rFonts w:ascii="Times New Roman" w:hAnsi="Times New Roman" w:cs="Times New Roman"/>
          <w:bCs/>
          <w:color w:val="000000"/>
          <w:spacing w:val="2"/>
          <w:sz w:val="22"/>
          <w:szCs w:val="22"/>
          <w:shd w:val="clear" w:color="auto" w:fill="FFFFFF"/>
        </w:rPr>
        <w:t>Radler</w:t>
      </w:r>
      <w:proofErr w:type="spellEnd"/>
      <w:r w:rsidRPr="00886270">
        <w:rPr>
          <w:rFonts w:ascii="Times New Roman" w:hAnsi="Times New Roman" w:cs="Times New Roman"/>
          <w:bCs/>
          <w:color w:val="000000"/>
          <w:spacing w:val="2"/>
          <w:sz w:val="22"/>
          <w:szCs w:val="22"/>
          <w:shd w:val="clear" w:color="auto" w:fill="FFFFFF"/>
        </w:rPr>
        <w:t xml:space="preserve"> (2024) modeled the influence of energy use on climate change across African countries from 2004 to 2019. The authors utilized the Driscoll and </w:t>
      </w:r>
      <w:proofErr w:type="spellStart"/>
      <w:r w:rsidRPr="00886270">
        <w:rPr>
          <w:rFonts w:ascii="Times New Roman" w:hAnsi="Times New Roman" w:cs="Times New Roman"/>
          <w:bCs/>
          <w:color w:val="000000"/>
          <w:spacing w:val="2"/>
          <w:sz w:val="22"/>
          <w:szCs w:val="22"/>
          <w:shd w:val="clear" w:color="auto" w:fill="FFFFFF"/>
        </w:rPr>
        <w:t>Kraay</w:t>
      </w:r>
      <w:proofErr w:type="spellEnd"/>
      <w:r w:rsidRPr="00886270">
        <w:rPr>
          <w:rFonts w:ascii="Times New Roman" w:hAnsi="Times New Roman" w:cs="Times New Roman"/>
          <w:bCs/>
          <w:color w:val="000000"/>
          <w:spacing w:val="2"/>
          <w:sz w:val="22"/>
          <w:szCs w:val="22"/>
          <w:shd w:val="clear" w:color="auto" w:fill="FFFFFF"/>
        </w:rPr>
        <w:t xml:space="preserve"> estimation method and the Generalized Method of Moments analysis on existing data. Their findings indicate that Fossil Energy Consumption and Energy Depletion are significant positive drivers of Climate Change.</w:t>
      </w:r>
      <w:r w:rsidRPr="00886270">
        <w:rPr>
          <w:rFonts w:ascii="Times New Roman" w:hAnsi="Times New Roman" w:cs="Times New Roman"/>
          <w:bCs/>
          <w:color w:val="000000"/>
          <w:sz w:val="22"/>
          <w:szCs w:val="22"/>
        </w:rPr>
        <w:t xml:space="preserve"> Conversely, the results indicate a lack of support for the Environmental Kuznets Curve hypothesis, with no significant link between real GDP and renewable energy or forestry, and an increase in renewable energy use accompanied by a loss in forest reserves due to urban population development. </w:t>
      </w:r>
      <w:r w:rsidRPr="00886270">
        <w:rPr>
          <w:rFonts w:ascii="Times New Roman" w:hAnsi="Times New Roman" w:cs="Times New Roman"/>
          <w:bCs/>
          <w:color w:val="000000"/>
          <w:spacing w:val="2"/>
          <w:sz w:val="22"/>
          <w:szCs w:val="22"/>
          <w:shd w:val="clear" w:color="auto" w:fill="FFFFFF"/>
        </w:rPr>
        <w:t xml:space="preserve"> </w:t>
      </w:r>
      <w:proofErr w:type="spellStart"/>
      <w:r w:rsidRPr="00886270">
        <w:rPr>
          <w:rFonts w:ascii="Times New Roman" w:hAnsi="Times New Roman" w:cs="Times New Roman"/>
          <w:bCs/>
          <w:color w:val="000000"/>
          <w:spacing w:val="2"/>
          <w:sz w:val="22"/>
          <w:szCs w:val="22"/>
          <w:shd w:val="clear" w:color="auto" w:fill="FFFFFF"/>
        </w:rPr>
        <w:t>Asongu</w:t>
      </w:r>
      <w:proofErr w:type="spellEnd"/>
      <w:r w:rsidRPr="00886270">
        <w:rPr>
          <w:rFonts w:ascii="Times New Roman" w:hAnsi="Times New Roman" w:cs="Times New Roman"/>
          <w:bCs/>
          <w:color w:val="000000"/>
          <w:spacing w:val="2"/>
          <w:sz w:val="22"/>
          <w:szCs w:val="22"/>
          <w:shd w:val="clear" w:color="auto" w:fill="FFFFFF"/>
        </w:rPr>
        <w:t xml:space="preserve"> et al. (2020) surprisingly discovered that pollutant emissions, electricity consumption, and economic growth are mutually influential, but total natural resources rent only affects pollution in one direction.</w:t>
      </w:r>
    </w:p>
    <w:p w14:paraId="36DAD23B" w14:textId="77777777" w:rsidR="003B18E9" w:rsidRPr="00886270" w:rsidRDefault="003B18E9" w:rsidP="00886270">
      <w:pPr>
        <w:spacing w:line="360" w:lineRule="auto"/>
        <w:jc w:val="both"/>
        <w:rPr>
          <w:rFonts w:ascii="Times New Roman" w:hAnsi="Times New Roman" w:cs="Times New Roman"/>
          <w:bCs/>
          <w:color w:val="000000"/>
          <w:spacing w:val="2"/>
          <w:sz w:val="22"/>
          <w:szCs w:val="22"/>
          <w:shd w:val="clear" w:color="auto" w:fill="FFFFFF"/>
        </w:rPr>
      </w:pPr>
      <w:r w:rsidRPr="00886270">
        <w:rPr>
          <w:rFonts w:ascii="Times New Roman" w:hAnsi="Times New Roman" w:cs="Times New Roman"/>
          <w:bCs/>
          <w:color w:val="000000"/>
          <w:spacing w:val="2"/>
          <w:sz w:val="22"/>
          <w:szCs w:val="22"/>
          <w:shd w:val="clear" w:color="auto" w:fill="FFFFFF"/>
        </w:rPr>
        <w:t xml:space="preserve">Similarly, Ibrahim and Cudjoe (2020) employed the Vector Error Correction Model to examine the environmental effects of energy use in Nigeria from 1990 to 2018. Their results show a strong and </w:t>
      </w:r>
      <w:r w:rsidRPr="00886270">
        <w:rPr>
          <w:rFonts w:ascii="Times New Roman" w:hAnsi="Times New Roman" w:cs="Times New Roman"/>
          <w:bCs/>
          <w:color w:val="000000"/>
          <w:spacing w:val="2"/>
          <w:sz w:val="22"/>
          <w:szCs w:val="22"/>
          <w:shd w:val="clear" w:color="auto" w:fill="FFFFFF"/>
        </w:rPr>
        <w:lastRenderedPageBreak/>
        <w:t>persistent relationship between Gross Domestic Product and carbon dioxide emissions in Nigeria. Additionally, they found that charcoal consumption has a continued trend to reduce CO2 emissions, while fuel wood consumption may have a long-run positive impact on CO2 emissions. The researchers also established that the use of gas oil impairs CO2 emissions, while the use of natural gas and fuel oil has a deterring</w:t>
      </w:r>
    </w:p>
    <w:p w14:paraId="03BFF701" w14:textId="77777777" w:rsidR="003B18E9" w:rsidRPr="00886270" w:rsidRDefault="003B18E9" w:rsidP="00886270">
      <w:pPr>
        <w:spacing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In a study conducted by Schneider (2021</w:t>
      </w:r>
      <w:proofErr w:type="gramStart"/>
      <w:r w:rsidRPr="00886270">
        <w:rPr>
          <w:rFonts w:ascii="Times New Roman" w:hAnsi="Times New Roman" w:cs="Times New Roman"/>
          <w:bCs/>
          <w:color w:val="000000"/>
          <w:sz w:val="22"/>
          <w:szCs w:val="22"/>
        </w:rPr>
        <w:t>) ,</w:t>
      </w:r>
      <w:proofErr w:type="gramEnd"/>
      <w:r w:rsidRPr="00886270">
        <w:rPr>
          <w:rFonts w:ascii="Times New Roman" w:hAnsi="Times New Roman" w:cs="Times New Roman"/>
          <w:bCs/>
          <w:color w:val="000000"/>
          <w:sz w:val="22"/>
          <w:szCs w:val="22"/>
        </w:rPr>
        <w:t xml:space="preserve"> the author investigated the interconnections among population growth, energy needs, and environmental sustainability in Africa. The researchers selected Nigeria as a representative case and established a comprehensive framework encompassing factors such as total population, energy consumption, per capita income, and the annual CO2 emissions from the power and heating sectors. The study analyzed data from 1971 to 2018, covering a significant time period. The empirical findings indicate a one-way Granger causality running from population to power use, income per capita, and CO2 emissions, with no feedback effect. Additionally, the study reveals a unidirectional relationship from power use to economic growth, supporting the electricity-driven growth hypothesis. Furthermore, power consumption in Nigeria has been identified as a major driver of environmental degradation. However, it is crucial to balance this by providing affordable energy, transitioning from fossil fuels to renewable sources.</w:t>
      </w:r>
    </w:p>
    <w:p w14:paraId="7673A578" w14:textId="77777777" w:rsidR="003B18E9" w:rsidRPr="00886270" w:rsidRDefault="003B18E9" w:rsidP="00886270">
      <w:pPr>
        <w:spacing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 xml:space="preserve">Nigeria's economy requires increased energy usage to drive industrialization, despite the resulting harmful carbon dioxide emissions. According to </w:t>
      </w:r>
      <w:proofErr w:type="spellStart"/>
      <w:r w:rsidRPr="00886270">
        <w:rPr>
          <w:rFonts w:ascii="Times New Roman" w:hAnsi="Times New Roman" w:cs="Times New Roman"/>
          <w:bCs/>
          <w:color w:val="000000"/>
          <w:sz w:val="22"/>
          <w:szCs w:val="22"/>
        </w:rPr>
        <w:t>Mesagan</w:t>
      </w:r>
      <w:proofErr w:type="spellEnd"/>
      <w:r w:rsidRPr="00886270">
        <w:rPr>
          <w:rFonts w:ascii="Times New Roman" w:hAnsi="Times New Roman" w:cs="Times New Roman"/>
          <w:bCs/>
          <w:color w:val="000000"/>
          <w:sz w:val="22"/>
          <w:szCs w:val="22"/>
        </w:rPr>
        <w:t xml:space="preserve">, </w:t>
      </w:r>
      <w:proofErr w:type="spellStart"/>
      <w:r w:rsidRPr="00886270">
        <w:rPr>
          <w:rFonts w:ascii="Times New Roman" w:hAnsi="Times New Roman" w:cs="Times New Roman"/>
          <w:bCs/>
          <w:color w:val="000000"/>
          <w:sz w:val="22"/>
          <w:szCs w:val="22"/>
        </w:rPr>
        <w:t>Alimi</w:t>
      </w:r>
      <w:proofErr w:type="spellEnd"/>
      <w:r w:rsidRPr="00886270">
        <w:rPr>
          <w:rFonts w:ascii="Times New Roman" w:hAnsi="Times New Roman" w:cs="Times New Roman"/>
          <w:bCs/>
          <w:color w:val="000000"/>
          <w:sz w:val="22"/>
          <w:szCs w:val="22"/>
        </w:rPr>
        <w:t xml:space="preserve">, and Adebiyi (2018), the Nigerian economy is expected to experience significant real GDP growth, accompanied by substantial increases in the population's ability to access and utilize more energy, including reduced electricity tariffs and increased government transfer spending. A related study by </w:t>
      </w:r>
      <w:proofErr w:type="spellStart"/>
      <w:r w:rsidRPr="00886270">
        <w:rPr>
          <w:rFonts w:ascii="Times New Roman" w:hAnsi="Times New Roman" w:cs="Times New Roman"/>
          <w:bCs/>
          <w:color w:val="000000"/>
          <w:sz w:val="22"/>
          <w:szCs w:val="22"/>
        </w:rPr>
        <w:t>Benard</w:t>
      </w:r>
      <w:proofErr w:type="spellEnd"/>
      <w:r w:rsidRPr="00886270">
        <w:rPr>
          <w:rFonts w:ascii="Times New Roman" w:hAnsi="Times New Roman" w:cs="Times New Roman"/>
          <w:bCs/>
          <w:color w:val="000000"/>
          <w:sz w:val="22"/>
          <w:szCs w:val="22"/>
        </w:rPr>
        <w:t xml:space="preserve"> et al. examined the impact of energy use and CO2 emissions on Nigeria's economic growth using an ARDL approach. The study found that energy use and carbon emissions were significant determinants of Nigeria's economic growth in the short run. Similarly, </w:t>
      </w:r>
      <w:proofErr w:type="spellStart"/>
      <w:r w:rsidRPr="00886270">
        <w:rPr>
          <w:rFonts w:ascii="Times New Roman" w:hAnsi="Times New Roman" w:cs="Times New Roman"/>
          <w:bCs/>
          <w:color w:val="000000"/>
          <w:sz w:val="22"/>
          <w:szCs w:val="22"/>
        </w:rPr>
        <w:t>Mesagan</w:t>
      </w:r>
      <w:proofErr w:type="spellEnd"/>
      <w:r w:rsidRPr="00886270">
        <w:rPr>
          <w:rFonts w:ascii="Times New Roman" w:hAnsi="Times New Roman" w:cs="Times New Roman"/>
          <w:bCs/>
          <w:color w:val="000000"/>
          <w:sz w:val="22"/>
          <w:szCs w:val="22"/>
        </w:rPr>
        <w:t xml:space="preserve">, </w:t>
      </w:r>
      <w:proofErr w:type="spellStart"/>
      <w:r w:rsidRPr="00886270">
        <w:rPr>
          <w:rFonts w:ascii="Times New Roman" w:hAnsi="Times New Roman" w:cs="Times New Roman"/>
          <w:bCs/>
          <w:color w:val="000000"/>
          <w:sz w:val="22"/>
          <w:szCs w:val="22"/>
        </w:rPr>
        <w:t>Alimi</w:t>
      </w:r>
      <w:proofErr w:type="spellEnd"/>
      <w:r w:rsidRPr="00886270">
        <w:rPr>
          <w:rFonts w:ascii="Times New Roman" w:hAnsi="Times New Roman" w:cs="Times New Roman"/>
          <w:bCs/>
          <w:color w:val="000000"/>
          <w:sz w:val="22"/>
          <w:szCs w:val="22"/>
        </w:rPr>
        <w:t>, and Adebiyi (2018) investigated the impact of energy consumption and population on Nigeria's economic growth from 1970 to 2015 using the ARDL model, and the results suggest that Nigeria's GDP growth is driven by effective energy demand fueled by a large population.</w:t>
      </w:r>
    </w:p>
    <w:p w14:paraId="4D9FF111" w14:textId="77777777" w:rsidR="003B18E9" w:rsidRPr="00886270" w:rsidRDefault="003B18E9" w:rsidP="00886270">
      <w:pPr>
        <w:spacing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 xml:space="preserve">However, </w:t>
      </w:r>
      <w:proofErr w:type="spellStart"/>
      <w:r w:rsidRPr="00886270">
        <w:rPr>
          <w:rFonts w:ascii="Times New Roman" w:hAnsi="Times New Roman" w:cs="Times New Roman"/>
          <w:bCs/>
          <w:color w:val="000000"/>
          <w:sz w:val="22"/>
          <w:szCs w:val="22"/>
        </w:rPr>
        <w:t>Achuo</w:t>
      </w:r>
      <w:proofErr w:type="spellEnd"/>
      <w:r w:rsidRPr="00886270">
        <w:rPr>
          <w:rFonts w:ascii="Times New Roman" w:hAnsi="Times New Roman" w:cs="Times New Roman"/>
          <w:bCs/>
          <w:color w:val="000000"/>
          <w:sz w:val="22"/>
          <w:szCs w:val="22"/>
        </w:rPr>
        <w:t xml:space="preserve"> et al. (2022) discovered that renewable energy sources have better environmental impacts from the perspective of developed nations, while non-renewable energy sources negatively affect the environment of developing nations. Additionally, non-renewable energy has diverse impacts on pollution in different locations. Renewable energy sources also have varying environmental impacts depending on the site of implementation. Ultimately, the abundance of natural resources and the strength of institutions will be crucial for environmental sustainability. </w:t>
      </w:r>
    </w:p>
    <w:p w14:paraId="0BEFF86A" w14:textId="77777777" w:rsidR="003B18E9" w:rsidRPr="00886270" w:rsidRDefault="003B18E9" w:rsidP="00886270">
      <w:pPr>
        <w:spacing w:line="360" w:lineRule="auto"/>
        <w:jc w:val="both"/>
        <w:rPr>
          <w:sz w:val="22"/>
          <w:szCs w:val="22"/>
        </w:rPr>
      </w:pPr>
      <w:r w:rsidRPr="00886270">
        <w:rPr>
          <w:rFonts w:ascii="Times New Roman" w:hAnsi="Times New Roman" w:cs="Times New Roman"/>
          <w:bCs/>
          <w:color w:val="000000"/>
          <w:sz w:val="22"/>
          <w:szCs w:val="22"/>
        </w:rPr>
        <w:t xml:space="preserve">The findings of </w:t>
      </w:r>
      <w:r w:rsidRPr="00886270">
        <w:rPr>
          <w:rFonts w:ascii="Times New Roman" w:hAnsi="Times New Roman" w:cs="Times New Roman"/>
          <w:sz w:val="22"/>
          <w:szCs w:val="22"/>
        </w:rPr>
        <w:t>Kelly</w:t>
      </w:r>
      <w:r w:rsidRPr="00886270">
        <w:rPr>
          <w:rFonts w:ascii="Times New Roman" w:hAnsi="Times New Roman" w:cs="Times New Roman"/>
          <w:bCs/>
          <w:color w:val="000000"/>
          <w:sz w:val="22"/>
          <w:szCs w:val="22"/>
        </w:rPr>
        <w:t xml:space="preserve"> et.al. (2024) have consistently demonstrated that increases in population, energy consumption, and economic growth have a significant impact on the environment, which also </w:t>
      </w:r>
      <w:r w:rsidRPr="00886270">
        <w:rPr>
          <w:rFonts w:ascii="Times New Roman" w:hAnsi="Times New Roman" w:cs="Times New Roman"/>
          <w:bCs/>
          <w:color w:val="000000"/>
          <w:sz w:val="22"/>
          <w:szCs w:val="22"/>
        </w:rPr>
        <w:lastRenderedPageBreak/>
        <w:t xml:space="preserve">corroborated the outcomes of previous studies. Specifically, fossil energy consumption and energy depletion have a positive and significant effect on climate change. Conversely, the results indicate a lack of support for the Environmental Kuznets Curve hypothesis, with no significant link between real GDP and renewable energy or forestry, and an increase in renewable energy use accompanied by a loss in forest reserves due to urban population development. </w:t>
      </w:r>
    </w:p>
    <w:p w14:paraId="1019A8D1" w14:textId="77777777" w:rsidR="003B18E9" w:rsidRPr="00886270" w:rsidRDefault="003B18E9" w:rsidP="00886270">
      <w:pPr>
        <w:spacing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Most prior studies considered how population growth influences the use of renewable energy, but none examined the combined impact of renewable and non-renewable energy methods on environmental sustainability, nor focused on specific country. This study aims to address these gaps by investigating the impacts of renewable and non-renewable energy usage on environmental sustainability projects in Nigeria, given the country's rapid increase in dependence on fossil fuel consumption for micro and macro-economic growth.</w:t>
      </w:r>
      <w:r w:rsidRPr="00886270">
        <w:rPr>
          <w:rFonts w:ascii="Times New Roman" w:hAnsi="Times New Roman" w:cs="Times New Roman"/>
          <w:bCs/>
          <w:color w:val="000000"/>
          <w:sz w:val="22"/>
          <w:szCs w:val="22"/>
        </w:rPr>
        <w:br/>
        <w:t>It is designed to use a single system to fill the research gap by focusing on new disjointed fossil fuel variables - premium motor spirit consumption, along with population growth rate and renewable energy consumption, to assess their respective relationships with the environmental sustainability agenda in Nigeria</w:t>
      </w:r>
    </w:p>
    <w:p w14:paraId="436E1724" w14:textId="77777777" w:rsidR="003B18E9" w:rsidRPr="00886270" w:rsidRDefault="003B18E9" w:rsidP="00886270">
      <w:pPr>
        <w:spacing w:line="360" w:lineRule="auto"/>
        <w:jc w:val="both"/>
        <w:rPr>
          <w:rFonts w:ascii="Times New Roman" w:hAnsi="Times New Roman" w:cs="Times New Roman"/>
          <w:bCs/>
          <w:color w:val="000000"/>
          <w:sz w:val="22"/>
          <w:szCs w:val="22"/>
        </w:rPr>
      </w:pPr>
    </w:p>
    <w:p w14:paraId="717AA946" w14:textId="41202E05" w:rsidR="003B18E9" w:rsidRPr="00C10A36" w:rsidRDefault="00C10A36" w:rsidP="00C10A36">
      <w:pPr>
        <w:pStyle w:val="ListParagraph"/>
        <w:numPr>
          <w:ilvl w:val="0"/>
          <w:numId w:val="2"/>
        </w:numPr>
        <w:spacing w:line="360" w:lineRule="auto"/>
        <w:jc w:val="both"/>
        <w:rPr>
          <w:rFonts w:ascii="Times New Roman" w:hAnsi="Times New Roman" w:cs="Times New Roman"/>
          <w:b/>
          <w:sz w:val="22"/>
          <w:szCs w:val="22"/>
          <w:lang w:val="en-GB"/>
        </w:rPr>
      </w:pPr>
      <w:r>
        <w:rPr>
          <w:rFonts w:ascii="Times New Roman" w:hAnsi="Times New Roman" w:cs="Times New Roman"/>
          <w:b/>
          <w:sz w:val="22"/>
          <w:szCs w:val="22"/>
          <w:lang w:val="en-GB"/>
        </w:rPr>
        <w:t>Methodology</w:t>
      </w:r>
    </w:p>
    <w:p w14:paraId="09BCE389" w14:textId="77777777"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This study utilizes the Autoregressive Distributed Lag approach to Cointegration due to its comparative advantages over alternative methods. The model specification begins with the traditional production theory framework. The subsequent equation models CO2 emissions as the dependent variable, with its fluctuating values determined by energy consumption, population growth, and economic expansion.</w:t>
      </w:r>
    </w:p>
    <w:p w14:paraId="2E71B10C" w14:textId="77777777" w:rsidR="003B18E9" w:rsidRPr="00886270" w:rsidRDefault="00DB56EF" w:rsidP="00886270">
      <w:pPr>
        <w:spacing w:line="360" w:lineRule="auto"/>
        <w:jc w:val="both"/>
        <w:rPr>
          <w:sz w:val="22"/>
          <w:szCs w:val="22"/>
        </w:rPr>
      </w:pPr>
      <m:oMath>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t</m:t>
            </m:r>
          </m:sub>
        </m:sSub>
        <m:r>
          <w:rPr>
            <w:rFonts w:ascii="Cambria Math" w:hAnsi="Cambria Math"/>
            <w:sz w:val="22"/>
            <w:szCs w:val="22"/>
          </w:rPr>
          <m:t>=</m:t>
        </m:r>
        <m:r>
          <w:rPr>
            <w:rFonts w:ascii="Cambria Math" w:hAnsi="Cambria Math"/>
            <w:sz w:val="22"/>
            <w:szCs w:val="22"/>
          </w:rPr>
          <m:t>f</m:t>
        </m:r>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PMS</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PO</m:t>
            </m:r>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REC</m:t>
            </m:r>
          </m:e>
          <m:sub>
            <m:r>
              <w:rPr>
                <w:rFonts w:ascii="Cambria Math" w:hAnsi="Cambria Math"/>
                <w:sz w:val="22"/>
                <w:szCs w:val="22"/>
              </w:rPr>
              <m:t>t</m:t>
            </m:r>
          </m:sub>
        </m:sSub>
        <m:r>
          <w:rPr>
            <w:rFonts w:ascii="Cambria Math" w:hAnsi="Cambria Math"/>
            <w:sz w:val="22"/>
            <w:szCs w:val="22"/>
          </w:rPr>
          <m:t>)</m:t>
        </m:r>
      </m:oMath>
      <w:r w:rsidR="003B18E9" w:rsidRPr="00886270">
        <w:rPr>
          <w:rFonts w:ascii="Times New Roman" w:hAnsi="Times New Roman" w:cs="Times New Roman"/>
          <w:sz w:val="22"/>
          <w:szCs w:val="22"/>
        </w:rPr>
        <w:tab/>
      </w:r>
      <w:r w:rsidR="003B18E9" w:rsidRPr="00886270">
        <w:rPr>
          <w:rFonts w:ascii="Times New Roman" w:hAnsi="Times New Roman" w:cs="Times New Roman"/>
          <w:sz w:val="22"/>
          <w:szCs w:val="22"/>
        </w:rPr>
        <w:tab/>
        <w:t>………………………………………………………</w:t>
      </w:r>
      <w:proofErr w:type="gramStart"/>
      <w:r w:rsidR="003B18E9" w:rsidRPr="00886270">
        <w:rPr>
          <w:rFonts w:ascii="Times New Roman" w:hAnsi="Times New Roman" w:cs="Times New Roman"/>
          <w:sz w:val="22"/>
          <w:szCs w:val="22"/>
        </w:rPr>
        <w:t>…(</w:t>
      </w:r>
      <w:proofErr w:type="gramEnd"/>
      <w:r w:rsidR="003B18E9" w:rsidRPr="00886270">
        <w:rPr>
          <w:rFonts w:ascii="Times New Roman" w:hAnsi="Times New Roman" w:cs="Times New Roman"/>
          <w:sz w:val="22"/>
          <w:szCs w:val="22"/>
        </w:rPr>
        <w:t>1)</w:t>
      </w:r>
    </w:p>
    <w:p w14:paraId="5AA1EEA0" w14:textId="77777777"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Where:</w:t>
      </w:r>
    </w:p>
    <w:p w14:paraId="114C6517"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 xml:space="preserve"> C</w:t>
      </w:r>
      <w:r w:rsidRPr="00886270">
        <w:rPr>
          <w:rFonts w:ascii="Times New Roman" w:hAnsi="Times New Roman" w:cs="Times New Roman"/>
          <w:sz w:val="22"/>
          <w:szCs w:val="22"/>
          <w:vertAlign w:val="subscript"/>
        </w:rPr>
        <w:t>t</w:t>
      </w:r>
      <w:r w:rsidRPr="00886270">
        <w:rPr>
          <w:rFonts w:ascii="Times New Roman" w:hAnsi="Times New Roman" w:cs="Times New Roman"/>
          <w:sz w:val="22"/>
          <w:szCs w:val="22"/>
        </w:rPr>
        <w:t xml:space="preserve"> represents CO</w:t>
      </w:r>
      <w:r w:rsidRPr="00886270">
        <w:rPr>
          <w:rFonts w:ascii="Times New Roman" w:hAnsi="Times New Roman" w:cs="Times New Roman"/>
          <w:sz w:val="22"/>
          <w:szCs w:val="22"/>
          <w:vertAlign w:val="subscript"/>
        </w:rPr>
        <w:t>2</w:t>
      </w:r>
      <w:r w:rsidRPr="00886270">
        <w:rPr>
          <w:rFonts w:ascii="Times New Roman" w:hAnsi="Times New Roman" w:cs="Times New Roman"/>
          <w:sz w:val="22"/>
          <w:szCs w:val="22"/>
        </w:rPr>
        <w:t xml:space="preserve"> emissions per capita, </w:t>
      </w:r>
    </w:p>
    <w:p w14:paraId="3ACEEB96"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 xml:space="preserve"> </w:t>
      </w:r>
      <w:proofErr w:type="spellStart"/>
      <w:r w:rsidRPr="00886270">
        <w:rPr>
          <w:rFonts w:ascii="Times New Roman" w:hAnsi="Times New Roman" w:cs="Times New Roman"/>
          <w:sz w:val="22"/>
          <w:szCs w:val="22"/>
        </w:rPr>
        <w:t>PMS</w:t>
      </w:r>
      <w:r w:rsidRPr="00886270">
        <w:rPr>
          <w:rFonts w:ascii="Times New Roman" w:hAnsi="Times New Roman" w:cs="Times New Roman"/>
          <w:sz w:val="22"/>
          <w:szCs w:val="22"/>
          <w:vertAlign w:val="subscript"/>
        </w:rPr>
        <w:t>t</w:t>
      </w:r>
      <w:proofErr w:type="spellEnd"/>
      <w:r w:rsidRPr="00886270">
        <w:rPr>
          <w:rFonts w:ascii="Times New Roman" w:hAnsi="Times New Roman" w:cs="Times New Roman"/>
          <w:sz w:val="22"/>
          <w:szCs w:val="22"/>
        </w:rPr>
        <w:t xml:space="preserve"> represents Premium Motor Spirit consumption per capita as economic improves, </w:t>
      </w:r>
    </w:p>
    <w:p w14:paraId="2F30B73B"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P</w:t>
      </w:r>
      <w:r w:rsidRPr="00886270">
        <w:rPr>
          <w:rFonts w:ascii="Times New Roman" w:hAnsi="Times New Roman" w:cs="Times New Roman"/>
          <w:sz w:val="22"/>
          <w:szCs w:val="22"/>
          <w:vertAlign w:val="subscript"/>
        </w:rPr>
        <w:t>t</w:t>
      </w:r>
      <w:r w:rsidRPr="00886270">
        <w:rPr>
          <w:rFonts w:ascii="Times New Roman" w:hAnsi="Times New Roman" w:cs="Times New Roman"/>
          <w:sz w:val="22"/>
          <w:szCs w:val="22"/>
        </w:rPr>
        <w:t xml:space="preserve"> represents Population Growth</w:t>
      </w:r>
    </w:p>
    <w:p w14:paraId="332F9DED"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Therefore, C0</w:t>
      </w:r>
      <w:r w:rsidRPr="00886270">
        <w:rPr>
          <w:rFonts w:ascii="Times New Roman" w:hAnsi="Times New Roman" w:cs="Times New Roman"/>
          <w:sz w:val="22"/>
          <w:szCs w:val="22"/>
          <w:vertAlign w:val="subscript"/>
        </w:rPr>
        <w:t>2</w:t>
      </w:r>
      <w:r w:rsidRPr="00886270">
        <w:rPr>
          <w:rFonts w:ascii="Times New Roman" w:hAnsi="Times New Roman" w:cs="Times New Roman"/>
          <w:sz w:val="22"/>
          <w:szCs w:val="22"/>
        </w:rPr>
        <w:t xml:space="preserve"> emission function can be written as: </w:t>
      </w:r>
    </w:p>
    <w:p w14:paraId="250C8927" w14:textId="77777777" w:rsidR="003B18E9" w:rsidRPr="00886270" w:rsidRDefault="003B18E9" w:rsidP="00886270">
      <w:pPr>
        <w:spacing w:line="360" w:lineRule="auto"/>
        <w:jc w:val="both"/>
        <w:rPr>
          <w:sz w:val="22"/>
          <w:szCs w:val="22"/>
        </w:rPr>
      </w:pPr>
      <m:oMath>
        <m:r>
          <w:rPr>
            <w:rFonts w:ascii="Cambria Math" w:hAnsi="Cambria Math"/>
            <w:sz w:val="22"/>
            <w:szCs w:val="22"/>
          </w:rPr>
          <m:t>C0</m:t>
        </m:r>
        <m:sSub>
          <m:sSubPr>
            <m:ctrlPr>
              <w:rPr>
                <w:rFonts w:ascii="Cambria Math" w:hAnsi="Cambria Math"/>
                <w:sz w:val="22"/>
                <w:szCs w:val="22"/>
              </w:rPr>
            </m:ctrlPr>
          </m:sSubPr>
          <m:e>
            <m:r>
              <w:rPr>
                <w:rFonts w:ascii="Cambria Math" w:hAnsi="Cambria Math"/>
                <w:sz w:val="22"/>
                <w:szCs w:val="22"/>
              </w:rPr>
              <m:t>2</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PMS</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POPG</m:t>
            </m:r>
          </m:e>
          <m:sub>
            <m:r>
              <w:rPr>
                <w:rFonts w:ascii="Cambria Math" w:hAnsi="Cambria Math"/>
                <w:sz w:val="22"/>
                <w:szCs w:val="22"/>
              </w:rPr>
              <m:t>t</m:t>
            </m:r>
          </m:sub>
        </m:sSub>
        <m:r>
          <w:rPr>
            <w:rFonts w:ascii="Cambria Math" w:hAnsi="Cambria Math"/>
            <w:sz w:val="22"/>
            <w:szCs w:val="22"/>
          </w:rPr>
          <m:t xml:space="preserve">+ </m:t>
        </m:r>
        <m:sSub>
          <m:sSubPr>
            <m:ctrlPr>
              <w:rPr>
                <w:rFonts w:ascii="Cambria Math" w:hAnsi="Cambria Math"/>
                <w:sz w:val="22"/>
                <w:szCs w:val="22"/>
              </w:rPr>
            </m:ctrlPr>
          </m:sSubPr>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3</m:t>
                </m:r>
              </m:sub>
            </m:sSub>
            <m:r>
              <w:rPr>
                <w:rFonts w:ascii="Cambria Math" w:hAnsi="Cambria Math"/>
                <w:sz w:val="22"/>
                <w:szCs w:val="22"/>
              </w:rPr>
              <m:t>REC</m:t>
            </m:r>
          </m:e>
          <m:sub>
            <m:r>
              <w:rPr>
                <w:rFonts w:ascii="Cambria Math" w:hAnsi="Cambria Math"/>
                <w:sz w:val="22"/>
                <w:szCs w:val="22"/>
              </w:rPr>
              <m:t>t</m:t>
            </m:r>
          </m:sub>
        </m:sSub>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ε</m:t>
            </m:r>
          </m:e>
          <m:sub>
            <m:r>
              <w:rPr>
                <w:rFonts w:ascii="Cambria Math" w:hAnsi="Cambria Math"/>
                <w:sz w:val="22"/>
                <w:szCs w:val="22"/>
              </w:rPr>
              <m:t>t</m:t>
            </m:r>
          </m:sub>
        </m:sSub>
      </m:oMath>
      <w:r w:rsidRPr="00886270">
        <w:rPr>
          <w:rFonts w:ascii="Times New Roman" w:hAnsi="Times New Roman" w:cs="Times New Roman"/>
          <w:sz w:val="22"/>
          <w:szCs w:val="22"/>
        </w:rPr>
        <w:t xml:space="preserve">   …………………………………</w:t>
      </w:r>
      <w:proofErr w:type="gramStart"/>
      <w:r w:rsidRPr="00886270">
        <w:rPr>
          <w:rFonts w:ascii="Times New Roman" w:hAnsi="Times New Roman" w:cs="Times New Roman"/>
          <w:sz w:val="22"/>
          <w:szCs w:val="22"/>
        </w:rPr>
        <w:t>…..</w:t>
      </w:r>
      <w:proofErr w:type="gramEnd"/>
      <w:r w:rsidRPr="00886270">
        <w:rPr>
          <w:rFonts w:ascii="Times New Roman" w:hAnsi="Times New Roman" w:cs="Times New Roman"/>
          <w:sz w:val="22"/>
          <w:szCs w:val="22"/>
        </w:rPr>
        <w:t>(2)</w:t>
      </w:r>
    </w:p>
    <w:p w14:paraId="43F5F3C8"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 xml:space="preserve">The theoretical framework of this study is based on the Environmental Kuznets Curve hypothesis, which posits a non-linear relationship between economic growth and environmental degradation. Specifically, a quadratic function can be used to model the link between economic expansion and carbon </w:t>
      </w:r>
      <w:r w:rsidRPr="00886270">
        <w:rPr>
          <w:rFonts w:ascii="Times New Roman" w:hAnsi="Times New Roman" w:cs="Times New Roman"/>
          <w:sz w:val="22"/>
          <w:szCs w:val="22"/>
        </w:rPr>
        <w:lastRenderedPageBreak/>
        <w:t xml:space="preserve">dioxide emissions. Furthermore, the long-term relationships between CO2 emissions, petroleum, motor spirit consumption, and population growth are considered in the baseline logarithmic estimation model: </w:t>
      </w:r>
    </w:p>
    <w:p w14:paraId="11D2F505" w14:textId="77777777" w:rsidR="003B18E9" w:rsidRPr="00886270" w:rsidRDefault="00DB56EF" w:rsidP="00886270">
      <w:pPr>
        <w:spacing w:line="360" w:lineRule="auto"/>
        <w:jc w:val="center"/>
        <w:rPr>
          <w:sz w:val="22"/>
          <w:szCs w:val="22"/>
        </w:rPr>
      </w:pPr>
      <m:oMathPara>
        <m:oMathParaPr>
          <m:jc m:val="center"/>
        </m:oMathParaPr>
        <m:oMath>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C</m:t>
              </m:r>
            </m:e>
          </m:func>
          <m: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2</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1</m:t>
              </m:r>
            </m:sub>
          </m:sSub>
          <m:r>
            <w:rPr>
              <w:rFonts w:ascii="Cambria Math" w:hAnsi="Cambria Math"/>
              <w:sz w:val="22"/>
              <w:szCs w:val="22"/>
            </w:rPr>
            <m:t>In</m:t>
          </m:r>
          <m:sSub>
            <m:sSubPr>
              <m:ctrlPr>
                <w:rPr>
                  <w:rFonts w:ascii="Cambria Math" w:hAnsi="Cambria Math"/>
                  <w:sz w:val="22"/>
                  <w:szCs w:val="22"/>
                </w:rPr>
              </m:ctrlPr>
            </m:sSubPr>
            <m:e>
              <m:r>
                <w:rPr>
                  <w:rFonts w:ascii="Cambria Math" w:hAnsi="Cambria Math"/>
                  <w:sz w:val="22"/>
                  <w:szCs w:val="22"/>
                </w:rPr>
                <m:t>PMS</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2</m:t>
              </m:r>
            </m:sub>
          </m:sSub>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m:t>
              </m:r>
            </m:e>
          </m:func>
          <m:r>
            <w:rPr>
              <w:rFonts w:ascii="Cambria Math" w:hAnsi="Cambria Math"/>
              <w:sz w:val="22"/>
              <w:szCs w:val="22"/>
            </w:rPr>
            <m:t>PMS</m:t>
          </m:r>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m:t>
                  </m:r>
                </m:e>
                <m:sup>
                  <m:r>
                    <w:rPr>
                      <w:rFonts w:ascii="Cambria Math" w:hAnsi="Cambria Math"/>
                      <w:sz w:val="22"/>
                      <w:szCs w:val="22"/>
                    </w:rPr>
                    <m:t>2</m:t>
                  </m:r>
                </m:sup>
              </m:sSup>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3</m:t>
              </m:r>
            </m:sub>
          </m:sSub>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P</m:t>
              </m:r>
            </m:e>
          </m:func>
          <m:r>
            <w:rPr>
              <w:rFonts w:ascii="Cambria Math" w:hAnsi="Cambria Math"/>
              <w:sz w:val="22"/>
              <w:szCs w:val="22"/>
            </w:rPr>
            <m:t>O</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rPr>
            <m:t xml:space="preserve">+ </m:t>
          </m:r>
          <m:sSub>
            <m:sSubPr>
              <m:ctrlPr>
                <w:rPr>
                  <w:rFonts w:ascii="Cambria Math" w:hAnsi="Cambria Math"/>
                  <w:sz w:val="22"/>
                  <w:szCs w:val="22"/>
                </w:rPr>
              </m:ctrlPr>
            </m:sSubPr>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4</m:t>
                  </m:r>
                </m:sub>
              </m:sSub>
              <m:r>
                <w:rPr>
                  <w:rFonts w:ascii="Cambria Math" w:hAnsi="Cambria Math"/>
                  <w:sz w:val="22"/>
                  <w:szCs w:val="22"/>
                </w:rPr>
                <m:t>REC</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ε</m:t>
              </m:r>
            </m:e>
            <m:sub>
              <m:r>
                <w:rPr>
                  <w:rFonts w:ascii="Cambria Math" w:hAnsi="Cambria Math"/>
                  <w:sz w:val="22"/>
                  <w:szCs w:val="22"/>
                </w:rPr>
                <m:t>t</m:t>
              </m:r>
            </m:sub>
          </m:sSub>
          <m:r>
            <w:rPr>
              <w:rFonts w:ascii="Cambria Math" w:hAnsi="Cambria Math"/>
              <w:sz w:val="22"/>
              <w:szCs w:val="22"/>
            </w:rPr>
            <m:t>......(3)</m:t>
          </m:r>
        </m:oMath>
      </m:oMathPara>
    </w:p>
    <w:p w14:paraId="650E79D6" w14:textId="00EBBB58"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W</w:t>
      </w:r>
      <w:r w:rsidR="00C10A36">
        <w:rPr>
          <w:rFonts w:ascii="Times New Roman" w:hAnsi="Times New Roman" w:cs="Times New Roman"/>
          <w:sz w:val="22"/>
          <w:szCs w:val="22"/>
        </w:rPr>
        <w:t>h</w:t>
      </w:r>
      <w:r w:rsidRPr="00886270">
        <w:rPr>
          <w:rFonts w:ascii="Times New Roman" w:hAnsi="Times New Roman" w:cs="Times New Roman"/>
          <w:sz w:val="22"/>
          <w:szCs w:val="22"/>
        </w:rPr>
        <w:t>ere</w:t>
      </w:r>
      <w:r w:rsidR="00C10A36">
        <w:rPr>
          <w:rFonts w:ascii="Times New Roman" w:hAnsi="Times New Roman" w:cs="Times New Roman"/>
          <w:sz w:val="22"/>
          <w:szCs w:val="22"/>
        </w:rPr>
        <w:t>:</w:t>
      </w:r>
    </w:p>
    <w:p w14:paraId="7764E958"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C0</w:t>
      </w:r>
      <w:r w:rsidRPr="00886270">
        <w:rPr>
          <w:rFonts w:ascii="Times New Roman" w:hAnsi="Times New Roman" w:cs="Times New Roman"/>
          <w:sz w:val="22"/>
          <w:szCs w:val="22"/>
          <w:vertAlign w:val="subscript"/>
        </w:rPr>
        <w:t>2</w:t>
      </w:r>
      <w:r w:rsidRPr="00886270">
        <w:rPr>
          <w:rFonts w:ascii="Times New Roman" w:hAnsi="Times New Roman" w:cs="Times New Roman"/>
          <w:sz w:val="22"/>
          <w:szCs w:val="22"/>
        </w:rPr>
        <w:t xml:space="preserve"> represents per capita CO</w:t>
      </w:r>
      <w:r w:rsidRPr="00886270">
        <w:rPr>
          <w:rFonts w:ascii="Times New Roman" w:hAnsi="Times New Roman" w:cs="Times New Roman"/>
          <w:sz w:val="22"/>
          <w:szCs w:val="22"/>
          <w:vertAlign w:val="subscript"/>
        </w:rPr>
        <w:t>2</w:t>
      </w:r>
      <w:r w:rsidRPr="00886270">
        <w:rPr>
          <w:rFonts w:ascii="Times New Roman" w:hAnsi="Times New Roman" w:cs="Times New Roman"/>
          <w:sz w:val="22"/>
          <w:szCs w:val="22"/>
        </w:rPr>
        <w:t xml:space="preserve"> emissions, </w:t>
      </w:r>
    </w:p>
    <w:p w14:paraId="7558D6AB" w14:textId="77777777" w:rsidR="003B18E9" w:rsidRPr="00886270" w:rsidRDefault="003B18E9" w:rsidP="00886270">
      <w:pPr>
        <w:spacing w:line="360" w:lineRule="auto"/>
        <w:jc w:val="both"/>
        <w:rPr>
          <w:sz w:val="22"/>
          <w:szCs w:val="22"/>
        </w:rPr>
      </w:pPr>
      <m:oMath>
        <m:r>
          <w:rPr>
            <w:rFonts w:ascii="Cambria Math" w:hAnsi="Cambria Math"/>
            <w:sz w:val="22"/>
            <w:szCs w:val="22"/>
          </w:rPr>
          <m:t>PMS</m:t>
        </m:r>
      </m:oMath>
      <w:r w:rsidRPr="00886270">
        <w:rPr>
          <w:rFonts w:ascii="Times New Roman" w:eastAsia="Times New Roman" w:hAnsi="Times New Roman" w:cs="Times New Roman"/>
          <w:sz w:val="22"/>
          <w:szCs w:val="22"/>
        </w:rPr>
        <w:t xml:space="preserve"> </w:t>
      </w:r>
      <w:r w:rsidRPr="00886270">
        <w:rPr>
          <w:rFonts w:ascii="Times New Roman" w:hAnsi="Times New Roman" w:cs="Times New Roman"/>
          <w:sz w:val="22"/>
          <w:szCs w:val="22"/>
        </w:rPr>
        <w:t>Stands for Premium Motor Spirit consumption per capita</w:t>
      </w:r>
    </w:p>
    <w:p w14:paraId="6C304824" w14:textId="77777777"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 xml:space="preserve">POP represents population growth </w:t>
      </w:r>
    </w:p>
    <w:p w14:paraId="134C8E2F" w14:textId="77777777"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REC represents Renewable energy Consumption</w:t>
      </w:r>
    </w:p>
    <w:p w14:paraId="7AF75359"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object w:dxaOrig="180" w:dyaOrig="210" w14:anchorId="7331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35pt;height:10.65pt;visibility:visible;mso-wrap-style:square" o:ole="">
            <v:imagedata r:id="rId8" o:title=""/>
          </v:shape>
          <o:OLEObject Type="Embed" ProgID="Msxml2.SAXXMLReader.6.0" ShapeID="Object 2" DrawAspect="Content" ObjectID="_1801381213" r:id="rId9"/>
        </w:object>
      </w:r>
      <w:r w:rsidRPr="00886270">
        <w:rPr>
          <w:rFonts w:ascii="Times New Roman" w:hAnsi="Times New Roman" w:cs="Times New Roman"/>
          <w:sz w:val="22"/>
          <w:szCs w:val="22"/>
        </w:rPr>
        <w:t xml:space="preserve"> is the error term</w:t>
      </w:r>
    </w:p>
    <w:p w14:paraId="7D4578F6"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From equation (3),</w:t>
      </w:r>
      <w:r w:rsidRPr="00886270">
        <w:rPr>
          <w:rFonts w:ascii="Times New Roman" w:hAnsi="Times New Roman" w:cs="Times New Roman"/>
          <w:sz w:val="22"/>
          <w:szCs w:val="22"/>
        </w:rPr>
        <w:object w:dxaOrig="260" w:dyaOrig="340" w14:anchorId="4D8B99B4">
          <v:shape id="Object 3" o:spid="_x0000_i1026" type="#_x0000_t75" style="width:12.65pt;height:17.35pt;visibility:visible;mso-wrap-style:square" o:ole="">
            <v:imagedata r:id="rId10" o:title=""/>
          </v:shape>
          <o:OLEObject Type="Embed" ProgID="Msxml2.SAXXMLReader.6.0" ShapeID="Object 3" DrawAspect="Content" ObjectID="_1801381214" r:id="rId11"/>
        </w:object>
      </w:r>
      <w:r w:rsidRPr="00886270">
        <w:rPr>
          <w:rFonts w:ascii="Times New Roman" w:hAnsi="Times New Roman" w:cs="Times New Roman"/>
          <w:sz w:val="22"/>
          <w:szCs w:val="22"/>
        </w:rPr>
        <w:t xml:space="preserve"> is expected to be positive and negative sign is expected for </w:t>
      </w:r>
      <w:r w:rsidRPr="00886270">
        <w:rPr>
          <w:rFonts w:ascii="Times New Roman" w:hAnsi="Times New Roman" w:cs="Times New Roman"/>
          <w:sz w:val="22"/>
          <w:szCs w:val="22"/>
        </w:rPr>
        <w:object w:dxaOrig="290" w:dyaOrig="340" w14:anchorId="7F9475B7">
          <v:shape id="Object 4" o:spid="_x0000_i1027" type="#_x0000_t75" style="width:14pt;height:17.35pt;visibility:visible;mso-wrap-style:square" o:ole="">
            <v:imagedata r:id="rId12" o:title=""/>
          </v:shape>
          <o:OLEObject Type="Embed" ProgID="Msxml2.SAXXMLReader.6.0" ShapeID="Object 4" DrawAspect="Content" ObjectID="_1801381215" r:id="rId13"/>
        </w:object>
      </w:r>
      <w:r w:rsidRPr="00886270">
        <w:rPr>
          <w:rFonts w:ascii="Times New Roman" w:hAnsi="Times New Roman" w:cs="Times New Roman"/>
          <w:sz w:val="22"/>
          <w:szCs w:val="22"/>
        </w:rPr>
        <w:t xml:space="preserve"> . Since population expansion increases PMS usage which in turn cause increase in CO</w:t>
      </w:r>
      <w:r w:rsidRPr="00886270">
        <w:rPr>
          <w:rFonts w:ascii="Times New Roman" w:hAnsi="Times New Roman" w:cs="Times New Roman"/>
          <w:sz w:val="22"/>
          <w:szCs w:val="22"/>
          <w:vertAlign w:val="subscript"/>
        </w:rPr>
        <w:t>2</w:t>
      </w:r>
      <w:r w:rsidRPr="00886270">
        <w:rPr>
          <w:rFonts w:ascii="Times New Roman" w:hAnsi="Times New Roman" w:cs="Times New Roman"/>
          <w:sz w:val="22"/>
          <w:szCs w:val="22"/>
        </w:rPr>
        <w:t xml:space="preserve"> emissions, </w:t>
      </w:r>
      <w:r w:rsidRPr="00886270">
        <w:rPr>
          <w:rFonts w:ascii="Times New Roman" w:hAnsi="Times New Roman" w:cs="Times New Roman"/>
          <w:sz w:val="22"/>
          <w:szCs w:val="22"/>
        </w:rPr>
        <w:object w:dxaOrig="294" w:dyaOrig="371" w14:anchorId="7D74D9D3">
          <v:shape id="Object 5" o:spid="_x0000_i1028" type="#_x0000_t75" style="width:14pt;height:18.65pt;visibility:visible;mso-wrap-style:square" o:ole="">
            <v:imagedata r:id="rId14" o:title=""/>
          </v:shape>
          <o:OLEObject Type="Embed" ProgID="Msxml2.SAXXMLReader.6.0" ShapeID="Object 5" DrawAspect="Content" ObjectID="_1801381216" r:id="rId15"/>
        </w:object>
      </w:r>
      <w:r w:rsidRPr="00886270">
        <w:rPr>
          <w:rFonts w:ascii="Times New Roman" w:hAnsi="Times New Roman" w:cs="Times New Roman"/>
          <w:sz w:val="22"/>
          <w:szCs w:val="22"/>
        </w:rPr>
        <w:t xml:space="preserve">and </w:t>
      </w:r>
      <m:oMath>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4</m:t>
            </m:r>
          </m:sub>
        </m:sSub>
      </m:oMath>
      <w:r w:rsidRPr="00886270">
        <w:rPr>
          <w:rFonts w:ascii="Times New Roman" w:hAnsi="Times New Roman" w:cs="Times New Roman"/>
          <w:sz w:val="22"/>
          <w:szCs w:val="22"/>
        </w:rPr>
        <w:t xml:space="preserve"> are strongly anticipated to be posi</w:t>
      </w:r>
      <w:proofErr w:type="spellStart"/>
      <w:r w:rsidRPr="00886270">
        <w:rPr>
          <w:rFonts w:ascii="Times New Roman" w:hAnsi="Times New Roman" w:cs="Times New Roman"/>
          <w:sz w:val="22"/>
          <w:szCs w:val="22"/>
        </w:rPr>
        <w:t>tive</w:t>
      </w:r>
      <w:proofErr w:type="spellEnd"/>
      <w:r w:rsidRPr="00886270">
        <w:rPr>
          <w:rFonts w:ascii="Times New Roman" w:hAnsi="Times New Roman" w:cs="Times New Roman"/>
          <w:sz w:val="22"/>
          <w:szCs w:val="22"/>
        </w:rPr>
        <w:t xml:space="preserve">. </w:t>
      </w:r>
    </w:p>
    <w:p w14:paraId="59104798" w14:textId="615B9607" w:rsidR="00C10A36" w:rsidRPr="00886270" w:rsidRDefault="00C10A36" w:rsidP="00C10A36">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This study has three independent variables. These variables are: Premium Motor Spirit Consumption and Population Growth and hydroelectricity consumption which serves as proxy for renewable energy consumption</w:t>
      </w:r>
      <w:r w:rsidR="00CB2EEF">
        <w:rPr>
          <w:rFonts w:ascii="Times New Roman" w:hAnsi="Times New Roman" w:cs="Times New Roman"/>
          <w:sz w:val="22"/>
          <w:szCs w:val="22"/>
        </w:rPr>
        <w:t xml:space="preserve"> while Carbon emission per capita represents the dependent variable. The data were sourced from the World Bank data base and the International Energy Agency. </w:t>
      </w:r>
    </w:p>
    <w:p w14:paraId="6D3E6A7A" w14:textId="67ED6EB4"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This study utilizes the ARDL bounds testing approach to examine the relationship between the primary dependent variable and the primary independent variables. The ARDL framework of the estimation model is as follows:</w:t>
      </w:r>
    </w:p>
    <w:p w14:paraId="0E87C6EE" w14:textId="77777777" w:rsidR="003B18E9" w:rsidRPr="00886270" w:rsidRDefault="003B18E9" w:rsidP="00886270">
      <w:pPr>
        <w:spacing w:line="360" w:lineRule="auto"/>
        <w:jc w:val="center"/>
        <w:rPr>
          <w:sz w:val="22"/>
          <w:szCs w:val="22"/>
        </w:rPr>
      </w:pPr>
      <m:oMathPara>
        <m:oMathParaPr>
          <m:jc m:val="center"/>
        </m:oMathParaPr>
        <m:oMath>
          <m:r>
            <w:rPr>
              <w:rFonts w:ascii="Cambria Math" w:hAnsi="Cambria Math"/>
              <w:sz w:val="22"/>
              <w:szCs w:val="22"/>
            </w:rPr>
            <m:t>Δ1nC0</m:t>
          </m:r>
          <m:sSub>
            <m:sSubPr>
              <m:ctrlPr>
                <w:rPr>
                  <w:rFonts w:ascii="Cambria Math" w:hAnsi="Cambria Math"/>
                  <w:sz w:val="22"/>
                  <w:szCs w:val="22"/>
                </w:rPr>
              </m:ctrlPr>
            </m:sSubPr>
            <m:e>
              <m:r>
                <w:rPr>
                  <w:rFonts w:ascii="Cambria Math" w:hAnsi="Cambria Math"/>
                  <w:sz w:val="22"/>
                  <w:szCs w:val="22"/>
                </w:rPr>
                <m:t>2</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0</m:t>
              </m:r>
            </m:sub>
          </m:sSub>
          <m:r>
            <w:rPr>
              <w:rFonts w:ascii="Cambria Math" w:hAnsi="Cambria Math"/>
              <w:sz w:val="22"/>
              <w:szCs w:val="22"/>
            </w:rPr>
            <m:t>+</m:t>
          </m:r>
          <m:nary>
            <m:naryPr>
              <m:chr m:val="∑"/>
              <m:limLoc m:val="subSup"/>
              <m:ctrlPr>
                <w:rPr>
                  <w:rFonts w:ascii="Cambria Math" w:hAnsi="Cambria Math"/>
                  <w:sz w:val="22"/>
                  <w:szCs w:val="22"/>
                </w:rPr>
              </m:ctrlPr>
            </m:naryPr>
            <m:sub>
              <m:r>
                <w:rPr>
                  <w:rFonts w:ascii="Cambria Math" w:hAnsi="Cambria Math"/>
                  <w:sz w:val="22"/>
                  <w:szCs w:val="22"/>
                </w:rPr>
                <m:t>Κ=1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1k</m:t>
                  </m:r>
                </m:sub>
              </m:sSub>
            </m:e>
          </m:nary>
          <m:r>
            <w:rPr>
              <w:rFonts w:ascii="Cambria Math" w:hAnsi="Cambria Math"/>
              <w:sz w:val="22"/>
              <w:szCs w:val="22"/>
            </w:rPr>
            <m:t>Δ</m:t>
          </m:r>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C</m:t>
              </m:r>
            </m:e>
          </m:func>
          <m: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2</m:t>
              </m:r>
            </m:e>
            <m:sub>
              <m:r>
                <w:rPr>
                  <w:rFonts w:ascii="Cambria Math" w:hAnsi="Cambria Math"/>
                  <w:sz w:val="22"/>
                  <w:szCs w:val="22"/>
                </w:rPr>
                <m:t>t-k</m:t>
              </m:r>
            </m:sub>
          </m:sSub>
          <m:r>
            <w:rPr>
              <w:rFonts w:ascii="Cambria Math" w:hAnsi="Cambria Math"/>
              <w:sz w:val="22"/>
              <w:szCs w:val="22"/>
            </w:rPr>
            <m:t>+</m:t>
          </m:r>
          <m:nary>
            <m:naryPr>
              <m:chr m:val="∑"/>
              <m:limLoc m:val="subSup"/>
              <m:ctrlPr>
                <w:rPr>
                  <w:rFonts w:ascii="Cambria Math" w:hAnsi="Cambria Math"/>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2k</m:t>
                  </m:r>
                </m:sub>
              </m:sSub>
              <m:r>
                <w:rPr>
                  <w:rFonts w:ascii="Cambria Math" w:hAnsi="Cambria Math"/>
                  <w:sz w:val="22"/>
                  <w:szCs w:val="22"/>
                </w:rPr>
                <m:t>ΔIn</m:t>
              </m:r>
              <m:sSub>
                <m:sSubPr>
                  <m:ctrlPr>
                    <w:rPr>
                      <w:rFonts w:ascii="Cambria Math" w:hAnsi="Cambria Math"/>
                      <w:sz w:val="22"/>
                      <w:szCs w:val="22"/>
                    </w:rPr>
                  </m:ctrlPr>
                </m:sSubPr>
                <m:e>
                  <m:r>
                    <w:rPr>
                      <w:rFonts w:ascii="Cambria Math" w:hAnsi="Cambria Math"/>
                      <w:sz w:val="22"/>
                      <w:szCs w:val="22"/>
                    </w:rPr>
                    <m:t>PMS</m:t>
                  </m:r>
                </m:e>
                <m:sub>
                  <m:r>
                    <w:rPr>
                      <w:rFonts w:ascii="Cambria Math" w:hAnsi="Cambria Math"/>
                      <w:sz w:val="22"/>
                      <w:szCs w:val="22"/>
                    </w:rPr>
                    <m:t>t-k</m:t>
                  </m:r>
                </m:sub>
              </m:sSub>
            </m:e>
          </m:nary>
          <m:r>
            <w:rPr>
              <w:rFonts w:ascii="Cambria Math" w:hAnsi="Cambria Math"/>
              <w:sz w:val="22"/>
              <w:szCs w:val="22"/>
            </w:rPr>
            <m:t>+</m:t>
          </m:r>
          <m:nary>
            <m:naryPr>
              <m:chr m:val="∑"/>
              <m:limLoc m:val="subSup"/>
              <m:ctrlPr>
                <w:rPr>
                  <w:rFonts w:ascii="Cambria Math" w:hAnsi="Cambria Math"/>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3k</m:t>
                  </m:r>
                </m:sub>
              </m:sSub>
            </m:e>
          </m:nary>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InPMS</m:t>
                      </m:r>
                    </m:e>
                    <m:sub>
                      <m:r>
                        <w:rPr>
                          <w:rFonts w:ascii="Cambria Math" w:hAnsi="Cambria Math"/>
                          <w:sz w:val="22"/>
                          <w:szCs w:val="22"/>
                        </w:rPr>
                        <m:t>t-k</m:t>
                      </m:r>
                    </m:sub>
                  </m:sSub>
                </m:e>
              </m:d>
            </m:e>
            <m:sup>
              <m:r>
                <w:rPr>
                  <w:rFonts w:ascii="Cambria Math" w:hAnsi="Cambria Math"/>
                  <w:sz w:val="22"/>
                  <w:szCs w:val="22"/>
                </w:rPr>
                <m:t>2</m:t>
              </m:r>
            </m:sup>
          </m:sSup>
          <m:r>
            <w:rPr>
              <w:rFonts w:ascii="Cambria Math" w:hAnsi="Cambria Math"/>
              <w:sz w:val="22"/>
              <w:szCs w:val="22"/>
            </w:rPr>
            <m:t xml:space="preserve">+ </m:t>
          </m:r>
          <m:r>
            <m:rPr>
              <m:sty m:val="p"/>
            </m:rPr>
            <w:rPr>
              <w:rFonts w:ascii="Cambria Math" w:hAnsi="Cambria Math" w:cs="Times New Roman"/>
              <w:sz w:val="22"/>
              <w:szCs w:val="22"/>
            </w:rPr>
            <w:br/>
          </m:r>
        </m:oMath>
        <m:oMath>
          <m:nary>
            <m:naryPr>
              <m:chr m:val="∑"/>
              <m:limLoc m:val="subSup"/>
              <m:ctrlPr>
                <w:rPr>
                  <w:rFonts w:ascii="Cambria Math" w:hAnsi="Cambria Math"/>
                  <w:sz w:val="22"/>
                  <w:szCs w:val="22"/>
                </w:rPr>
              </m:ctrlPr>
            </m:naryPr>
            <m:sub>
              <m:r>
                <w:rPr>
                  <w:rFonts w:ascii="Cambria Math" w:hAnsi="Cambria Math"/>
                  <w:sz w:val="22"/>
                  <w:szCs w:val="22"/>
                </w:rPr>
                <m:t>Κ=1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4k</m:t>
                  </m:r>
                </m:sub>
              </m:sSub>
            </m:e>
          </m:nary>
          <m:r>
            <w:rPr>
              <w:rFonts w:ascii="Cambria Math" w:hAnsi="Cambria Math"/>
              <w:sz w:val="22"/>
              <w:szCs w:val="22"/>
            </w:rPr>
            <m:t>Δ</m:t>
          </m:r>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P</m:t>
              </m:r>
            </m:e>
          </m:func>
          <m:r>
            <w:rPr>
              <w:rFonts w:ascii="Cambria Math" w:hAnsi="Cambria Math"/>
              <w:sz w:val="22"/>
              <w:szCs w:val="22"/>
            </w:rPr>
            <m:t>O</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t-k</m:t>
              </m:r>
            </m:sub>
          </m:sSub>
          <m:r>
            <w:rPr>
              <w:rFonts w:ascii="Cambria Math" w:hAnsi="Cambria Math"/>
              <w:sz w:val="22"/>
              <w:szCs w:val="22"/>
            </w:rPr>
            <m:t xml:space="preserve">+ </m:t>
          </m:r>
          <m:nary>
            <m:naryPr>
              <m:chr m:val="∑"/>
              <m:limLoc m:val="subSup"/>
              <m:ctrlPr>
                <w:rPr>
                  <w:rFonts w:ascii="Cambria Math" w:hAnsi="Cambria Math"/>
                  <w:sz w:val="22"/>
                  <w:szCs w:val="22"/>
                </w:rPr>
              </m:ctrlPr>
            </m:naryPr>
            <m:sub>
              <m:r>
                <w:rPr>
                  <w:rFonts w:ascii="Cambria Math" w:hAnsi="Cambria Math"/>
                  <w:sz w:val="22"/>
                  <w:szCs w:val="22"/>
                </w:rPr>
                <m:t>Κ=1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5k</m:t>
                  </m:r>
                </m:sub>
              </m:sSub>
            </m:e>
          </m:nary>
          <m:r>
            <w:rPr>
              <w:rFonts w:ascii="Cambria Math" w:hAnsi="Cambria Math"/>
              <w:sz w:val="22"/>
              <w:szCs w:val="22"/>
            </w:rPr>
            <m:t>ΔIn</m:t>
          </m:r>
          <m:sSub>
            <m:sSubPr>
              <m:ctrlPr>
                <w:rPr>
                  <w:rFonts w:ascii="Cambria Math" w:hAnsi="Cambria Math"/>
                  <w:sz w:val="22"/>
                  <w:szCs w:val="22"/>
                </w:rPr>
              </m:ctrlPr>
            </m:sSubPr>
            <m:e>
              <m:r>
                <w:rPr>
                  <w:rFonts w:ascii="Cambria Math" w:hAnsi="Cambria Math"/>
                  <w:sz w:val="22"/>
                  <w:szCs w:val="22"/>
                </w:rPr>
                <m:t>REC</m:t>
              </m:r>
            </m:e>
            <m:sub>
              <m:r>
                <w:rPr>
                  <w:rFonts w:ascii="Cambria Math" w:hAnsi="Cambria Math"/>
                  <w:sz w:val="22"/>
                  <w:szCs w:val="22"/>
                </w:rPr>
                <m:t>t-k</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  δ</m:t>
              </m:r>
            </m:e>
            <m:sub>
              <m:r>
                <w:rPr>
                  <w:rFonts w:ascii="Cambria Math" w:hAnsi="Cambria Math"/>
                  <w:sz w:val="22"/>
                  <w:szCs w:val="22"/>
                </w:rPr>
                <m:t>1</m:t>
              </m:r>
            </m:sub>
          </m:sSub>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C</m:t>
              </m:r>
            </m:e>
          </m:func>
          <m: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2</m:t>
              </m:r>
            </m:e>
            <m:sub>
              <m:r>
                <w:rPr>
                  <w:rFonts w:ascii="Cambria Math" w:hAnsi="Cambria Math"/>
                  <w:sz w:val="22"/>
                  <w:szCs w:val="22"/>
                </w:rPr>
                <m:t>t-1</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2</m:t>
              </m:r>
            </m:sub>
          </m:sSub>
          <m:r>
            <w:rPr>
              <w:rFonts w:ascii="Cambria Math" w:hAnsi="Cambria Math"/>
              <w:sz w:val="22"/>
              <w:szCs w:val="22"/>
            </w:rPr>
            <m:t>In</m:t>
          </m:r>
          <m:sSub>
            <m:sSubPr>
              <m:ctrlPr>
                <w:rPr>
                  <w:rFonts w:ascii="Cambria Math" w:hAnsi="Cambria Math"/>
                  <w:sz w:val="22"/>
                  <w:szCs w:val="22"/>
                </w:rPr>
              </m:ctrlPr>
            </m:sSubPr>
            <m:e>
              <m:r>
                <w:rPr>
                  <w:rFonts w:ascii="Cambria Math" w:hAnsi="Cambria Math"/>
                  <w:sz w:val="22"/>
                  <w:szCs w:val="22"/>
                </w:rPr>
                <m:t>PMS</m:t>
              </m:r>
            </m:e>
            <m:sub>
              <m:r>
                <w:rPr>
                  <w:rFonts w:ascii="Cambria Math" w:hAnsi="Cambria Math"/>
                  <w:sz w:val="22"/>
                  <w:szCs w:val="22"/>
                </w:rPr>
                <m:t>t-1</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3</m:t>
              </m:r>
            </m:sub>
          </m:sSub>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m:t>
              </m:r>
            </m:e>
          </m:func>
          <m:r>
            <w:rPr>
              <w:rFonts w:ascii="Cambria Math" w:hAnsi="Cambria Math"/>
              <w:sz w:val="22"/>
              <w:szCs w:val="22"/>
            </w:rPr>
            <m:t>PMS</m:t>
          </m:r>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m:t>
                  </m:r>
                </m:e>
                <m:sup>
                  <m:r>
                    <w:rPr>
                      <w:rFonts w:ascii="Cambria Math" w:hAnsi="Cambria Math"/>
                      <w:sz w:val="22"/>
                      <w:szCs w:val="22"/>
                    </w:rPr>
                    <m:t>2</m:t>
                  </m:r>
                </m:sup>
              </m:sSup>
            </m:e>
            <m:sub>
              <m:r>
                <w:rPr>
                  <w:rFonts w:ascii="Cambria Math" w:hAnsi="Cambria Math"/>
                  <w:sz w:val="22"/>
                  <w:szCs w:val="22"/>
                </w:rPr>
                <m:t>t-1</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4</m:t>
              </m:r>
            </m:sub>
          </m:sSub>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P</m:t>
              </m:r>
            </m:e>
          </m:func>
          <m:r>
            <w:rPr>
              <w:rFonts w:ascii="Cambria Math" w:hAnsi="Cambria Math"/>
              <w:sz w:val="22"/>
              <w:szCs w:val="22"/>
            </w:rPr>
            <m:t>O</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t-1</m:t>
              </m:r>
            </m:sub>
          </m:sSub>
          <m:r>
            <w:rPr>
              <w:rFonts w:ascii="Cambria Math" w:hAnsi="Cambria Math"/>
              <w:sz w:val="22"/>
              <w:szCs w:val="22"/>
            </w:rPr>
            <m:t>+</m:t>
          </m:r>
          <m:sSub>
            <m:sSubPr>
              <m:ctrlPr>
                <w:rPr>
                  <w:rFonts w:ascii="Cambria Math" w:hAnsi="Cambria Math"/>
                  <w:sz w:val="22"/>
                  <w:szCs w:val="22"/>
                </w:rPr>
              </m:ctrlPr>
            </m:sSubPr>
            <m:e>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5</m:t>
                  </m:r>
                </m:sub>
              </m:sSub>
              <m:r>
                <w:rPr>
                  <w:rFonts w:ascii="Cambria Math" w:hAnsi="Cambria Math"/>
                  <w:sz w:val="22"/>
                  <w:szCs w:val="22"/>
                </w:rPr>
                <m:t>In</m:t>
              </m:r>
              <m:sSub>
                <m:sSubPr>
                  <m:ctrlPr>
                    <w:rPr>
                      <w:rFonts w:ascii="Cambria Math" w:hAnsi="Cambria Math"/>
                      <w:sz w:val="22"/>
                      <w:szCs w:val="22"/>
                    </w:rPr>
                  </m:ctrlPr>
                </m:sSubPr>
                <m:e>
                  <m:r>
                    <w:rPr>
                      <w:rFonts w:ascii="Cambria Math" w:hAnsi="Cambria Math"/>
                      <w:sz w:val="22"/>
                      <w:szCs w:val="22"/>
                    </w:rPr>
                    <m:t>REC</m:t>
                  </m:r>
                </m:e>
                <m:sub>
                  <m:r>
                    <w:rPr>
                      <w:rFonts w:ascii="Cambria Math" w:hAnsi="Cambria Math"/>
                      <w:sz w:val="22"/>
                      <w:szCs w:val="22"/>
                    </w:rPr>
                    <m:t>t-1</m:t>
                  </m:r>
                </m:sub>
              </m:sSub>
              <m:r>
                <w:rPr>
                  <w:rFonts w:ascii="Cambria Math" w:hAnsi="Cambria Math"/>
                  <w:sz w:val="22"/>
                  <w:szCs w:val="22"/>
                </w:rPr>
                <m:t>+ε</m:t>
              </m:r>
            </m:e>
            <m:sub>
              <m:r>
                <w:rPr>
                  <w:rFonts w:ascii="Cambria Math" w:hAnsi="Cambria Math"/>
                  <w:sz w:val="22"/>
                  <w:szCs w:val="22"/>
                </w:rPr>
                <m:t>t</m:t>
              </m:r>
            </m:sub>
          </m:sSub>
          <m:r>
            <w:rPr>
              <w:rFonts w:ascii="Cambria Math" w:hAnsi="Cambria Math"/>
              <w:sz w:val="22"/>
              <w:szCs w:val="22"/>
            </w:rPr>
            <m:t>...................(4)</m:t>
          </m:r>
        </m:oMath>
      </m:oMathPara>
    </w:p>
    <w:p w14:paraId="09C08335" w14:textId="77777777"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The estimation method begins with equation 2, and ordinary least squares regression was primarily introduced to enable the Wald test to assess the joint significance of the coefficients associated with the lagged variables. The fundamental objective is to determine the potential for long-term relationships among the variables included in the analysis.</w:t>
      </w:r>
    </w:p>
    <w:p w14:paraId="39764060" w14:textId="77777777" w:rsidR="003B18E9" w:rsidRPr="00886270" w:rsidRDefault="003B18E9" w:rsidP="00886270">
      <w:pPr>
        <w:spacing w:line="360" w:lineRule="auto"/>
        <w:jc w:val="both"/>
        <w:rPr>
          <w:sz w:val="22"/>
          <w:szCs w:val="22"/>
        </w:rPr>
      </w:pPr>
      <w:r w:rsidRPr="00886270">
        <w:rPr>
          <w:rFonts w:ascii="Times New Roman" w:hAnsi="Times New Roman" w:cs="Times New Roman"/>
          <w:sz w:val="22"/>
          <w:szCs w:val="22"/>
        </w:rPr>
        <w:t xml:space="preserve">Hereof, </w:t>
      </w:r>
      <w:r w:rsidRPr="00886270">
        <w:rPr>
          <w:rFonts w:ascii="Times New Roman" w:hAnsi="Times New Roman" w:cs="Times New Roman"/>
          <w:sz w:val="22"/>
          <w:szCs w:val="22"/>
        </w:rPr>
        <w:object w:dxaOrig="3240" w:dyaOrig="370" w14:anchorId="06D566AC">
          <v:shape id="Object 6" o:spid="_x0000_i1029" type="#_x0000_t75" style="width:162pt;height:18.65pt;visibility:visible;mso-wrap-style:square" o:ole="">
            <v:imagedata r:id="rId16" o:title=""/>
          </v:shape>
          <o:OLEObject Type="Embed" ProgID="Msxml2.SAXXMLReader.6.0" ShapeID="Object 6" DrawAspect="Content" ObjectID="_1801381217" r:id="rId17"/>
        </w:object>
      </w:r>
      <w:r w:rsidRPr="00886270">
        <w:rPr>
          <w:rFonts w:ascii="Times New Roman" w:hAnsi="Times New Roman" w:cs="Times New Roman"/>
          <w:sz w:val="22"/>
          <w:szCs w:val="22"/>
        </w:rPr>
        <w:t xml:space="preserve"> is the null hypothesis and it contains relevant facts on why there is non-existence of co-integrating associations among the included explanatory variables </w:t>
      </w:r>
      <w:r w:rsidRPr="00886270">
        <w:rPr>
          <w:rFonts w:ascii="Times New Roman" w:hAnsi="Times New Roman" w:cs="Times New Roman"/>
          <w:sz w:val="22"/>
          <w:szCs w:val="22"/>
        </w:rPr>
        <w:lastRenderedPageBreak/>
        <w:t>(regressors) and the only dependable variable (</w:t>
      </w:r>
      <w:proofErr w:type="spellStart"/>
      <w:r w:rsidRPr="00886270">
        <w:rPr>
          <w:rFonts w:ascii="Times New Roman" w:hAnsi="Times New Roman" w:cs="Times New Roman"/>
          <w:sz w:val="22"/>
          <w:szCs w:val="22"/>
        </w:rPr>
        <w:t>regressand</w:t>
      </w:r>
      <w:proofErr w:type="spellEnd"/>
      <w:r w:rsidRPr="00886270">
        <w:rPr>
          <w:rFonts w:ascii="Times New Roman" w:hAnsi="Times New Roman" w:cs="Times New Roman"/>
          <w:sz w:val="22"/>
          <w:szCs w:val="22"/>
        </w:rPr>
        <w:t xml:space="preserve">). In similar pattern of expression, the alternative hypothesis is derived to be </w:t>
      </w:r>
      <w:r w:rsidRPr="00886270">
        <w:rPr>
          <w:rFonts w:ascii="Times New Roman" w:hAnsi="Times New Roman" w:cs="Times New Roman"/>
          <w:sz w:val="22"/>
          <w:szCs w:val="22"/>
        </w:rPr>
        <w:object w:dxaOrig="3240" w:dyaOrig="370" w14:anchorId="43D08111">
          <v:shape id="Object 7" o:spid="_x0000_i1030" type="#_x0000_t75" style="width:162pt;height:18.65pt;visibility:visible;mso-wrap-style:square" o:ole="">
            <v:imagedata r:id="rId18" o:title=""/>
          </v:shape>
          <o:OLEObject Type="Embed" ProgID="Msxml2.SAXXMLReader.6.0" ShapeID="Object 7" DrawAspect="Content" ObjectID="_1801381218" r:id="rId19"/>
        </w:object>
      </w:r>
    </w:p>
    <w:p w14:paraId="2A5526EC" w14:textId="6E7EBED0" w:rsidR="003B18E9" w:rsidRPr="00886270" w:rsidRDefault="003B18E9" w:rsidP="00886270">
      <w:pPr>
        <w:spacing w:line="360" w:lineRule="auto"/>
        <w:jc w:val="both"/>
        <w:rPr>
          <w:rFonts w:ascii="Times New Roman" w:hAnsi="Times New Roman" w:cs="Times New Roman"/>
          <w:sz w:val="22"/>
          <w:szCs w:val="22"/>
        </w:rPr>
      </w:pPr>
      <w:r w:rsidRPr="00886270">
        <w:rPr>
          <w:rFonts w:ascii="Times New Roman" w:hAnsi="Times New Roman" w:cs="Times New Roman"/>
          <w:sz w:val="22"/>
          <w:szCs w:val="22"/>
        </w:rPr>
        <w:t xml:space="preserve">As per the established econometric tradition, the F-statistic is presented alongside the upper and lower critical values to provide a basis for drawing substantive conclusions, as observed in </w:t>
      </w:r>
      <w:proofErr w:type="spellStart"/>
      <w:r w:rsidRPr="00886270">
        <w:rPr>
          <w:rFonts w:ascii="Times New Roman" w:hAnsi="Times New Roman" w:cs="Times New Roman"/>
          <w:sz w:val="22"/>
          <w:szCs w:val="22"/>
        </w:rPr>
        <w:t>Pesaran</w:t>
      </w:r>
      <w:proofErr w:type="spellEnd"/>
      <w:r w:rsidRPr="00886270">
        <w:rPr>
          <w:rFonts w:ascii="Times New Roman" w:hAnsi="Times New Roman" w:cs="Times New Roman"/>
          <w:sz w:val="22"/>
          <w:szCs w:val="22"/>
        </w:rPr>
        <w:t xml:space="preserve"> et al. Consequently, if the F-statistic is found to exceed the upper critical value, it suggests the absence of cointegration, and the null hypothesis should not be accepted. In this economic context, it indicates the presence of a long-term association among the defined and included variables (</w:t>
      </w:r>
      <w:proofErr w:type="spellStart"/>
      <w:r w:rsidRPr="00886270">
        <w:rPr>
          <w:rFonts w:ascii="Times New Roman" w:hAnsi="Times New Roman" w:cs="Times New Roman"/>
          <w:sz w:val="22"/>
          <w:szCs w:val="22"/>
        </w:rPr>
        <w:t>Arize</w:t>
      </w:r>
      <w:proofErr w:type="spellEnd"/>
      <w:r w:rsidRPr="00886270">
        <w:rPr>
          <w:rFonts w:ascii="Times New Roman" w:hAnsi="Times New Roman" w:cs="Times New Roman"/>
          <w:sz w:val="22"/>
          <w:szCs w:val="22"/>
        </w:rPr>
        <w:t>, 2017). Conversely, when the F-statistic values fall below the lower critical value, the null hypothesis will be readily accepted. If the experiment results show the F-statistic value falling within the range of the lower and upper limits, the test is deemed inconclusive (Merwe, 2021).</w:t>
      </w:r>
      <w:r w:rsidRPr="00886270">
        <w:rPr>
          <w:rFonts w:ascii="Times New Roman" w:hAnsi="Times New Roman" w:cs="Times New Roman"/>
          <w:sz w:val="22"/>
          <w:szCs w:val="22"/>
        </w:rPr>
        <w:br/>
        <w:t>Additionally, to determine the initial dynamics of the defined and included variables, as well as the initial adjustment rate towards the long-run outcome, the Error Correction Model was estimated as shown in the equation below.</w:t>
      </w:r>
    </w:p>
    <w:p w14:paraId="1FC2EAD4" w14:textId="11977F6F" w:rsidR="003B18E9" w:rsidRPr="00CB2EEF" w:rsidRDefault="003B18E9" w:rsidP="00886270">
      <w:pPr>
        <w:spacing w:line="360" w:lineRule="auto"/>
        <w:jc w:val="center"/>
        <w:rPr>
          <w:sz w:val="22"/>
          <w:szCs w:val="22"/>
        </w:rPr>
      </w:pPr>
      <m:oMathPara>
        <m:oMathParaPr>
          <m:jc m:val="center"/>
        </m:oMathParaPr>
        <m:oMath>
          <m:r>
            <w:rPr>
              <w:rFonts w:ascii="Cambria Math" w:hAnsi="Cambria Math"/>
              <w:sz w:val="22"/>
              <w:szCs w:val="22"/>
            </w:rPr>
            <m:t>1nC0</m:t>
          </m:r>
          <m:sSub>
            <m:sSubPr>
              <m:ctrlPr>
                <w:rPr>
                  <w:rFonts w:ascii="Cambria Math" w:hAnsi="Cambria Math"/>
                  <w:sz w:val="22"/>
                  <w:szCs w:val="22"/>
                </w:rPr>
              </m:ctrlPr>
            </m:sSubPr>
            <m:e>
              <m:r>
                <w:rPr>
                  <w:rFonts w:ascii="Cambria Math" w:hAnsi="Cambria Math"/>
                  <w:sz w:val="22"/>
                  <w:szCs w:val="22"/>
                </w:rPr>
                <m:t>2</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0</m:t>
              </m:r>
            </m:sub>
          </m:sSub>
          <m:r>
            <w:rPr>
              <w:rFonts w:ascii="Cambria Math" w:hAnsi="Cambria Math"/>
              <w:sz w:val="22"/>
              <w:szCs w:val="22"/>
            </w:rPr>
            <m:t>+</m:t>
          </m:r>
          <m:nary>
            <m:naryPr>
              <m:chr m:val="∑"/>
              <m:limLoc m:val="subSup"/>
              <m:ctrlPr>
                <w:rPr>
                  <w:rFonts w:ascii="Cambria Math" w:hAnsi="Cambria Math"/>
                  <w:sz w:val="22"/>
                  <w:szCs w:val="22"/>
                </w:rPr>
              </m:ctrlPr>
            </m:naryPr>
            <m:sub>
              <m:r>
                <w:rPr>
                  <w:rFonts w:ascii="Cambria Math" w:hAnsi="Cambria Math"/>
                  <w:sz w:val="22"/>
                  <w:szCs w:val="22"/>
                </w:rPr>
                <m:t>Κ=1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1k</m:t>
                  </m:r>
                </m:sub>
              </m:sSub>
            </m:e>
          </m:nary>
          <m:r>
            <w:rPr>
              <w:rFonts w:ascii="Cambria Math" w:hAnsi="Cambria Math"/>
              <w:sz w:val="22"/>
              <w:szCs w:val="22"/>
            </w:rPr>
            <m:t>Δ</m:t>
          </m:r>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C</m:t>
              </m:r>
            </m:e>
          </m:func>
          <m: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2</m:t>
              </m:r>
            </m:e>
            <m:sub>
              <m:r>
                <w:rPr>
                  <w:rFonts w:ascii="Cambria Math" w:hAnsi="Cambria Math"/>
                  <w:sz w:val="22"/>
                  <w:szCs w:val="22"/>
                </w:rPr>
                <m:t>t-k</m:t>
              </m:r>
            </m:sub>
          </m:sSub>
          <m:r>
            <w:rPr>
              <w:rFonts w:ascii="Cambria Math" w:hAnsi="Cambria Math"/>
              <w:sz w:val="22"/>
              <w:szCs w:val="22"/>
            </w:rPr>
            <m:t>+</m:t>
          </m:r>
          <m:nary>
            <m:naryPr>
              <m:chr m:val="∑"/>
              <m:limLoc m:val="subSup"/>
              <m:ctrlPr>
                <w:rPr>
                  <w:rFonts w:ascii="Cambria Math" w:hAnsi="Cambria Math"/>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2k</m:t>
                  </m:r>
                </m:sub>
              </m:sSub>
              <m:r>
                <w:rPr>
                  <w:rFonts w:ascii="Cambria Math" w:hAnsi="Cambria Math"/>
                  <w:sz w:val="22"/>
                  <w:szCs w:val="22"/>
                </w:rPr>
                <m:t>ΔIn</m:t>
              </m:r>
              <m:sSub>
                <m:sSubPr>
                  <m:ctrlPr>
                    <w:rPr>
                      <w:rFonts w:ascii="Cambria Math" w:hAnsi="Cambria Math"/>
                      <w:sz w:val="22"/>
                      <w:szCs w:val="22"/>
                    </w:rPr>
                  </m:ctrlPr>
                </m:sSubPr>
                <m:e>
                  <m:r>
                    <w:rPr>
                      <w:rFonts w:ascii="Cambria Math" w:hAnsi="Cambria Math"/>
                      <w:sz w:val="22"/>
                      <w:szCs w:val="22"/>
                    </w:rPr>
                    <m:t>PMS</m:t>
                  </m:r>
                </m:e>
                <m:sub>
                  <m:r>
                    <w:rPr>
                      <w:rFonts w:ascii="Cambria Math" w:hAnsi="Cambria Math"/>
                      <w:sz w:val="22"/>
                      <w:szCs w:val="22"/>
                    </w:rPr>
                    <m:t>t-k</m:t>
                  </m:r>
                </m:sub>
              </m:sSub>
            </m:e>
          </m:nary>
          <m:r>
            <w:rPr>
              <w:rFonts w:ascii="Cambria Math" w:hAnsi="Cambria Math"/>
              <w:sz w:val="22"/>
              <w:szCs w:val="22"/>
            </w:rPr>
            <m:t>+</m:t>
          </m:r>
          <m:nary>
            <m:naryPr>
              <m:chr m:val="∑"/>
              <m:limLoc m:val="subSup"/>
              <m:ctrlPr>
                <w:rPr>
                  <w:rFonts w:ascii="Cambria Math" w:hAnsi="Cambria Math"/>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3k</m:t>
                  </m:r>
                </m:sub>
              </m:sSub>
            </m:e>
          </m:nary>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In</m:t>
                  </m:r>
                  <m:sSub>
                    <m:sSubPr>
                      <m:ctrlPr>
                        <w:rPr>
                          <w:rFonts w:ascii="Cambria Math" w:hAnsi="Cambria Math"/>
                          <w:sz w:val="22"/>
                          <w:szCs w:val="22"/>
                        </w:rPr>
                      </m:ctrlPr>
                    </m:sSubPr>
                    <m:e>
                      <m:r>
                        <w:rPr>
                          <w:rFonts w:ascii="Cambria Math" w:hAnsi="Cambria Math"/>
                          <w:sz w:val="22"/>
                          <w:szCs w:val="22"/>
                        </w:rPr>
                        <m:t>PMS</m:t>
                      </m:r>
                    </m:e>
                    <m:sub>
                      <m:r>
                        <w:rPr>
                          <w:rFonts w:ascii="Cambria Math" w:hAnsi="Cambria Math"/>
                          <w:sz w:val="22"/>
                          <w:szCs w:val="22"/>
                        </w:rPr>
                        <m:t>t-k</m:t>
                      </m:r>
                    </m:sub>
                  </m:sSub>
                </m:e>
              </m:d>
            </m:e>
            <m:sup>
              <m:r>
                <w:rPr>
                  <w:rFonts w:ascii="Cambria Math" w:hAnsi="Cambria Math"/>
                  <w:sz w:val="22"/>
                  <w:szCs w:val="22"/>
                </w:rPr>
                <m:t>2</m:t>
              </m:r>
            </m:sup>
          </m:sSup>
          <m:r>
            <w:rPr>
              <w:rFonts w:ascii="Cambria Math" w:hAnsi="Cambria Math"/>
              <w:sz w:val="22"/>
              <w:szCs w:val="22"/>
            </w:rPr>
            <m:t xml:space="preserve">+ </m:t>
          </m:r>
          <m:nary>
            <m:naryPr>
              <m:chr m:val="∑"/>
              <m:limLoc m:val="subSup"/>
              <m:ctrlPr>
                <w:rPr>
                  <w:rFonts w:ascii="Cambria Math" w:hAnsi="Cambria Math"/>
                  <w:sz w:val="22"/>
                  <w:szCs w:val="22"/>
                </w:rPr>
              </m:ctrlPr>
            </m:naryPr>
            <m:sub>
              <m:r>
                <w:rPr>
                  <w:rFonts w:ascii="Cambria Math" w:hAnsi="Cambria Math"/>
                  <w:sz w:val="22"/>
                  <w:szCs w:val="22"/>
                </w:rPr>
                <m:t>Κ=1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4k</m:t>
                  </m:r>
                </m:sub>
              </m:sSub>
            </m:e>
          </m:nary>
          <m:r>
            <w:rPr>
              <w:rFonts w:ascii="Cambria Math" w:hAnsi="Cambria Math"/>
              <w:sz w:val="22"/>
              <w:szCs w:val="22"/>
            </w:rPr>
            <m:t>Δ</m:t>
          </m:r>
          <m:func>
            <m:funcPr>
              <m:ctrlPr>
                <w:rPr>
                  <w:rFonts w:ascii="Cambria Math" w:hAnsi="Cambria Math"/>
                  <w:sz w:val="22"/>
                  <w:szCs w:val="22"/>
                </w:rPr>
              </m:ctrlPr>
            </m:funcPr>
            <m:fName>
              <m:r>
                <w:rPr>
                  <w:rFonts w:ascii="Cambria Math" w:hAnsi="Cambria Math"/>
                  <w:sz w:val="22"/>
                  <w:szCs w:val="22"/>
                </w:rPr>
                <m:t>ln</m:t>
              </m:r>
            </m:fName>
            <m:e>
              <m:r>
                <w:rPr>
                  <w:rFonts w:ascii="Cambria Math" w:hAnsi="Cambria Math"/>
                  <w:sz w:val="22"/>
                  <w:szCs w:val="22"/>
                </w:rPr>
                <m:t>P</m:t>
              </m:r>
            </m:e>
          </m:func>
          <m:r>
            <w:rPr>
              <w:rFonts w:ascii="Cambria Math" w:hAnsi="Cambria Math"/>
              <w:sz w:val="22"/>
              <w:szCs w:val="22"/>
            </w:rPr>
            <m:t>O</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t-k</m:t>
              </m:r>
            </m:sub>
          </m:sSub>
          <m:r>
            <w:rPr>
              <w:rFonts w:ascii="Cambria Math" w:hAnsi="Cambria Math"/>
              <w:sz w:val="22"/>
              <w:szCs w:val="22"/>
            </w:rPr>
            <m:t>+</m:t>
          </m:r>
          <m:nary>
            <m:naryPr>
              <m:chr m:val="∑"/>
              <m:limLoc m:val="subSup"/>
              <m:ctrlPr>
                <w:rPr>
                  <w:rFonts w:ascii="Cambria Math" w:hAnsi="Cambria Math"/>
                  <w:sz w:val="22"/>
                  <w:szCs w:val="22"/>
                </w:rPr>
              </m:ctrlPr>
            </m:naryPr>
            <m:sub>
              <m:r>
                <w:rPr>
                  <w:rFonts w:ascii="Cambria Math" w:hAnsi="Cambria Math"/>
                  <w:sz w:val="22"/>
                  <w:szCs w:val="22"/>
                </w:rPr>
                <m:t>Κ=1</m:t>
              </m:r>
            </m:sub>
            <m:sup>
              <m:r>
                <w:rPr>
                  <w:rFonts w:ascii="Cambria Math" w:hAnsi="Cambria Math"/>
                  <w:sz w:val="22"/>
                  <w:szCs w:val="22"/>
                </w:rPr>
                <m:t>n</m:t>
              </m:r>
            </m:sup>
            <m:e>
              <m:sSub>
                <m:sSubPr>
                  <m:ctrlPr>
                    <w:rPr>
                      <w:rFonts w:ascii="Cambria Math" w:hAnsi="Cambria Math"/>
                      <w:sz w:val="22"/>
                      <w:szCs w:val="22"/>
                    </w:rPr>
                  </m:ctrlPr>
                </m:sSubPr>
                <m:e>
                  <m:r>
                    <w:rPr>
                      <w:rFonts w:ascii="Cambria Math" w:hAnsi="Cambria Math"/>
                      <w:sz w:val="22"/>
                      <w:szCs w:val="22"/>
                    </w:rPr>
                    <m:t>α</m:t>
                  </m:r>
                </m:e>
                <m:sub>
                  <m:r>
                    <w:rPr>
                      <w:rFonts w:ascii="Cambria Math" w:hAnsi="Cambria Math"/>
                      <w:sz w:val="22"/>
                      <w:szCs w:val="22"/>
                    </w:rPr>
                    <m:t>5k</m:t>
                  </m:r>
                </m:sub>
              </m:sSub>
            </m:e>
          </m:nary>
          <m:r>
            <w:rPr>
              <w:rFonts w:ascii="Cambria Math" w:hAnsi="Cambria Math"/>
              <w:sz w:val="22"/>
              <w:szCs w:val="22"/>
            </w:rPr>
            <m:t>ΔIn</m:t>
          </m:r>
          <m:sSub>
            <m:sSubPr>
              <m:ctrlPr>
                <w:rPr>
                  <w:rFonts w:ascii="Cambria Math" w:hAnsi="Cambria Math"/>
                  <w:sz w:val="22"/>
                  <w:szCs w:val="22"/>
                </w:rPr>
              </m:ctrlPr>
            </m:sSubPr>
            <m:e>
              <m:r>
                <w:rPr>
                  <w:rFonts w:ascii="Cambria Math" w:hAnsi="Cambria Math"/>
                  <w:sz w:val="22"/>
                  <w:szCs w:val="22"/>
                </w:rPr>
                <m:t>REC</m:t>
              </m:r>
            </m:e>
            <m:sub>
              <m:r>
                <w:rPr>
                  <w:rFonts w:ascii="Cambria Math" w:hAnsi="Cambria Math"/>
                  <w:sz w:val="22"/>
                  <w:szCs w:val="22"/>
                </w:rPr>
                <m:t>t-k</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ω</m:t>
              </m:r>
            </m:e>
            <m:sub>
              <m:r>
                <w:rPr>
                  <w:rFonts w:ascii="Cambria Math" w:hAnsi="Cambria Math"/>
                  <w:sz w:val="22"/>
                  <w:szCs w:val="22"/>
                </w:rPr>
                <m:t>k</m:t>
              </m:r>
            </m:sub>
          </m:sSub>
          <m:r>
            <w:rPr>
              <w:rFonts w:ascii="Cambria Math" w:hAnsi="Cambria Math"/>
              <w:sz w:val="22"/>
              <w:szCs w:val="22"/>
            </w:rPr>
            <m:t>EC</m:t>
          </m:r>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i-k</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ε</m:t>
              </m:r>
            </m:e>
            <m:sub>
              <m:r>
                <w:rPr>
                  <w:rFonts w:ascii="Cambria Math" w:hAnsi="Cambria Math"/>
                  <w:sz w:val="22"/>
                  <w:szCs w:val="22"/>
                </w:rPr>
                <m:t>t</m:t>
              </m:r>
            </m:sub>
          </m:sSub>
          <m:r>
            <w:rPr>
              <w:rFonts w:ascii="Cambria Math" w:hAnsi="Cambria Math"/>
              <w:sz w:val="22"/>
              <w:szCs w:val="22"/>
            </w:rPr>
            <m:t>…………….. (5)</m:t>
          </m:r>
          <m:r>
            <m:rPr>
              <m:sty m:val="p"/>
            </m:rPr>
            <w:rPr>
              <w:rFonts w:ascii="Cambria Math" w:hAnsi="Cambria Math" w:cs="Times New Roman"/>
              <w:sz w:val="22"/>
              <w:szCs w:val="22"/>
            </w:rPr>
            <w:br/>
          </m:r>
        </m:oMath>
      </m:oMathPara>
    </w:p>
    <w:p w14:paraId="7C008695" w14:textId="1B31DAF8" w:rsidR="00CB2EEF" w:rsidRPr="00CB2EEF" w:rsidRDefault="00CB2EEF" w:rsidP="00CB2EEF">
      <w:pPr>
        <w:pStyle w:val="ListParagraph"/>
        <w:numPr>
          <w:ilvl w:val="0"/>
          <w:numId w:val="2"/>
        </w:numPr>
        <w:spacing w:line="360" w:lineRule="auto"/>
        <w:rPr>
          <w:rFonts w:ascii="Calibri" w:hAnsi="Calibri" w:cs="Calibri"/>
          <w:b/>
          <w:bCs/>
          <w:sz w:val="22"/>
          <w:szCs w:val="22"/>
        </w:rPr>
      </w:pPr>
      <w:r w:rsidRPr="00CB2EEF">
        <w:rPr>
          <w:rFonts w:ascii="Calibri" w:hAnsi="Calibri" w:cs="Calibri"/>
          <w:b/>
          <w:bCs/>
          <w:sz w:val="22"/>
          <w:szCs w:val="22"/>
        </w:rPr>
        <w:t>Results</w:t>
      </w:r>
    </w:p>
    <w:p w14:paraId="3FF922C0" w14:textId="77777777" w:rsidR="003B18E9" w:rsidRPr="00886270" w:rsidRDefault="003B18E9" w:rsidP="00886270">
      <w:pPr>
        <w:spacing w:line="360" w:lineRule="auto"/>
        <w:jc w:val="both"/>
        <w:rPr>
          <w:sz w:val="22"/>
          <w:szCs w:val="22"/>
        </w:rPr>
      </w:pPr>
      <w:r w:rsidRPr="00886270">
        <w:rPr>
          <w:rFonts w:ascii="Times New Roman" w:hAnsi="Times New Roman" w:cs="Times New Roman"/>
          <w:b/>
          <w:bCs/>
          <w:sz w:val="22"/>
          <w:szCs w:val="22"/>
        </w:rPr>
        <w:t xml:space="preserve">Table 1. Descriptive Statistics </w:t>
      </w:r>
    </w:p>
    <w:tbl>
      <w:tblPr>
        <w:tblW w:w="8735" w:type="dxa"/>
        <w:tblInd w:w="-10" w:type="dxa"/>
        <w:tblCellMar>
          <w:left w:w="10" w:type="dxa"/>
          <w:right w:w="10" w:type="dxa"/>
        </w:tblCellMar>
        <w:tblLook w:val="0000" w:firstRow="0" w:lastRow="0" w:firstColumn="0" w:lastColumn="0" w:noHBand="0" w:noVBand="0"/>
      </w:tblPr>
      <w:tblGrid>
        <w:gridCol w:w="1895"/>
        <w:gridCol w:w="1710"/>
        <w:gridCol w:w="1530"/>
        <w:gridCol w:w="1890"/>
        <w:gridCol w:w="1710"/>
      </w:tblGrid>
      <w:tr w:rsidR="003B18E9" w:rsidRPr="00886270" w14:paraId="3D9A5321" w14:textId="77777777" w:rsidTr="00D66679">
        <w:trPr>
          <w:trHeight w:val="290"/>
        </w:trPr>
        <w:tc>
          <w:tcPr>
            <w:tcW w:w="1895" w:type="dxa"/>
            <w:shd w:val="clear" w:color="auto" w:fill="auto"/>
            <w:noWrap/>
            <w:tcMar>
              <w:top w:w="0" w:type="dxa"/>
              <w:left w:w="108" w:type="dxa"/>
              <w:bottom w:w="0" w:type="dxa"/>
              <w:right w:w="108" w:type="dxa"/>
            </w:tcMar>
            <w:vAlign w:val="bottom"/>
          </w:tcPr>
          <w:p w14:paraId="53B6E881" w14:textId="2A3052C1" w:rsidR="003B18E9" w:rsidRPr="00CB2EEF" w:rsidRDefault="00CB2EEF" w:rsidP="00CB2EEF">
            <w:pPr>
              <w:spacing w:after="0" w:line="240" w:lineRule="auto"/>
              <w:jc w:val="center"/>
              <w:rPr>
                <w:rFonts w:ascii="Calibri" w:eastAsia="Times New Roman" w:hAnsi="Calibri" w:cs="Calibri"/>
                <w:b/>
                <w:bCs/>
                <w:color w:val="000000"/>
                <w:kern w:val="0"/>
                <w:sz w:val="22"/>
                <w:szCs w:val="22"/>
              </w:rPr>
            </w:pPr>
            <w:r w:rsidRPr="00CB2EEF">
              <w:rPr>
                <w:rFonts w:ascii="Calibri" w:eastAsia="Times New Roman" w:hAnsi="Calibri" w:cs="Calibri"/>
                <w:b/>
                <w:bCs/>
                <w:color w:val="000000"/>
                <w:kern w:val="0"/>
                <w:sz w:val="22"/>
                <w:szCs w:val="22"/>
              </w:rPr>
              <w:t>Statistic</w:t>
            </w:r>
          </w:p>
        </w:tc>
        <w:tc>
          <w:tcPr>
            <w:tcW w:w="1710" w:type="dxa"/>
            <w:shd w:val="clear" w:color="auto" w:fill="auto"/>
            <w:noWrap/>
            <w:tcMar>
              <w:top w:w="0" w:type="dxa"/>
              <w:left w:w="108" w:type="dxa"/>
              <w:bottom w:w="0" w:type="dxa"/>
              <w:right w:w="108" w:type="dxa"/>
            </w:tcMar>
            <w:vAlign w:val="bottom"/>
          </w:tcPr>
          <w:p w14:paraId="2B028504" w14:textId="7D9635F1" w:rsidR="003B18E9" w:rsidRPr="00886270" w:rsidRDefault="003B18E9" w:rsidP="00CB2EEF">
            <w:pPr>
              <w:spacing w:after="0" w:line="240" w:lineRule="auto"/>
              <w:jc w:val="center"/>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CO</w:t>
            </w:r>
            <w:r w:rsidRPr="00CB2EEF">
              <w:rPr>
                <w:rFonts w:ascii="Calibri" w:eastAsia="Times New Roman" w:hAnsi="Calibri" w:cs="Calibri"/>
                <w:color w:val="000000"/>
                <w:kern w:val="0"/>
                <w:sz w:val="22"/>
                <w:szCs w:val="22"/>
                <w:vertAlign w:val="subscript"/>
              </w:rPr>
              <w:t>2</w:t>
            </w:r>
            <w:r w:rsidR="00D66679" w:rsidRPr="00D66679">
              <w:rPr>
                <w:rFonts w:ascii="Calibri" w:eastAsia="Times New Roman" w:hAnsi="Calibri" w:cs="Calibri"/>
                <w:color w:val="000000"/>
                <w:kern w:val="0"/>
                <w:sz w:val="22"/>
                <w:szCs w:val="22"/>
              </w:rPr>
              <w:t>E</w:t>
            </w:r>
          </w:p>
        </w:tc>
        <w:tc>
          <w:tcPr>
            <w:tcW w:w="1530" w:type="dxa"/>
            <w:shd w:val="clear" w:color="auto" w:fill="auto"/>
            <w:noWrap/>
            <w:tcMar>
              <w:top w:w="0" w:type="dxa"/>
              <w:left w:w="108" w:type="dxa"/>
              <w:bottom w:w="0" w:type="dxa"/>
              <w:right w:w="108" w:type="dxa"/>
            </w:tcMar>
            <w:vAlign w:val="bottom"/>
          </w:tcPr>
          <w:p w14:paraId="1AB5B05D" w14:textId="77777777" w:rsidR="003B18E9" w:rsidRPr="00886270" w:rsidRDefault="003B18E9" w:rsidP="00CB2EEF">
            <w:pPr>
              <w:spacing w:after="0" w:line="240" w:lineRule="auto"/>
              <w:jc w:val="center"/>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PMSC</w:t>
            </w:r>
          </w:p>
        </w:tc>
        <w:tc>
          <w:tcPr>
            <w:tcW w:w="1890" w:type="dxa"/>
            <w:shd w:val="clear" w:color="auto" w:fill="auto"/>
            <w:noWrap/>
            <w:tcMar>
              <w:top w:w="0" w:type="dxa"/>
              <w:left w:w="108" w:type="dxa"/>
              <w:bottom w:w="0" w:type="dxa"/>
              <w:right w:w="108" w:type="dxa"/>
            </w:tcMar>
            <w:vAlign w:val="bottom"/>
          </w:tcPr>
          <w:p w14:paraId="473BA552" w14:textId="77777777" w:rsidR="003B18E9" w:rsidRPr="00886270" w:rsidRDefault="003B18E9" w:rsidP="00CB2EEF">
            <w:pPr>
              <w:spacing w:after="0" w:line="240" w:lineRule="auto"/>
              <w:jc w:val="center"/>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POPG</w:t>
            </w:r>
          </w:p>
        </w:tc>
        <w:tc>
          <w:tcPr>
            <w:tcW w:w="1710" w:type="dxa"/>
            <w:shd w:val="clear" w:color="auto" w:fill="auto"/>
            <w:noWrap/>
            <w:tcMar>
              <w:top w:w="0" w:type="dxa"/>
              <w:left w:w="108" w:type="dxa"/>
              <w:bottom w:w="0" w:type="dxa"/>
              <w:right w:w="108" w:type="dxa"/>
            </w:tcMar>
            <w:vAlign w:val="bottom"/>
          </w:tcPr>
          <w:p w14:paraId="564203D8" w14:textId="77777777" w:rsidR="003B18E9" w:rsidRPr="00886270" w:rsidRDefault="003B18E9" w:rsidP="00CB2EEF">
            <w:pPr>
              <w:spacing w:after="0" w:line="240" w:lineRule="auto"/>
              <w:jc w:val="center"/>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REC</w:t>
            </w:r>
          </w:p>
        </w:tc>
      </w:tr>
      <w:tr w:rsidR="003B18E9" w:rsidRPr="00886270" w14:paraId="3D823ED7" w14:textId="77777777" w:rsidTr="00D66679">
        <w:trPr>
          <w:trHeight w:val="290"/>
        </w:trPr>
        <w:tc>
          <w:tcPr>
            <w:tcW w:w="1895" w:type="dxa"/>
            <w:shd w:val="clear" w:color="auto" w:fill="auto"/>
            <w:noWrap/>
            <w:tcMar>
              <w:top w:w="0" w:type="dxa"/>
              <w:left w:w="108" w:type="dxa"/>
              <w:bottom w:w="0" w:type="dxa"/>
              <w:right w:w="108" w:type="dxa"/>
            </w:tcMar>
            <w:vAlign w:val="bottom"/>
          </w:tcPr>
          <w:p w14:paraId="6473F4C6"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Mean</w:t>
            </w:r>
          </w:p>
        </w:tc>
        <w:tc>
          <w:tcPr>
            <w:tcW w:w="1710" w:type="dxa"/>
            <w:shd w:val="clear" w:color="auto" w:fill="auto"/>
            <w:noWrap/>
            <w:tcMar>
              <w:top w:w="0" w:type="dxa"/>
              <w:left w:w="108" w:type="dxa"/>
              <w:bottom w:w="0" w:type="dxa"/>
              <w:right w:w="108" w:type="dxa"/>
            </w:tcMar>
            <w:vAlign w:val="bottom"/>
          </w:tcPr>
          <w:p w14:paraId="4F823D53"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90.14826</w:t>
            </w:r>
          </w:p>
        </w:tc>
        <w:tc>
          <w:tcPr>
            <w:tcW w:w="1530" w:type="dxa"/>
            <w:shd w:val="clear" w:color="auto" w:fill="auto"/>
            <w:noWrap/>
            <w:tcMar>
              <w:top w:w="0" w:type="dxa"/>
              <w:left w:w="108" w:type="dxa"/>
              <w:bottom w:w="0" w:type="dxa"/>
              <w:right w:w="108" w:type="dxa"/>
            </w:tcMar>
            <w:vAlign w:val="bottom"/>
          </w:tcPr>
          <w:p w14:paraId="52777A7C"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9.233237</w:t>
            </w:r>
          </w:p>
        </w:tc>
        <w:tc>
          <w:tcPr>
            <w:tcW w:w="1890" w:type="dxa"/>
            <w:shd w:val="clear" w:color="auto" w:fill="auto"/>
            <w:noWrap/>
            <w:tcMar>
              <w:top w:w="0" w:type="dxa"/>
              <w:left w:w="108" w:type="dxa"/>
              <w:bottom w:w="0" w:type="dxa"/>
              <w:right w:w="108" w:type="dxa"/>
            </w:tcMar>
            <w:vAlign w:val="bottom"/>
          </w:tcPr>
          <w:p w14:paraId="4CA2BF03"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2.595355</w:t>
            </w:r>
          </w:p>
        </w:tc>
        <w:tc>
          <w:tcPr>
            <w:tcW w:w="1710" w:type="dxa"/>
            <w:shd w:val="clear" w:color="auto" w:fill="auto"/>
            <w:noWrap/>
            <w:tcMar>
              <w:top w:w="0" w:type="dxa"/>
              <w:left w:w="108" w:type="dxa"/>
              <w:bottom w:w="0" w:type="dxa"/>
              <w:right w:w="108" w:type="dxa"/>
            </w:tcMar>
            <w:vAlign w:val="bottom"/>
          </w:tcPr>
          <w:p w14:paraId="1A86B95F"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5.8895</w:t>
            </w:r>
          </w:p>
        </w:tc>
      </w:tr>
      <w:tr w:rsidR="003B18E9" w:rsidRPr="00886270" w14:paraId="1DFE35DB" w14:textId="77777777" w:rsidTr="00D66679">
        <w:trPr>
          <w:trHeight w:val="290"/>
        </w:trPr>
        <w:tc>
          <w:tcPr>
            <w:tcW w:w="1895" w:type="dxa"/>
            <w:shd w:val="clear" w:color="auto" w:fill="auto"/>
            <w:noWrap/>
            <w:tcMar>
              <w:top w:w="0" w:type="dxa"/>
              <w:left w:w="108" w:type="dxa"/>
              <w:bottom w:w="0" w:type="dxa"/>
              <w:right w:w="108" w:type="dxa"/>
            </w:tcMar>
            <w:vAlign w:val="bottom"/>
          </w:tcPr>
          <w:p w14:paraId="48B182F7"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Median</w:t>
            </w:r>
          </w:p>
        </w:tc>
        <w:tc>
          <w:tcPr>
            <w:tcW w:w="1710" w:type="dxa"/>
            <w:shd w:val="clear" w:color="auto" w:fill="auto"/>
            <w:noWrap/>
            <w:tcMar>
              <w:top w:w="0" w:type="dxa"/>
              <w:left w:w="108" w:type="dxa"/>
              <w:bottom w:w="0" w:type="dxa"/>
              <w:right w:w="108" w:type="dxa"/>
            </w:tcMar>
            <w:vAlign w:val="bottom"/>
          </w:tcPr>
          <w:p w14:paraId="5CFA14CC"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92.39355</w:t>
            </w:r>
          </w:p>
        </w:tc>
        <w:tc>
          <w:tcPr>
            <w:tcW w:w="1530" w:type="dxa"/>
            <w:shd w:val="clear" w:color="auto" w:fill="auto"/>
            <w:noWrap/>
            <w:tcMar>
              <w:top w:w="0" w:type="dxa"/>
              <w:left w:w="108" w:type="dxa"/>
              <w:bottom w:w="0" w:type="dxa"/>
              <w:right w:w="108" w:type="dxa"/>
            </w:tcMar>
            <w:vAlign w:val="bottom"/>
          </w:tcPr>
          <w:p w14:paraId="00FCB280"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7.663105</w:t>
            </w:r>
          </w:p>
        </w:tc>
        <w:tc>
          <w:tcPr>
            <w:tcW w:w="1890" w:type="dxa"/>
            <w:shd w:val="clear" w:color="auto" w:fill="auto"/>
            <w:noWrap/>
            <w:tcMar>
              <w:top w:w="0" w:type="dxa"/>
              <w:left w:w="108" w:type="dxa"/>
              <w:bottom w:w="0" w:type="dxa"/>
              <w:right w:w="108" w:type="dxa"/>
            </w:tcMar>
            <w:vAlign w:val="bottom"/>
          </w:tcPr>
          <w:p w14:paraId="79588A8D"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2.581974</w:t>
            </w:r>
          </w:p>
        </w:tc>
        <w:tc>
          <w:tcPr>
            <w:tcW w:w="1710" w:type="dxa"/>
            <w:shd w:val="clear" w:color="auto" w:fill="auto"/>
            <w:noWrap/>
            <w:tcMar>
              <w:top w:w="0" w:type="dxa"/>
              <w:left w:w="108" w:type="dxa"/>
              <w:bottom w:w="0" w:type="dxa"/>
              <w:right w:w="108" w:type="dxa"/>
            </w:tcMar>
            <w:vAlign w:val="bottom"/>
          </w:tcPr>
          <w:p w14:paraId="54C829F3"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5.705</w:t>
            </w:r>
          </w:p>
        </w:tc>
      </w:tr>
      <w:tr w:rsidR="003B18E9" w:rsidRPr="00886270" w14:paraId="1B6DE64E" w14:textId="77777777" w:rsidTr="00D66679">
        <w:trPr>
          <w:trHeight w:val="290"/>
        </w:trPr>
        <w:tc>
          <w:tcPr>
            <w:tcW w:w="1895" w:type="dxa"/>
            <w:shd w:val="clear" w:color="auto" w:fill="auto"/>
            <w:noWrap/>
            <w:tcMar>
              <w:top w:w="0" w:type="dxa"/>
              <w:left w:w="108" w:type="dxa"/>
              <w:bottom w:w="0" w:type="dxa"/>
              <w:right w:w="108" w:type="dxa"/>
            </w:tcMar>
            <w:vAlign w:val="bottom"/>
          </w:tcPr>
          <w:p w14:paraId="3C64DF96"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Maximum</w:t>
            </w:r>
          </w:p>
        </w:tc>
        <w:tc>
          <w:tcPr>
            <w:tcW w:w="1710" w:type="dxa"/>
            <w:shd w:val="clear" w:color="auto" w:fill="auto"/>
            <w:noWrap/>
            <w:tcMar>
              <w:top w:w="0" w:type="dxa"/>
              <w:left w:w="108" w:type="dxa"/>
              <w:bottom w:w="0" w:type="dxa"/>
              <w:right w:w="108" w:type="dxa"/>
            </w:tcMar>
            <w:vAlign w:val="bottom"/>
          </w:tcPr>
          <w:p w14:paraId="04E24CD8"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131.1133</w:t>
            </w:r>
          </w:p>
        </w:tc>
        <w:tc>
          <w:tcPr>
            <w:tcW w:w="1530" w:type="dxa"/>
            <w:shd w:val="clear" w:color="auto" w:fill="auto"/>
            <w:noWrap/>
            <w:tcMar>
              <w:top w:w="0" w:type="dxa"/>
              <w:left w:w="108" w:type="dxa"/>
              <w:bottom w:w="0" w:type="dxa"/>
              <w:right w:w="108" w:type="dxa"/>
            </w:tcMar>
            <w:vAlign w:val="bottom"/>
          </w:tcPr>
          <w:p w14:paraId="78AABBA7"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21.72304</w:t>
            </w:r>
          </w:p>
        </w:tc>
        <w:tc>
          <w:tcPr>
            <w:tcW w:w="1890" w:type="dxa"/>
            <w:shd w:val="clear" w:color="auto" w:fill="auto"/>
            <w:noWrap/>
            <w:tcMar>
              <w:top w:w="0" w:type="dxa"/>
              <w:left w:w="108" w:type="dxa"/>
              <w:bottom w:w="0" w:type="dxa"/>
              <w:right w:w="108" w:type="dxa"/>
            </w:tcMar>
            <w:vAlign w:val="bottom"/>
          </w:tcPr>
          <w:p w14:paraId="48EDF6EB"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2.764062</w:t>
            </w:r>
          </w:p>
        </w:tc>
        <w:tc>
          <w:tcPr>
            <w:tcW w:w="1710" w:type="dxa"/>
            <w:shd w:val="clear" w:color="auto" w:fill="auto"/>
            <w:noWrap/>
            <w:tcMar>
              <w:top w:w="0" w:type="dxa"/>
              <w:left w:w="108" w:type="dxa"/>
              <w:bottom w:w="0" w:type="dxa"/>
              <w:right w:w="108" w:type="dxa"/>
            </w:tcMar>
            <w:vAlign w:val="bottom"/>
          </w:tcPr>
          <w:p w14:paraId="6C267BF2"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8.76</w:t>
            </w:r>
          </w:p>
        </w:tc>
      </w:tr>
      <w:tr w:rsidR="003B18E9" w:rsidRPr="00886270" w14:paraId="2ED1CBC4" w14:textId="77777777" w:rsidTr="00D66679">
        <w:trPr>
          <w:trHeight w:val="290"/>
        </w:trPr>
        <w:tc>
          <w:tcPr>
            <w:tcW w:w="1895" w:type="dxa"/>
            <w:shd w:val="clear" w:color="auto" w:fill="auto"/>
            <w:noWrap/>
            <w:tcMar>
              <w:top w:w="0" w:type="dxa"/>
              <w:left w:w="108" w:type="dxa"/>
              <w:bottom w:w="0" w:type="dxa"/>
              <w:right w:w="108" w:type="dxa"/>
            </w:tcMar>
            <w:vAlign w:val="bottom"/>
          </w:tcPr>
          <w:p w14:paraId="62290DAF"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Minimum</w:t>
            </w:r>
          </w:p>
        </w:tc>
        <w:tc>
          <w:tcPr>
            <w:tcW w:w="1710" w:type="dxa"/>
            <w:shd w:val="clear" w:color="auto" w:fill="auto"/>
            <w:noWrap/>
            <w:tcMar>
              <w:top w:w="0" w:type="dxa"/>
              <w:left w:w="108" w:type="dxa"/>
              <w:bottom w:w="0" w:type="dxa"/>
              <w:right w:w="108" w:type="dxa"/>
            </w:tcMar>
            <w:vAlign w:val="bottom"/>
          </w:tcPr>
          <w:p w14:paraId="5BFEDA20"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38.85728</w:t>
            </w:r>
          </w:p>
        </w:tc>
        <w:tc>
          <w:tcPr>
            <w:tcW w:w="1530" w:type="dxa"/>
            <w:shd w:val="clear" w:color="auto" w:fill="auto"/>
            <w:noWrap/>
            <w:tcMar>
              <w:top w:w="0" w:type="dxa"/>
              <w:left w:w="108" w:type="dxa"/>
              <w:bottom w:w="0" w:type="dxa"/>
              <w:right w:w="108" w:type="dxa"/>
            </w:tcMar>
            <w:vAlign w:val="bottom"/>
          </w:tcPr>
          <w:p w14:paraId="5B02D883"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2.974652</w:t>
            </w:r>
          </w:p>
        </w:tc>
        <w:tc>
          <w:tcPr>
            <w:tcW w:w="1890" w:type="dxa"/>
            <w:shd w:val="clear" w:color="auto" w:fill="auto"/>
            <w:noWrap/>
            <w:tcMar>
              <w:top w:w="0" w:type="dxa"/>
              <w:left w:w="108" w:type="dxa"/>
              <w:bottom w:w="0" w:type="dxa"/>
              <w:right w:w="108" w:type="dxa"/>
            </w:tcMar>
            <w:vAlign w:val="bottom"/>
          </w:tcPr>
          <w:p w14:paraId="17390018"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2.380007</w:t>
            </w:r>
          </w:p>
        </w:tc>
        <w:tc>
          <w:tcPr>
            <w:tcW w:w="1710" w:type="dxa"/>
            <w:shd w:val="clear" w:color="auto" w:fill="auto"/>
            <w:noWrap/>
            <w:tcMar>
              <w:top w:w="0" w:type="dxa"/>
              <w:left w:w="108" w:type="dxa"/>
              <w:bottom w:w="0" w:type="dxa"/>
              <w:right w:w="108" w:type="dxa"/>
            </w:tcMar>
            <w:vAlign w:val="bottom"/>
          </w:tcPr>
          <w:p w14:paraId="00C55EC8"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1.86</w:t>
            </w:r>
          </w:p>
        </w:tc>
      </w:tr>
      <w:tr w:rsidR="003B18E9" w:rsidRPr="00886270" w14:paraId="569D5B7A" w14:textId="77777777" w:rsidTr="00D66679">
        <w:trPr>
          <w:trHeight w:val="290"/>
        </w:trPr>
        <w:tc>
          <w:tcPr>
            <w:tcW w:w="1895" w:type="dxa"/>
            <w:shd w:val="clear" w:color="auto" w:fill="auto"/>
            <w:noWrap/>
            <w:tcMar>
              <w:top w:w="0" w:type="dxa"/>
              <w:left w:w="108" w:type="dxa"/>
              <w:bottom w:w="0" w:type="dxa"/>
              <w:right w:w="108" w:type="dxa"/>
            </w:tcMar>
            <w:vAlign w:val="bottom"/>
          </w:tcPr>
          <w:p w14:paraId="4182DF04"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Std. Dev.</w:t>
            </w:r>
          </w:p>
        </w:tc>
        <w:tc>
          <w:tcPr>
            <w:tcW w:w="1710" w:type="dxa"/>
            <w:shd w:val="clear" w:color="auto" w:fill="auto"/>
            <w:noWrap/>
            <w:tcMar>
              <w:top w:w="0" w:type="dxa"/>
              <w:left w:w="108" w:type="dxa"/>
              <w:bottom w:w="0" w:type="dxa"/>
              <w:right w:w="108" w:type="dxa"/>
            </w:tcMar>
            <w:vAlign w:val="bottom"/>
          </w:tcPr>
          <w:p w14:paraId="54B2865D"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26.26345</w:t>
            </w:r>
          </w:p>
        </w:tc>
        <w:tc>
          <w:tcPr>
            <w:tcW w:w="1530" w:type="dxa"/>
            <w:shd w:val="clear" w:color="auto" w:fill="auto"/>
            <w:noWrap/>
            <w:tcMar>
              <w:top w:w="0" w:type="dxa"/>
              <w:left w:w="108" w:type="dxa"/>
              <w:bottom w:w="0" w:type="dxa"/>
              <w:right w:w="108" w:type="dxa"/>
            </w:tcMar>
            <w:vAlign w:val="bottom"/>
          </w:tcPr>
          <w:p w14:paraId="5FD98123"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5.760761</w:t>
            </w:r>
          </w:p>
        </w:tc>
        <w:tc>
          <w:tcPr>
            <w:tcW w:w="1890" w:type="dxa"/>
            <w:shd w:val="clear" w:color="auto" w:fill="auto"/>
            <w:noWrap/>
            <w:tcMar>
              <w:top w:w="0" w:type="dxa"/>
              <w:left w:w="108" w:type="dxa"/>
              <w:bottom w:w="0" w:type="dxa"/>
              <w:right w:w="108" w:type="dxa"/>
            </w:tcMar>
            <w:vAlign w:val="bottom"/>
          </w:tcPr>
          <w:p w14:paraId="363C1660"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0.102061</w:t>
            </w:r>
          </w:p>
        </w:tc>
        <w:tc>
          <w:tcPr>
            <w:tcW w:w="1710" w:type="dxa"/>
            <w:shd w:val="clear" w:color="auto" w:fill="auto"/>
            <w:noWrap/>
            <w:tcMar>
              <w:top w:w="0" w:type="dxa"/>
              <w:left w:w="108" w:type="dxa"/>
              <w:bottom w:w="0" w:type="dxa"/>
              <w:right w:w="108" w:type="dxa"/>
            </w:tcMar>
            <w:vAlign w:val="bottom"/>
          </w:tcPr>
          <w:p w14:paraId="3A33219D"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1.723058</w:t>
            </w:r>
          </w:p>
        </w:tc>
      </w:tr>
      <w:tr w:rsidR="003B18E9" w:rsidRPr="00886270" w14:paraId="638B7E74" w14:textId="77777777" w:rsidTr="00D66679">
        <w:trPr>
          <w:trHeight w:val="290"/>
        </w:trPr>
        <w:tc>
          <w:tcPr>
            <w:tcW w:w="1895" w:type="dxa"/>
            <w:shd w:val="clear" w:color="auto" w:fill="auto"/>
            <w:noWrap/>
            <w:tcMar>
              <w:top w:w="0" w:type="dxa"/>
              <w:left w:w="108" w:type="dxa"/>
              <w:bottom w:w="0" w:type="dxa"/>
              <w:right w:w="108" w:type="dxa"/>
            </w:tcMar>
            <w:vAlign w:val="bottom"/>
          </w:tcPr>
          <w:p w14:paraId="6DCB302F"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Skewness</w:t>
            </w:r>
          </w:p>
        </w:tc>
        <w:tc>
          <w:tcPr>
            <w:tcW w:w="1710" w:type="dxa"/>
            <w:shd w:val="clear" w:color="auto" w:fill="auto"/>
            <w:noWrap/>
            <w:tcMar>
              <w:top w:w="0" w:type="dxa"/>
              <w:left w:w="108" w:type="dxa"/>
              <w:bottom w:w="0" w:type="dxa"/>
              <w:right w:w="108" w:type="dxa"/>
            </w:tcMar>
            <w:vAlign w:val="bottom"/>
          </w:tcPr>
          <w:p w14:paraId="27046540"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-0.361917</w:t>
            </w:r>
          </w:p>
        </w:tc>
        <w:tc>
          <w:tcPr>
            <w:tcW w:w="1530" w:type="dxa"/>
            <w:shd w:val="clear" w:color="auto" w:fill="auto"/>
            <w:noWrap/>
            <w:tcMar>
              <w:top w:w="0" w:type="dxa"/>
              <w:left w:w="108" w:type="dxa"/>
              <w:bottom w:w="0" w:type="dxa"/>
              <w:right w:w="108" w:type="dxa"/>
            </w:tcMar>
            <w:vAlign w:val="bottom"/>
          </w:tcPr>
          <w:p w14:paraId="6EAD0A8F"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0.80983</w:t>
            </w:r>
          </w:p>
        </w:tc>
        <w:tc>
          <w:tcPr>
            <w:tcW w:w="1890" w:type="dxa"/>
            <w:shd w:val="clear" w:color="auto" w:fill="auto"/>
            <w:noWrap/>
            <w:tcMar>
              <w:top w:w="0" w:type="dxa"/>
              <w:left w:w="108" w:type="dxa"/>
              <w:bottom w:w="0" w:type="dxa"/>
              <w:right w:w="108" w:type="dxa"/>
            </w:tcMar>
            <w:vAlign w:val="bottom"/>
          </w:tcPr>
          <w:p w14:paraId="7F7B06A2"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-0.113311</w:t>
            </w:r>
          </w:p>
        </w:tc>
        <w:tc>
          <w:tcPr>
            <w:tcW w:w="1710" w:type="dxa"/>
            <w:shd w:val="clear" w:color="auto" w:fill="auto"/>
            <w:noWrap/>
            <w:tcMar>
              <w:top w:w="0" w:type="dxa"/>
              <w:left w:w="108" w:type="dxa"/>
              <w:bottom w:w="0" w:type="dxa"/>
              <w:right w:w="108" w:type="dxa"/>
            </w:tcMar>
            <w:vAlign w:val="bottom"/>
          </w:tcPr>
          <w:p w14:paraId="2DBA6A44"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-0.284359</w:t>
            </w:r>
          </w:p>
        </w:tc>
      </w:tr>
      <w:tr w:rsidR="003B18E9" w:rsidRPr="00886270" w14:paraId="2EEAE4FC" w14:textId="77777777" w:rsidTr="00D66679">
        <w:trPr>
          <w:trHeight w:val="290"/>
        </w:trPr>
        <w:tc>
          <w:tcPr>
            <w:tcW w:w="1895" w:type="dxa"/>
            <w:shd w:val="clear" w:color="auto" w:fill="auto"/>
            <w:noWrap/>
            <w:tcMar>
              <w:top w:w="0" w:type="dxa"/>
              <w:left w:w="108" w:type="dxa"/>
              <w:bottom w:w="0" w:type="dxa"/>
              <w:right w:w="108" w:type="dxa"/>
            </w:tcMar>
            <w:vAlign w:val="bottom"/>
          </w:tcPr>
          <w:p w14:paraId="797F1A7A"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Kurtosis</w:t>
            </w:r>
          </w:p>
        </w:tc>
        <w:tc>
          <w:tcPr>
            <w:tcW w:w="1710" w:type="dxa"/>
            <w:shd w:val="clear" w:color="auto" w:fill="auto"/>
            <w:noWrap/>
            <w:tcMar>
              <w:top w:w="0" w:type="dxa"/>
              <w:left w:w="108" w:type="dxa"/>
              <w:bottom w:w="0" w:type="dxa"/>
              <w:right w:w="108" w:type="dxa"/>
            </w:tcMar>
            <w:vAlign w:val="bottom"/>
          </w:tcPr>
          <w:p w14:paraId="1C27C192"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2.254023</w:t>
            </w:r>
          </w:p>
        </w:tc>
        <w:tc>
          <w:tcPr>
            <w:tcW w:w="1530" w:type="dxa"/>
            <w:shd w:val="clear" w:color="auto" w:fill="auto"/>
            <w:noWrap/>
            <w:tcMar>
              <w:top w:w="0" w:type="dxa"/>
              <w:left w:w="108" w:type="dxa"/>
              <w:bottom w:w="0" w:type="dxa"/>
              <w:right w:w="108" w:type="dxa"/>
            </w:tcMar>
            <w:vAlign w:val="bottom"/>
          </w:tcPr>
          <w:p w14:paraId="3C39AC45"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2.317032</w:t>
            </w:r>
          </w:p>
        </w:tc>
        <w:tc>
          <w:tcPr>
            <w:tcW w:w="1890" w:type="dxa"/>
            <w:shd w:val="clear" w:color="auto" w:fill="auto"/>
            <w:noWrap/>
            <w:tcMar>
              <w:top w:w="0" w:type="dxa"/>
              <w:left w:w="108" w:type="dxa"/>
              <w:bottom w:w="0" w:type="dxa"/>
              <w:right w:w="108" w:type="dxa"/>
            </w:tcMar>
            <w:vAlign w:val="bottom"/>
          </w:tcPr>
          <w:p w14:paraId="0B92AFAE"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2.06409</w:t>
            </w:r>
          </w:p>
        </w:tc>
        <w:tc>
          <w:tcPr>
            <w:tcW w:w="1710" w:type="dxa"/>
            <w:shd w:val="clear" w:color="auto" w:fill="auto"/>
            <w:noWrap/>
            <w:tcMar>
              <w:top w:w="0" w:type="dxa"/>
              <w:left w:w="108" w:type="dxa"/>
              <w:bottom w:w="0" w:type="dxa"/>
              <w:right w:w="108" w:type="dxa"/>
            </w:tcMar>
            <w:vAlign w:val="bottom"/>
          </w:tcPr>
          <w:p w14:paraId="156A6D2C"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2.521689</w:t>
            </w:r>
          </w:p>
        </w:tc>
      </w:tr>
      <w:tr w:rsidR="003B18E9" w:rsidRPr="00886270" w14:paraId="314278ED" w14:textId="77777777" w:rsidTr="00D66679">
        <w:trPr>
          <w:trHeight w:val="290"/>
        </w:trPr>
        <w:tc>
          <w:tcPr>
            <w:tcW w:w="1895" w:type="dxa"/>
            <w:shd w:val="clear" w:color="auto" w:fill="auto"/>
            <w:noWrap/>
            <w:tcMar>
              <w:top w:w="0" w:type="dxa"/>
              <w:left w:w="108" w:type="dxa"/>
              <w:bottom w:w="0" w:type="dxa"/>
              <w:right w:w="108" w:type="dxa"/>
            </w:tcMar>
            <w:vAlign w:val="bottom"/>
          </w:tcPr>
          <w:p w14:paraId="045F73A3"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w:t>
            </w:r>
            <w:proofErr w:type="spellStart"/>
            <w:r w:rsidRPr="00886270">
              <w:rPr>
                <w:rFonts w:ascii="Calibri" w:eastAsia="Times New Roman" w:hAnsi="Calibri" w:cs="Calibri"/>
                <w:color w:val="000000"/>
                <w:kern w:val="0"/>
                <w:sz w:val="22"/>
                <w:szCs w:val="22"/>
              </w:rPr>
              <w:t>Jarque-Bera</w:t>
            </w:r>
            <w:proofErr w:type="spellEnd"/>
          </w:p>
        </w:tc>
        <w:tc>
          <w:tcPr>
            <w:tcW w:w="1710" w:type="dxa"/>
            <w:shd w:val="clear" w:color="auto" w:fill="auto"/>
            <w:noWrap/>
            <w:tcMar>
              <w:top w:w="0" w:type="dxa"/>
              <w:left w:w="108" w:type="dxa"/>
              <w:bottom w:w="0" w:type="dxa"/>
              <w:right w:w="108" w:type="dxa"/>
            </w:tcMar>
            <w:vAlign w:val="bottom"/>
          </w:tcPr>
          <w:p w14:paraId="5CE3F0C1"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1.800697</w:t>
            </w:r>
          </w:p>
        </w:tc>
        <w:tc>
          <w:tcPr>
            <w:tcW w:w="1530" w:type="dxa"/>
            <w:shd w:val="clear" w:color="auto" w:fill="auto"/>
            <w:noWrap/>
            <w:tcMar>
              <w:top w:w="0" w:type="dxa"/>
              <w:left w:w="108" w:type="dxa"/>
              <w:bottom w:w="0" w:type="dxa"/>
              <w:right w:w="108" w:type="dxa"/>
            </w:tcMar>
            <w:vAlign w:val="bottom"/>
          </w:tcPr>
          <w:p w14:paraId="2F981353"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5.149574</w:t>
            </w:r>
          </w:p>
        </w:tc>
        <w:tc>
          <w:tcPr>
            <w:tcW w:w="1890" w:type="dxa"/>
            <w:shd w:val="clear" w:color="auto" w:fill="auto"/>
            <w:noWrap/>
            <w:tcMar>
              <w:top w:w="0" w:type="dxa"/>
              <w:left w:w="108" w:type="dxa"/>
              <w:bottom w:w="0" w:type="dxa"/>
              <w:right w:w="108" w:type="dxa"/>
            </w:tcMar>
            <w:vAlign w:val="bottom"/>
          </w:tcPr>
          <w:p w14:paraId="782A309D"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1.545476</w:t>
            </w:r>
          </w:p>
        </w:tc>
        <w:tc>
          <w:tcPr>
            <w:tcW w:w="1710" w:type="dxa"/>
            <w:shd w:val="clear" w:color="auto" w:fill="auto"/>
            <w:noWrap/>
            <w:tcMar>
              <w:top w:w="0" w:type="dxa"/>
              <w:left w:w="108" w:type="dxa"/>
              <w:bottom w:w="0" w:type="dxa"/>
              <w:right w:w="108" w:type="dxa"/>
            </w:tcMar>
            <w:vAlign w:val="bottom"/>
          </w:tcPr>
          <w:p w14:paraId="0597F299"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0.920369</w:t>
            </w:r>
          </w:p>
        </w:tc>
      </w:tr>
      <w:tr w:rsidR="003B18E9" w:rsidRPr="00886270" w14:paraId="420BDAFC" w14:textId="77777777" w:rsidTr="00D66679">
        <w:trPr>
          <w:trHeight w:val="290"/>
        </w:trPr>
        <w:tc>
          <w:tcPr>
            <w:tcW w:w="1895" w:type="dxa"/>
            <w:shd w:val="clear" w:color="auto" w:fill="auto"/>
            <w:noWrap/>
            <w:tcMar>
              <w:top w:w="0" w:type="dxa"/>
              <w:left w:w="108" w:type="dxa"/>
              <w:bottom w:w="0" w:type="dxa"/>
              <w:right w:w="108" w:type="dxa"/>
            </w:tcMar>
            <w:vAlign w:val="bottom"/>
          </w:tcPr>
          <w:p w14:paraId="5E25EF6B"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Probability</w:t>
            </w:r>
          </w:p>
        </w:tc>
        <w:tc>
          <w:tcPr>
            <w:tcW w:w="1710" w:type="dxa"/>
            <w:shd w:val="clear" w:color="auto" w:fill="auto"/>
            <w:noWrap/>
            <w:tcMar>
              <w:top w:w="0" w:type="dxa"/>
              <w:left w:w="108" w:type="dxa"/>
              <w:bottom w:w="0" w:type="dxa"/>
              <w:right w:w="108" w:type="dxa"/>
            </w:tcMar>
            <w:vAlign w:val="bottom"/>
          </w:tcPr>
          <w:p w14:paraId="705EB51C"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0.406428</w:t>
            </w:r>
          </w:p>
        </w:tc>
        <w:tc>
          <w:tcPr>
            <w:tcW w:w="1530" w:type="dxa"/>
            <w:shd w:val="clear" w:color="auto" w:fill="auto"/>
            <w:noWrap/>
            <w:tcMar>
              <w:top w:w="0" w:type="dxa"/>
              <w:left w:w="108" w:type="dxa"/>
              <w:bottom w:w="0" w:type="dxa"/>
              <w:right w:w="108" w:type="dxa"/>
            </w:tcMar>
            <w:vAlign w:val="bottom"/>
          </w:tcPr>
          <w:p w14:paraId="7C56D9D2"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0.07617</w:t>
            </w:r>
          </w:p>
        </w:tc>
        <w:tc>
          <w:tcPr>
            <w:tcW w:w="1890" w:type="dxa"/>
            <w:shd w:val="clear" w:color="auto" w:fill="auto"/>
            <w:noWrap/>
            <w:tcMar>
              <w:top w:w="0" w:type="dxa"/>
              <w:left w:w="108" w:type="dxa"/>
              <w:bottom w:w="0" w:type="dxa"/>
              <w:right w:w="108" w:type="dxa"/>
            </w:tcMar>
            <w:vAlign w:val="bottom"/>
          </w:tcPr>
          <w:p w14:paraId="2AEF47CC"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0.461747</w:t>
            </w:r>
          </w:p>
        </w:tc>
        <w:tc>
          <w:tcPr>
            <w:tcW w:w="1710" w:type="dxa"/>
            <w:shd w:val="clear" w:color="auto" w:fill="auto"/>
            <w:noWrap/>
            <w:tcMar>
              <w:top w:w="0" w:type="dxa"/>
              <w:left w:w="108" w:type="dxa"/>
              <w:bottom w:w="0" w:type="dxa"/>
              <w:right w:w="108" w:type="dxa"/>
            </w:tcMar>
            <w:vAlign w:val="bottom"/>
          </w:tcPr>
          <w:p w14:paraId="38A2365A"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0.631167</w:t>
            </w:r>
          </w:p>
        </w:tc>
      </w:tr>
      <w:tr w:rsidR="003B18E9" w:rsidRPr="00886270" w14:paraId="1A3644F5" w14:textId="77777777" w:rsidTr="00D66679">
        <w:trPr>
          <w:trHeight w:val="290"/>
        </w:trPr>
        <w:tc>
          <w:tcPr>
            <w:tcW w:w="1895" w:type="dxa"/>
            <w:shd w:val="clear" w:color="auto" w:fill="auto"/>
            <w:noWrap/>
            <w:tcMar>
              <w:top w:w="0" w:type="dxa"/>
              <w:left w:w="108" w:type="dxa"/>
              <w:bottom w:w="0" w:type="dxa"/>
              <w:right w:w="108" w:type="dxa"/>
            </w:tcMar>
            <w:vAlign w:val="bottom"/>
          </w:tcPr>
          <w:p w14:paraId="5BDCC98A"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Sum</w:t>
            </w:r>
          </w:p>
        </w:tc>
        <w:tc>
          <w:tcPr>
            <w:tcW w:w="1710" w:type="dxa"/>
            <w:shd w:val="clear" w:color="auto" w:fill="auto"/>
            <w:noWrap/>
            <w:tcMar>
              <w:top w:w="0" w:type="dxa"/>
              <w:left w:w="108" w:type="dxa"/>
              <w:bottom w:w="0" w:type="dxa"/>
              <w:right w:w="108" w:type="dxa"/>
            </w:tcMar>
            <w:vAlign w:val="bottom"/>
          </w:tcPr>
          <w:p w14:paraId="402CA4B9"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3605.93</w:t>
            </w:r>
          </w:p>
        </w:tc>
        <w:tc>
          <w:tcPr>
            <w:tcW w:w="1530" w:type="dxa"/>
            <w:shd w:val="clear" w:color="auto" w:fill="auto"/>
            <w:noWrap/>
            <w:tcMar>
              <w:top w:w="0" w:type="dxa"/>
              <w:left w:w="108" w:type="dxa"/>
              <w:bottom w:w="0" w:type="dxa"/>
              <w:right w:w="108" w:type="dxa"/>
            </w:tcMar>
            <w:vAlign w:val="bottom"/>
          </w:tcPr>
          <w:p w14:paraId="0BB83523"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369.3295</w:t>
            </w:r>
          </w:p>
        </w:tc>
        <w:tc>
          <w:tcPr>
            <w:tcW w:w="1890" w:type="dxa"/>
            <w:shd w:val="clear" w:color="auto" w:fill="auto"/>
            <w:noWrap/>
            <w:tcMar>
              <w:top w:w="0" w:type="dxa"/>
              <w:left w:w="108" w:type="dxa"/>
              <w:bottom w:w="0" w:type="dxa"/>
              <w:right w:w="108" w:type="dxa"/>
            </w:tcMar>
            <w:vAlign w:val="bottom"/>
          </w:tcPr>
          <w:p w14:paraId="34DB30B8"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103.8142</w:t>
            </w:r>
          </w:p>
        </w:tc>
        <w:tc>
          <w:tcPr>
            <w:tcW w:w="1710" w:type="dxa"/>
            <w:shd w:val="clear" w:color="auto" w:fill="auto"/>
            <w:noWrap/>
            <w:tcMar>
              <w:top w:w="0" w:type="dxa"/>
              <w:left w:w="108" w:type="dxa"/>
              <w:bottom w:w="0" w:type="dxa"/>
              <w:right w:w="108" w:type="dxa"/>
            </w:tcMar>
            <w:vAlign w:val="bottom"/>
          </w:tcPr>
          <w:p w14:paraId="57E8D4BD"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235.58</w:t>
            </w:r>
          </w:p>
        </w:tc>
      </w:tr>
      <w:tr w:rsidR="003B18E9" w:rsidRPr="00886270" w14:paraId="3626AEEA" w14:textId="77777777" w:rsidTr="00D66679">
        <w:trPr>
          <w:trHeight w:val="290"/>
        </w:trPr>
        <w:tc>
          <w:tcPr>
            <w:tcW w:w="1895" w:type="dxa"/>
            <w:shd w:val="clear" w:color="auto" w:fill="auto"/>
            <w:noWrap/>
            <w:tcMar>
              <w:top w:w="0" w:type="dxa"/>
              <w:left w:w="108" w:type="dxa"/>
              <w:bottom w:w="0" w:type="dxa"/>
              <w:right w:w="108" w:type="dxa"/>
            </w:tcMar>
            <w:vAlign w:val="bottom"/>
          </w:tcPr>
          <w:p w14:paraId="2F002CDE"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Sum Sq. Dev.</w:t>
            </w:r>
          </w:p>
        </w:tc>
        <w:tc>
          <w:tcPr>
            <w:tcW w:w="1710" w:type="dxa"/>
            <w:shd w:val="clear" w:color="auto" w:fill="auto"/>
            <w:noWrap/>
            <w:tcMar>
              <w:top w:w="0" w:type="dxa"/>
              <w:left w:w="108" w:type="dxa"/>
              <w:bottom w:w="0" w:type="dxa"/>
              <w:right w:w="108" w:type="dxa"/>
            </w:tcMar>
            <w:vAlign w:val="bottom"/>
          </w:tcPr>
          <w:p w14:paraId="34C60D87"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26900.97</w:t>
            </w:r>
          </w:p>
        </w:tc>
        <w:tc>
          <w:tcPr>
            <w:tcW w:w="1530" w:type="dxa"/>
            <w:shd w:val="clear" w:color="auto" w:fill="auto"/>
            <w:noWrap/>
            <w:tcMar>
              <w:top w:w="0" w:type="dxa"/>
              <w:left w:w="108" w:type="dxa"/>
              <w:bottom w:w="0" w:type="dxa"/>
              <w:right w:w="108" w:type="dxa"/>
            </w:tcMar>
            <w:vAlign w:val="bottom"/>
          </w:tcPr>
          <w:p w14:paraId="2D01B575"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1294.268</w:t>
            </w:r>
          </w:p>
        </w:tc>
        <w:tc>
          <w:tcPr>
            <w:tcW w:w="1890" w:type="dxa"/>
            <w:shd w:val="clear" w:color="auto" w:fill="auto"/>
            <w:noWrap/>
            <w:tcMar>
              <w:top w:w="0" w:type="dxa"/>
              <w:left w:w="108" w:type="dxa"/>
              <w:bottom w:w="0" w:type="dxa"/>
              <w:right w:w="108" w:type="dxa"/>
            </w:tcMar>
            <w:vAlign w:val="bottom"/>
          </w:tcPr>
          <w:p w14:paraId="359B12EF"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0.406242</w:t>
            </w:r>
          </w:p>
        </w:tc>
        <w:tc>
          <w:tcPr>
            <w:tcW w:w="1710" w:type="dxa"/>
            <w:shd w:val="clear" w:color="auto" w:fill="auto"/>
            <w:noWrap/>
            <w:tcMar>
              <w:top w:w="0" w:type="dxa"/>
              <w:left w:w="108" w:type="dxa"/>
              <w:bottom w:w="0" w:type="dxa"/>
              <w:right w:w="108" w:type="dxa"/>
            </w:tcMar>
            <w:vAlign w:val="bottom"/>
          </w:tcPr>
          <w:p w14:paraId="193234F7"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115.7882</w:t>
            </w:r>
          </w:p>
        </w:tc>
      </w:tr>
      <w:tr w:rsidR="003B18E9" w:rsidRPr="00886270" w14:paraId="12D412F0" w14:textId="77777777" w:rsidTr="00D66679">
        <w:trPr>
          <w:trHeight w:val="290"/>
        </w:trPr>
        <w:tc>
          <w:tcPr>
            <w:tcW w:w="1895" w:type="dxa"/>
            <w:shd w:val="clear" w:color="auto" w:fill="auto"/>
            <w:noWrap/>
            <w:tcMar>
              <w:top w:w="0" w:type="dxa"/>
              <w:left w:w="108" w:type="dxa"/>
              <w:bottom w:w="0" w:type="dxa"/>
              <w:right w:w="108" w:type="dxa"/>
            </w:tcMar>
            <w:vAlign w:val="bottom"/>
          </w:tcPr>
          <w:p w14:paraId="05110FEB" w14:textId="77777777" w:rsidR="003B18E9" w:rsidRPr="00886270" w:rsidRDefault="003B18E9" w:rsidP="00CB2EEF">
            <w:pPr>
              <w:spacing w:after="0" w:line="240" w:lineRule="auto"/>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 xml:space="preserve"> Observations</w:t>
            </w:r>
          </w:p>
        </w:tc>
        <w:tc>
          <w:tcPr>
            <w:tcW w:w="1710" w:type="dxa"/>
            <w:shd w:val="clear" w:color="auto" w:fill="auto"/>
            <w:noWrap/>
            <w:tcMar>
              <w:top w:w="0" w:type="dxa"/>
              <w:left w:w="108" w:type="dxa"/>
              <w:bottom w:w="0" w:type="dxa"/>
              <w:right w:w="108" w:type="dxa"/>
            </w:tcMar>
            <w:vAlign w:val="bottom"/>
          </w:tcPr>
          <w:p w14:paraId="7A9C53BA"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40</w:t>
            </w:r>
          </w:p>
        </w:tc>
        <w:tc>
          <w:tcPr>
            <w:tcW w:w="1530" w:type="dxa"/>
            <w:shd w:val="clear" w:color="auto" w:fill="auto"/>
            <w:noWrap/>
            <w:tcMar>
              <w:top w:w="0" w:type="dxa"/>
              <w:left w:w="108" w:type="dxa"/>
              <w:bottom w:w="0" w:type="dxa"/>
              <w:right w:w="108" w:type="dxa"/>
            </w:tcMar>
            <w:vAlign w:val="bottom"/>
          </w:tcPr>
          <w:p w14:paraId="5A4510F6"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40</w:t>
            </w:r>
          </w:p>
        </w:tc>
        <w:tc>
          <w:tcPr>
            <w:tcW w:w="1890" w:type="dxa"/>
            <w:shd w:val="clear" w:color="auto" w:fill="auto"/>
            <w:noWrap/>
            <w:tcMar>
              <w:top w:w="0" w:type="dxa"/>
              <w:left w:w="108" w:type="dxa"/>
              <w:bottom w:w="0" w:type="dxa"/>
              <w:right w:w="108" w:type="dxa"/>
            </w:tcMar>
            <w:vAlign w:val="bottom"/>
          </w:tcPr>
          <w:p w14:paraId="26A89A17"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40</w:t>
            </w:r>
          </w:p>
        </w:tc>
        <w:tc>
          <w:tcPr>
            <w:tcW w:w="1710" w:type="dxa"/>
            <w:shd w:val="clear" w:color="auto" w:fill="auto"/>
            <w:noWrap/>
            <w:tcMar>
              <w:top w:w="0" w:type="dxa"/>
              <w:left w:w="108" w:type="dxa"/>
              <w:bottom w:w="0" w:type="dxa"/>
              <w:right w:w="108" w:type="dxa"/>
            </w:tcMar>
            <w:vAlign w:val="bottom"/>
          </w:tcPr>
          <w:p w14:paraId="2D2C2D56" w14:textId="77777777" w:rsidR="003B18E9" w:rsidRPr="00886270" w:rsidRDefault="003B18E9" w:rsidP="00CB2EEF">
            <w:pPr>
              <w:spacing w:after="0" w:line="24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40</w:t>
            </w:r>
          </w:p>
        </w:tc>
      </w:tr>
    </w:tbl>
    <w:p w14:paraId="6CE73ABB" w14:textId="0DEDD67C" w:rsidR="003B18E9" w:rsidRPr="00CB2EEF" w:rsidRDefault="00CB2EEF" w:rsidP="00886270">
      <w:pPr>
        <w:spacing w:line="360" w:lineRule="auto"/>
        <w:rPr>
          <w:b/>
          <w:bCs/>
          <w:sz w:val="22"/>
          <w:szCs w:val="22"/>
        </w:rPr>
      </w:pPr>
      <w:r w:rsidRPr="00CB2EEF">
        <w:rPr>
          <w:b/>
          <w:bCs/>
          <w:sz w:val="22"/>
          <w:szCs w:val="22"/>
        </w:rPr>
        <w:t>Source: Researcher’s computation</w:t>
      </w:r>
    </w:p>
    <w:p w14:paraId="7DC504F3" w14:textId="77777777" w:rsidR="003B18E9" w:rsidRPr="00886270" w:rsidRDefault="003B18E9" w:rsidP="00886270">
      <w:pPr>
        <w:spacing w:line="360" w:lineRule="auto"/>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t xml:space="preserve">Descriptive statistics were employed to ascertain the distribution of the raw data. This study will utilize the </w:t>
      </w:r>
      <w:proofErr w:type="spellStart"/>
      <w:r w:rsidRPr="00886270">
        <w:rPr>
          <w:rFonts w:ascii="Times New Roman" w:eastAsia="Times New Roman" w:hAnsi="Times New Roman" w:cs="Times New Roman"/>
          <w:bCs/>
          <w:sz w:val="22"/>
          <w:szCs w:val="22"/>
        </w:rPr>
        <w:t>Jarque-Bera</w:t>
      </w:r>
      <w:proofErr w:type="spellEnd"/>
      <w:r w:rsidRPr="00886270">
        <w:rPr>
          <w:rFonts w:ascii="Times New Roman" w:eastAsia="Times New Roman" w:hAnsi="Times New Roman" w:cs="Times New Roman"/>
          <w:bCs/>
          <w:sz w:val="22"/>
          <w:szCs w:val="22"/>
        </w:rPr>
        <w:t xml:space="preserve"> test, which combines measures of skewness and kurtosis to analyze normality. The </w:t>
      </w:r>
      <w:proofErr w:type="spellStart"/>
      <w:r w:rsidRPr="00886270">
        <w:rPr>
          <w:rFonts w:ascii="Times New Roman" w:eastAsia="Times New Roman" w:hAnsi="Times New Roman" w:cs="Times New Roman"/>
          <w:bCs/>
          <w:sz w:val="22"/>
          <w:szCs w:val="22"/>
        </w:rPr>
        <w:lastRenderedPageBreak/>
        <w:t>Jarque-Bera</w:t>
      </w:r>
      <w:proofErr w:type="spellEnd"/>
      <w:r w:rsidRPr="00886270">
        <w:rPr>
          <w:rFonts w:ascii="Times New Roman" w:eastAsia="Times New Roman" w:hAnsi="Times New Roman" w:cs="Times New Roman"/>
          <w:bCs/>
          <w:sz w:val="22"/>
          <w:szCs w:val="22"/>
        </w:rPr>
        <w:t xml:space="preserve"> statistic quantifies the deviation of the series' skewness and kurtosis from the normal distribution. If the p-value of the </w:t>
      </w:r>
      <w:proofErr w:type="spellStart"/>
      <w:r w:rsidRPr="00886270">
        <w:rPr>
          <w:rFonts w:ascii="Times New Roman" w:eastAsia="Times New Roman" w:hAnsi="Times New Roman" w:cs="Times New Roman"/>
          <w:bCs/>
          <w:sz w:val="22"/>
          <w:szCs w:val="22"/>
        </w:rPr>
        <w:t>Jarque-Bera</w:t>
      </w:r>
      <w:proofErr w:type="spellEnd"/>
      <w:r w:rsidRPr="00886270">
        <w:rPr>
          <w:rFonts w:ascii="Times New Roman" w:eastAsia="Times New Roman" w:hAnsi="Times New Roman" w:cs="Times New Roman"/>
          <w:bCs/>
          <w:sz w:val="22"/>
          <w:szCs w:val="22"/>
        </w:rPr>
        <w:t xml:space="preserve"> test is less than 0.05, the normality of the distribution is rejected; otherwise, it is accepted (</w:t>
      </w:r>
      <w:proofErr w:type="spellStart"/>
      <w:r w:rsidRPr="00886270">
        <w:rPr>
          <w:rFonts w:ascii="Times New Roman" w:eastAsia="Times New Roman" w:hAnsi="Times New Roman" w:cs="Times New Roman"/>
          <w:bCs/>
          <w:sz w:val="22"/>
          <w:szCs w:val="22"/>
        </w:rPr>
        <w:t>Thadewald</w:t>
      </w:r>
      <w:proofErr w:type="spellEnd"/>
      <w:r w:rsidRPr="00886270">
        <w:rPr>
          <w:rFonts w:ascii="Times New Roman" w:eastAsia="Times New Roman" w:hAnsi="Times New Roman" w:cs="Times New Roman"/>
          <w:bCs/>
          <w:sz w:val="22"/>
          <w:szCs w:val="22"/>
        </w:rPr>
        <w:t xml:space="preserve"> &amp; </w:t>
      </w:r>
      <w:proofErr w:type="spellStart"/>
      <w:r w:rsidRPr="00886270">
        <w:rPr>
          <w:rFonts w:ascii="Times New Roman" w:eastAsia="Times New Roman" w:hAnsi="Times New Roman" w:cs="Times New Roman"/>
          <w:bCs/>
          <w:sz w:val="22"/>
          <w:szCs w:val="22"/>
        </w:rPr>
        <w:t>Büning</w:t>
      </w:r>
      <w:proofErr w:type="spellEnd"/>
      <w:r w:rsidRPr="00886270">
        <w:rPr>
          <w:rFonts w:ascii="Times New Roman" w:eastAsia="Times New Roman" w:hAnsi="Times New Roman" w:cs="Times New Roman"/>
          <w:bCs/>
          <w:sz w:val="22"/>
          <w:szCs w:val="22"/>
        </w:rPr>
        <w:t>, 2024).</w:t>
      </w:r>
    </w:p>
    <w:p w14:paraId="0A5BE993" w14:textId="77777777" w:rsidR="003B18E9" w:rsidRPr="00886270" w:rsidRDefault="003B18E9" w:rsidP="00886270">
      <w:pPr>
        <w:spacing w:line="360" w:lineRule="auto"/>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t xml:space="preserve">In the present case, all the probability values associated with each </w:t>
      </w:r>
      <w:proofErr w:type="spellStart"/>
      <w:r w:rsidRPr="00886270">
        <w:rPr>
          <w:rFonts w:ascii="Times New Roman" w:eastAsia="Times New Roman" w:hAnsi="Times New Roman" w:cs="Times New Roman"/>
          <w:bCs/>
          <w:sz w:val="22"/>
          <w:szCs w:val="22"/>
        </w:rPr>
        <w:t>Jarque-Bera</w:t>
      </w:r>
      <w:proofErr w:type="spellEnd"/>
      <w:r w:rsidRPr="00886270">
        <w:rPr>
          <w:rFonts w:ascii="Times New Roman" w:eastAsia="Times New Roman" w:hAnsi="Times New Roman" w:cs="Times New Roman"/>
          <w:bCs/>
          <w:sz w:val="22"/>
          <w:szCs w:val="22"/>
        </w:rPr>
        <w:t xml:space="preserve"> statistic exceed 0.05, indicating the distributions are normally distributed. Furthermore, the descriptive statistics showed that none of the distributions deviated significantly from the mean.</w:t>
      </w:r>
    </w:p>
    <w:p w14:paraId="638018D8" w14:textId="36549C36" w:rsidR="003B18E9" w:rsidRPr="00886270" w:rsidRDefault="003B18E9" w:rsidP="00886270">
      <w:pPr>
        <w:spacing w:line="360" w:lineRule="auto"/>
        <w:jc w:val="both"/>
        <w:rPr>
          <w:sz w:val="22"/>
          <w:szCs w:val="22"/>
        </w:rPr>
      </w:pPr>
      <w:r w:rsidRPr="00886270">
        <w:rPr>
          <w:rFonts w:ascii="Times New Roman" w:hAnsi="Times New Roman" w:cs="Times New Roman"/>
          <w:b/>
          <w:bCs/>
          <w:sz w:val="22"/>
          <w:szCs w:val="22"/>
        </w:rPr>
        <w:t xml:space="preserve">Table 2. </w:t>
      </w:r>
      <w:r w:rsidR="008A5BEF" w:rsidRPr="00886270">
        <w:rPr>
          <w:rFonts w:ascii="Times New Roman" w:hAnsi="Times New Roman" w:cs="Times New Roman"/>
          <w:b/>
          <w:bCs/>
          <w:sz w:val="22"/>
          <w:szCs w:val="22"/>
        </w:rPr>
        <w:t>Unit Root Test</w:t>
      </w:r>
    </w:p>
    <w:p w14:paraId="4445F793" w14:textId="77777777" w:rsidR="003B18E9" w:rsidRPr="00886270" w:rsidRDefault="003B18E9" w:rsidP="00886270">
      <w:pPr>
        <w:spacing w:line="360" w:lineRule="auto"/>
        <w:rPr>
          <w:rFonts w:ascii="Times New Roman" w:eastAsia="Times New Roman" w:hAnsi="Times New Roman" w:cs="Times New Roman"/>
          <w:bCs/>
          <w:sz w:val="22"/>
          <w:szCs w:val="22"/>
        </w:rPr>
      </w:pPr>
    </w:p>
    <w:tbl>
      <w:tblPr>
        <w:tblW w:w="8290" w:type="dxa"/>
        <w:tblCellMar>
          <w:left w:w="10" w:type="dxa"/>
          <w:right w:w="10" w:type="dxa"/>
        </w:tblCellMar>
        <w:tblLook w:val="0000" w:firstRow="0" w:lastRow="0" w:firstColumn="0" w:lastColumn="0" w:noHBand="0" w:noVBand="0"/>
      </w:tblPr>
      <w:tblGrid>
        <w:gridCol w:w="1230"/>
        <w:gridCol w:w="1434"/>
        <w:gridCol w:w="2026"/>
        <w:gridCol w:w="1455"/>
        <w:gridCol w:w="2145"/>
      </w:tblGrid>
      <w:tr w:rsidR="003B18E9" w:rsidRPr="00886270" w14:paraId="1D6EE2FD" w14:textId="77777777" w:rsidTr="00556A80">
        <w:trPr>
          <w:trHeight w:val="500"/>
        </w:trPr>
        <w:tc>
          <w:tcPr>
            <w:tcW w:w="1230" w:type="dxa"/>
            <w:vMerge w:val="restart"/>
            <w:tcBorders>
              <w:top w:val="single" w:sz="4" w:space="0" w:color="000000"/>
              <w:bottom w:val="single" w:sz="4" w:space="0" w:color="000000"/>
            </w:tcBorders>
            <w:shd w:val="clear" w:color="auto" w:fill="auto"/>
            <w:noWrap/>
            <w:tcMar>
              <w:top w:w="0" w:type="dxa"/>
              <w:left w:w="108" w:type="dxa"/>
              <w:bottom w:w="0" w:type="dxa"/>
              <w:right w:w="108" w:type="dxa"/>
            </w:tcMar>
            <w:vAlign w:val="center"/>
          </w:tcPr>
          <w:p w14:paraId="4B37ABD3"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Variables</w:t>
            </w:r>
          </w:p>
        </w:tc>
        <w:tc>
          <w:tcPr>
            <w:tcW w:w="3460" w:type="dxa"/>
            <w:gridSpan w:val="2"/>
            <w:tcBorders>
              <w:top w:val="single" w:sz="4" w:space="0" w:color="000000"/>
            </w:tcBorders>
            <w:shd w:val="clear" w:color="auto" w:fill="auto"/>
            <w:noWrap/>
            <w:tcMar>
              <w:top w:w="0" w:type="dxa"/>
              <w:left w:w="108" w:type="dxa"/>
              <w:bottom w:w="0" w:type="dxa"/>
              <w:right w:w="108" w:type="dxa"/>
            </w:tcMar>
            <w:vAlign w:val="bottom"/>
          </w:tcPr>
          <w:p w14:paraId="31C7AD4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Level</w:t>
            </w:r>
          </w:p>
        </w:tc>
        <w:tc>
          <w:tcPr>
            <w:tcW w:w="3600" w:type="dxa"/>
            <w:gridSpan w:val="2"/>
            <w:tcBorders>
              <w:top w:val="single" w:sz="4" w:space="0" w:color="000000"/>
            </w:tcBorders>
            <w:shd w:val="clear" w:color="auto" w:fill="auto"/>
            <w:noWrap/>
            <w:tcMar>
              <w:top w:w="0" w:type="dxa"/>
              <w:left w:w="108" w:type="dxa"/>
              <w:bottom w:w="0" w:type="dxa"/>
              <w:right w:w="108" w:type="dxa"/>
            </w:tcMar>
            <w:vAlign w:val="bottom"/>
          </w:tcPr>
          <w:p w14:paraId="545008CF"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1st Difference</w:t>
            </w:r>
          </w:p>
        </w:tc>
      </w:tr>
      <w:tr w:rsidR="003B18E9" w:rsidRPr="00886270" w14:paraId="42CA91D6" w14:textId="77777777" w:rsidTr="00556A80">
        <w:trPr>
          <w:trHeight w:val="500"/>
        </w:trPr>
        <w:tc>
          <w:tcPr>
            <w:tcW w:w="1230" w:type="dxa"/>
            <w:vMerge/>
            <w:tcBorders>
              <w:top w:val="single" w:sz="4" w:space="0" w:color="000000"/>
              <w:bottom w:val="single" w:sz="4" w:space="0" w:color="000000"/>
            </w:tcBorders>
            <w:shd w:val="clear" w:color="auto" w:fill="auto"/>
            <w:noWrap/>
            <w:tcMar>
              <w:top w:w="0" w:type="dxa"/>
              <w:left w:w="108" w:type="dxa"/>
              <w:bottom w:w="0" w:type="dxa"/>
              <w:right w:w="108" w:type="dxa"/>
            </w:tcMar>
            <w:vAlign w:val="center"/>
          </w:tcPr>
          <w:p w14:paraId="4206CC11"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tcBorders>
              <w:bottom w:val="single" w:sz="4" w:space="0" w:color="000000"/>
            </w:tcBorders>
            <w:shd w:val="clear" w:color="auto" w:fill="auto"/>
            <w:noWrap/>
            <w:tcMar>
              <w:top w:w="0" w:type="dxa"/>
              <w:left w:w="108" w:type="dxa"/>
              <w:bottom w:w="0" w:type="dxa"/>
              <w:right w:w="108" w:type="dxa"/>
            </w:tcMar>
            <w:vAlign w:val="bottom"/>
          </w:tcPr>
          <w:p w14:paraId="19CF7EF2"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Constant</w:t>
            </w:r>
          </w:p>
        </w:tc>
        <w:tc>
          <w:tcPr>
            <w:tcW w:w="2026" w:type="dxa"/>
            <w:tcBorders>
              <w:bottom w:val="single" w:sz="4" w:space="0" w:color="000000"/>
            </w:tcBorders>
            <w:shd w:val="clear" w:color="auto" w:fill="auto"/>
            <w:tcMar>
              <w:top w:w="0" w:type="dxa"/>
              <w:left w:w="108" w:type="dxa"/>
              <w:bottom w:w="0" w:type="dxa"/>
              <w:right w:w="108" w:type="dxa"/>
            </w:tcMar>
            <w:vAlign w:val="bottom"/>
          </w:tcPr>
          <w:p w14:paraId="4845CA6D"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Constant with Trend</w:t>
            </w:r>
          </w:p>
        </w:tc>
        <w:tc>
          <w:tcPr>
            <w:tcW w:w="1455" w:type="dxa"/>
            <w:tcBorders>
              <w:bottom w:val="single" w:sz="4" w:space="0" w:color="000000"/>
            </w:tcBorders>
            <w:shd w:val="clear" w:color="auto" w:fill="auto"/>
            <w:noWrap/>
            <w:tcMar>
              <w:top w:w="0" w:type="dxa"/>
              <w:left w:w="108" w:type="dxa"/>
              <w:bottom w:w="0" w:type="dxa"/>
              <w:right w:w="108" w:type="dxa"/>
            </w:tcMar>
            <w:vAlign w:val="bottom"/>
          </w:tcPr>
          <w:p w14:paraId="3873A080"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Constant</w:t>
            </w:r>
          </w:p>
        </w:tc>
        <w:tc>
          <w:tcPr>
            <w:tcW w:w="2145" w:type="dxa"/>
            <w:tcBorders>
              <w:bottom w:val="single" w:sz="4" w:space="0" w:color="000000"/>
            </w:tcBorders>
            <w:shd w:val="clear" w:color="auto" w:fill="auto"/>
            <w:tcMar>
              <w:top w:w="0" w:type="dxa"/>
              <w:left w:w="108" w:type="dxa"/>
              <w:bottom w:w="0" w:type="dxa"/>
              <w:right w:w="108" w:type="dxa"/>
            </w:tcMar>
            <w:vAlign w:val="bottom"/>
          </w:tcPr>
          <w:p w14:paraId="46E10D5D"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Constant with Trend</w:t>
            </w:r>
          </w:p>
        </w:tc>
      </w:tr>
      <w:tr w:rsidR="003B18E9" w:rsidRPr="00886270" w14:paraId="3250293A" w14:textId="77777777" w:rsidTr="00556A80">
        <w:trPr>
          <w:trHeight w:val="500"/>
        </w:trPr>
        <w:tc>
          <w:tcPr>
            <w:tcW w:w="1230" w:type="dxa"/>
            <w:vMerge w:val="restart"/>
            <w:tcBorders>
              <w:top w:val="single" w:sz="4" w:space="0" w:color="000000"/>
            </w:tcBorders>
            <w:shd w:val="clear" w:color="auto" w:fill="auto"/>
            <w:noWrap/>
            <w:tcMar>
              <w:top w:w="0" w:type="dxa"/>
              <w:left w:w="108" w:type="dxa"/>
              <w:bottom w:w="0" w:type="dxa"/>
              <w:right w:w="108" w:type="dxa"/>
            </w:tcMar>
            <w:vAlign w:val="center"/>
          </w:tcPr>
          <w:p w14:paraId="70498B8B"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LCO2E</w:t>
            </w:r>
          </w:p>
        </w:tc>
        <w:tc>
          <w:tcPr>
            <w:tcW w:w="1434" w:type="dxa"/>
            <w:tcBorders>
              <w:top w:val="single" w:sz="4" w:space="0" w:color="000000"/>
            </w:tcBorders>
            <w:shd w:val="clear" w:color="auto" w:fill="auto"/>
            <w:noWrap/>
            <w:tcMar>
              <w:top w:w="0" w:type="dxa"/>
              <w:left w:w="108" w:type="dxa"/>
              <w:bottom w:w="0" w:type="dxa"/>
              <w:right w:w="108" w:type="dxa"/>
            </w:tcMar>
            <w:vAlign w:val="bottom"/>
          </w:tcPr>
          <w:p w14:paraId="507B344E"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-1.531218</w:t>
            </w:r>
          </w:p>
        </w:tc>
        <w:tc>
          <w:tcPr>
            <w:tcW w:w="2026" w:type="dxa"/>
            <w:tcBorders>
              <w:top w:val="single" w:sz="4" w:space="0" w:color="000000"/>
            </w:tcBorders>
            <w:shd w:val="clear" w:color="auto" w:fill="auto"/>
            <w:noWrap/>
            <w:tcMar>
              <w:top w:w="0" w:type="dxa"/>
              <w:left w:w="108" w:type="dxa"/>
              <w:bottom w:w="0" w:type="dxa"/>
              <w:right w:w="108" w:type="dxa"/>
            </w:tcMar>
            <w:vAlign w:val="bottom"/>
          </w:tcPr>
          <w:p w14:paraId="219261E4"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-2.735503</w:t>
            </w:r>
          </w:p>
        </w:tc>
        <w:tc>
          <w:tcPr>
            <w:tcW w:w="1455" w:type="dxa"/>
            <w:tcBorders>
              <w:top w:val="single" w:sz="4" w:space="0" w:color="000000"/>
            </w:tcBorders>
            <w:shd w:val="clear" w:color="auto" w:fill="auto"/>
            <w:noWrap/>
            <w:tcMar>
              <w:top w:w="0" w:type="dxa"/>
              <w:left w:w="108" w:type="dxa"/>
              <w:bottom w:w="0" w:type="dxa"/>
              <w:right w:w="108" w:type="dxa"/>
            </w:tcMar>
            <w:vAlign w:val="bottom"/>
          </w:tcPr>
          <w:p w14:paraId="07C21B3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-7.199308</w:t>
            </w:r>
          </w:p>
        </w:tc>
        <w:tc>
          <w:tcPr>
            <w:tcW w:w="2145" w:type="dxa"/>
            <w:tcBorders>
              <w:top w:val="single" w:sz="4" w:space="0" w:color="000000"/>
            </w:tcBorders>
            <w:shd w:val="clear" w:color="auto" w:fill="auto"/>
            <w:noWrap/>
            <w:tcMar>
              <w:top w:w="0" w:type="dxa"/>
              <w:left w:w="108" w:type="dxa"/>
              <w:bottom w:w="0" w:type="dxa"/>
              <w:right w:w="108" w:type="dxa"/>
            </w:tcMar>
            <w:vAlign w:val="bottom"/>
          </w:tcPr>
          <w:p w14:paraId="3C9B7123"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-7.114485</w:t>
            </w:r>
          </w:p>
        </w:tc>
      </w:tr>
      <w:tr w:rsidR="003B18E9" w:rsidRPr="00886270" w14:paraId="6DE8DAAE" w14:textId="77777777" w:rsidTr="00556A80">
        <w:trPr>
          <w:trHeight w:val="500"/>
        </w:trPr>
        <w:tc>
          <w:tcPr>
            <w:tcW w:w="1230" w:type="dxa"/>
            <w:vMerge/>
            <w:tcBorders>
              <w:top w:val="single" w:sz="4" w:space="0" w:color="000000"/>
            </w:tcBorders>
            <w:shd w:val="clear" w:color="auto" w:fill="auto"/>
            <w:noWrap/>
            <w:tcMar>
              <w:top w:w="0" w:type="dxa"/>
              <w:left w:w="108" w:type="dxa"/>
              <w:bottom w:w="0" w:type="dxa"/>
              <w:right w:w="108" w:type="dxa"/>
            </w:tcMar>
            <w:vAlign w:val="center"/>
          </w:tcPr>
          <w:p w14:paraId="484A63EC"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68E82402"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0.5075</w:t>
            </w:r>
          </w:p>
        </w:tc>
        <w:tc>
          <w:tcPr>
            <w:tcW w:w="2026" w:type="dxa"/>
            <w:shd w:val="clear" w:color="auto" w:fill="auto"/>
            <w:noWrap/>
            <w:tcMar>
              <w:top w:w="0" w:type="dxa"/>
              <w:left w:w="108" w:type="dxa"/>
              <w:bottom w:w="0" w:type="dxa"/>
              <w:right w:w="108" w:type="dxa"/>
            </w:tcMar>
            <w:vAlign w:val="bottom"/>
          </w:tcPr>
          <w:p w14:paraId="2CBA4150"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0.2288</w:t>
            </w:r>
          </w:p>
        </w:tc>
        <w:tc>
          <w:tcPr>
            <w:tcW w:w="1455" w:type="dxa"/>
            <w:shd w:val="clear" w:color="auto" w:fill="auto"/>
            <w:noWrap/>
            <w:tcMar>
              <w:top w:w="0" w:type="dxa"/>
              <w:left w:w="108" w:type="dxa"/>
              <w:bottom w:w="0" w:type="dxa"/>
              <w:right w:w="108" w:type="dxa"/>
            </w:tcMar>
            <w:vAlign w:val="bottom"/>
          </w:tcPr>
          <w:p w14:paraId="006852B6"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0.0000 (**)</w:t>
            </w:r>
          </w:p>
        </w:tc>
        <w:tc>
          <w:tcPr>
            <w:tcW w:w="2145" w:type="dxa"/>
            <w:shd w:val="clear" w:color="auto" w:fill="auto"/>
            <w:noWrap/>
            <w:tcMar>
              <w:top w:w="0" w:type="dxa"/>
              <w:left w:w="108" w:type="dxa"/>
              <w:bottom w:w="0" w:type="dxa"/>
              <w:right w:w="108" w:type="dxa"/>
            </w:tcMar>
            <w:vAlign w:val="bottom"/>
          </w:tcPr>
          <w:p w14:paraId="3D39CFE2"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0.0000 (**)</w:t>
            </w:r>
          </w:p>
        </w:tc>
      </w:tr>
      <w:tr w:rsidR="003B18E9" w:rsidRPr="00886270" w14:paraId="4066EDAB" w14:textId="77777777" w:rsidTr="00556A80">
        <w:trPr>
          <w:trHeight w:val="500"/>
        </w:trPr>
        <w:tc>
          <w:tcPr>
            <w:tcW w:w="1230" w:type="dxa"/>
            <w:vMerge/>
            <w:tcBorders>
              <w:top w:val="single" w:sz="4" w:space="0" w:color="000000"/>
            </w:tcBorders>
            <w:shd w:val="clear" w:color="auto" w:fill="auto"/>
            <w:noWrap/>
            <w:tcMar>
              <w:top w:w="0" w:type="dxa"/>
              <w:left w:w="108" w:type="dxa"/>
              <w:bottom w:w="0" w:type="dxa"/>
              <w:right w:w="108" w:type="dxa"/>
            </w:tcMar>
            <w:vAlign w:val="center"/>
          </w:tcPr>
          <w:p w14:paraId="191A3BAD"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1E701612"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w:t>
            </w:r>
          </w:p>
        </w:tc>
        <w:tc>
          <w:tcPr>
            <w:tcW w:w="2026" w:type="dxa"/>
            <w:shd w:val="clear" w:color="auto" w:fill="auto"/>
            <w:noWrap/>
            <w:tcMar>
              <w:top w:w="0" w:type="dxa"/>
              <w:left w:w="108" w:type="dxa"/>
              <w:bottom w:w="0" w:type="dxa"/>
              <w:right w:w="108" w:type="dxa"/>
            </w:tcMar>
            <w:vAlign w:val="bottom"/>
          </w:tcPr>
          <w:p w14:paraId="4D0B692F"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w:t>
            </w:r>
          </w:p>
        </w:tc>
        <w:tc>
          <w:tcPr>
            <w:tcW w:w="1455" w:type="dxa"/>
            <w:shd w:val="clear" w:color="auto" w:fill="auto"/>
            <w:noWrap/>
            <w:tcMar>
              <w:top w:w="0" w:type="dxa"/>
              <w:left w:w="108" w:type="dxa"/>
              <w:bottom w:w="0" w:type="dxa"/>
              <w:right w:w="108" w:type="dxa"/>
            </w:tcMar>
            <w:vAlign w:val="bottom"/>
          </w:tcPr>
          <w:p w14:paraId="49CF1634"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c>
          <w:tcPr>
            <w:tcW w:w="2145" w:type="dxa"/>
            <w:shd w:val="clear" w:color="auto" w:fill="auto"/>
            <w:noWrap/>
            <w:tcMar>
              <w:top w:w="0" w:type="dxa"/>
              <w:left w:w="108" w:type="dxa"/>
              <w:bottom w:w="0" w:type="dxa"/>
              <w:right w:w="108" w:type="dxa"/>
            </w:tcMar>
            <w:vAlign w:val="bottom"/>
          </w:tcPr>
          <w:p w14:paraId="28939279"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r>
      <w:tr w:rsidR="003B18E9" w:rsidRPr="00886270" w14:paraId="6D7AA76E" w14:textId="77777777" w:rsidTr="00556A80">
        <w:trPr>
          <w:trHeight w:val="500"/>
        </w:trPr>
        <w:tc>
          <w:tcPr>
            <w:tcW w:w="1230" w:type="dxa"/>
            <w:vMerge w:val="restart"/>
            <w:shd w:val="clear" w:color="auto" w:fill="auto"/>
            <w:noWrap/>
            <w:tcMar>
              <w:top w:w="0" w:type="dxa"/>
              <w:left w:w="108" w:type="dxa"/>
              <w:bottom w:w="0" w:type="dxa"/>
              <w:right w:w="108" w:type="dxa"/>
            </w:tcMar>
            <w:vAlign w:val="center"/>
          </w:tcPr>
          <w:p w14:paraId="47B89E6D"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POPG</w:t>
            </w:r>
          </w:p>
        </w:tc>
        <w:tc>
          <w:tcPr>
            <w:tcW w:w="1434" w:type="dxa"/>
            <w:shd w:val="clear" w:color="auto" w:fill="auto"/>
            <w:noWrap/>
            <w:tcMar>
              <w:top w:w="0" w:type="dxa"/>
              <w:left w:w="108" w:type="dxa"/>
              <w:bottom w:w="0" w:type="dxa"/>
              <w:right w:w="108" w:type="dxa"/>
            </w:tcMar>
            <w:vAlign w:val="bottom"/>
          </w:tcPr>
          <w:p w14:paraId="10A28541"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-1.866923</w:t>
            </w:r>
          </w:p>
        </w:tc>
        <w:tc>
          <w:tcPr>
            <w:tcW w:w="2026" w:type="dxa"/>
            <w:shd w:val="clear" w:color="auto" w:fill="auto"/>
            <w:noWrap/>
            <w:tcMar>
              <w:top w:w="0" w:type="dxa"/>
              <w:left w:w="108" w:type="dxa"/>
              <w:bottom w:w="0" w:type="dxa"/>
              <w:right w:w="108" w:type="dxa"/>
            </w:tcMar>
            <w:vAlign w:val="bottom"/>
          </w:tcPr>
          <w:p w14:paraId="45DED74B"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-1.600219</w:t>
            </w:r>
          </w:p>
        </w:tc>
        <w:tc>
          <w:tcPr>
            <w:tcW w:w="1455" w:type="dxa"/>
            <w:shd w:val="clear" w:color="auto" w:fill="auto"/>
            <w:noWrap/>
            <w:tcMar>
              <w:top w:w="0" w:type="dxa"/>
              <w:left w:w="108" w:type="dxa"/>
              <w:bottom w:w="0" w:type="dxa"/>
              <w:right w:w="108" w:type="dxa"/>
            </w:tcMar>
            <w:vAlign w:val="bottom"/>
          </w:tcPr>
          <w:p w14:paraId="10F6396E"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-6.427500</w:t>
            </w:r>
          </w:p>
        </w:tc>
        <w:tc>
          <w:tcPr>
            <w:tcW w:w="2145" w:type="dxa"/>
            <w:shd w:val="clear" w:color="auto" w:fill="auto"/>
            <w:noWrap/>
            <w:tcMar>
              <w:top w:w="0" w:type="dxa"/>
              <w:left w:w="108" w:type="dxa"/>
              <w:bottom w:w="0" w:type="dxa"/>
              <w:right w:w="108" w:type="dxa"/>
            </w:tcMar>
            <w:vAlign w:val="bottom"/>
          </w:tcPr>
          <w:p w14:paraId="5105FAFD"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-6.964672</w:t>
            </w:r>
          </w:p>
        </w:tc>
      </w:tr>
      <w:tr w:rsidR="003B18E9" w:rsidRPr="00886270" w14:paraId="24274EF8"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157619E7"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6ECC7EF8"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xml:space="preserve">0.3433 </w:t>
            </w:r>
          </w:p>
        </w:tc>
        <w:tc>
          <w:tcPr>
            <w:tcW w:w="2026" w:type="dxa"/>
            <w:shd w:val="clear" w:color="auto" w:fill="auto"/>
            <w:noWrap/>
            <w:tcMar>
              <w:top w:w="0" w:type="dxa"/>
              <w:left w:w="108" w:type="dxa"/>
              <w:bottom w:w="0" w:type="dxa"/>
              <w:right w:w="108" w:type="dxa"/>
            </w:tcMar>
            <w:vAlign w:val="bottom"/>
          </w:tcPr>
          <w:p w14:paraId="362FD7F2"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0.7719</w:t>
            </w:r>
          </w:p>
        </w:tc>
        <w:tc>
          <w:tcPr>
            <w:tcW w:w="1455" w:type="dxa"/>
            <w:shd w:val="clear" w:color="auto" w:fill="auto"/>
            <w:noWrap/>
            <w:tcMar>
              <w:top w:w="0" w:type="dxa"/>
              <w:left w:w="108" w:type="dxa"/>
              <w:bottom w:w="0" w:type="dxa"/>
              <w:right w:w="108" w:type="dxa"/>
            </w:tcMar>
            <w:vAlign w:val="bottom"/>
          </w:tcPr>
          <w:p w14:paraId="647C2F76"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0.0001 (**)</w:t>
            </w:r>
          </w:p>
        </w:tc>
        <w:tc>
          <w:tcPr>
            <w:tcW w:w="2145" w:type="dxa"/>
            <w:shd w:val="clear" w:color="auto" w:fill="auto"/>
            <w:noWrap/>
            <w:tcMar>
              <w:top w:w="0" w:type="dxa"/>
              <w:left w:w="108" w:type="dxa"/>
              <w:bottom w:w="0" w:type="dxa"/>
              <w:right w:w="108" w:type="dxa"/>
            </w:tcMar>
            <w:vAlign w:val="bottom"/>
          </w:tcPr>
          <w:p w14:paraId="0B35A5D3"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0.0004 (**)</w:t>
            </w:r>
          </w:p>
        </w:tc>
      </w:tr>
      <w:tr w:rsidR="003B18E9" w:rsidRPr="00886270" w14:paraId="19B3D2A8"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130D463B"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7F4BF981"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p>
        </w:tc>
        <w:tc>
          <w:tcPr>
            <w:tcW w:w="2026" w:type="dxa"/>
            <w:shd w:val="clear" w:color="auto" w:fill="auto"/>
            <w:noWrap/>
            <w:tcMar>
              <w:top w:w="0" w:type="dxa"/>
              <w:left w:w="108" w:type="dxa"/>
              <w:bottom w:w="0" w:type="dxa"/>
              <w:right w:w="108" w:type="dxa"/>
            </w:tcMar>
            <w:vAlign w:val="bottom"/>
          </w:tcPr>
          <w:p w14:paraId="20AFD349"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w:t>
            </w:r>
          </w:p>
        </w:tc>
        <w:tc>
          <w:tcPr>
            <w:tcW w:w="1455" w:type="dxa"/>
            <w:shd w:val="clear" w:color="auto" w:fill="auto"/>
            <w:noWrap/>
            <w:tcMar>
              <w:top w:w="0" w:type="dxa"/>
              <w:left w:w="108" w:type="dxa"/>
              <w:bottom w:w="0" w:type="dxa"/>
              <w:right w:w="108" w:type="dxa"/>
            </w:tcMar>
            <w:vAlign w:val="bottom"/>
          </w:tcPr>
          <w:p w14:paraId="14495018"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c>
          <w:tcPr>
            <w:tcW w:w="2145" w:type="dxa"/>
            <w:shd w:val="clear" w:color="auto" w:fill="auto"/>
            <w:noWrap/>
            <w:tcMar>
              <w:top w:w="0" w:type="dxa"/>
              <w:left w:w="108" w:type="dxa"/>
              <w:bottom w:w="0" w:type="dxa"/>
              <w:right w:w="108" w:type="dxa"/>
            </w:tcMar>
            <w:vAlign w:val="bottom"/>
          </w:tcPr>
          <w:p w14:paraId="5B926183"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r>
      <w:tr w:rsidR="003B18E9" w:rsidRPr="00886270" w14:paraId="73C100EA" w14:textId="77777777" w:rsidTr="00556A80">
        <w:trPr>
          <w:trHeight w:val="500"/>
        </w:trPr>
        <w:tc>
          <w:tcPr>
            <w:tcW w:w="1230" w:type="dxa"/>
            <w:vMerge w:val="restart"/>
            <w:shd w:val="clear" w:color="auto" w:fill="auto"/>
            <w:noWrap/>
            <w:tcMar>
              <w:top w:w="0" w:type="dxa"/>
              <w:left w:w="108" w:type="dxa"/>
              <w:bottom w:w="0" w:type="dxa"/>
              <w:right w:w="108" w:type="dxa"/>
            </w:tcMar>
            <w:vAlign w:val="center"/>
          </w:tcPr>
          <w:p w14:paraId="22A5385F"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LPMSC</w:t>
            </w:r>
          </w:p>
        </w:tc>
        <w:tc>
          <w:tcPr>
            <w:tcW w:w="1434" w:type="dxa"/>
            <w:shd w:val="clear" w:color="auto" w:fill="auto"/>
            <w:noWrap/>
            <w:tcMar>
              <w:top w:w="0" w:type="dxa"/>
              <w:left w:w="108" w:type="dxa"/>
              <w:bottom w:w="0" w:type="dxa"/>
              <w:right w:w="108" w:type="dxa"/>
            </w:tcMar>
            <w:vAlign w:val="bottom"/>
          </w:tcPr>
          <w:p w14:paraId="377056F9"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-1.932495</w:t>
            </w:r>
          </w:p>
        </w:tc>
        <w:tc>
          <w:tcPr>
            <w:tcW w:w="2026" w:type="dxa"/>
            <w:shd w:val="clear" w:color="auto" w:fill="auto"/>
            <w:noWrap/>
            <w:tcMar>
              <w:top w:w="0" w:type="dxa"/>
              <w:left w:w="108" w:type="dxa"/>
              <w:bottom w:w="0" w:type="dxa"/>
              <w:right w:w="108" w:type="dxa"/>
            </w:tcMar>
            <w:vAlign w:val="bottom"/>
          </w:tcPr>
          <w:p w14:paraId="6BC56CB7"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-2.865281</w:t>
            </w:r>
          </w:p>
        </w:tc>
        <w:tc>
          <w:tcPr>
            <w:tcW w:w="1455" w:type="dxa"/>
            <w:shd w:val="clear" w:color="auto" w:fill="auto"/>
            <w:noWrap/>
            <w:tcMar>
              <w:top w:w="0" w:type="dxa"/>
              <w:left w:w="108" w:type="dxa"/>
              <w:bottom w:w="0" w:type="dxa"/>
              <w:right w:w="108" w:type="dxa"/>
            </w:tcMar>
            <w:vAlign w:val="bottom"/>
          </w:tcPr>
          <w:p w14:paraId="0FE895A7"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-10.07606</w:t>
            </w:r>
          </w:p>
        </w:tc>
        <w:tc>
          <w:tcPr>
            <w:tcW w:w="2145" w:type="dxa"/>
            <w:shd w:val="clear" w:color="auto" w:fill="auto"/>
            <w:noWrap/>
            <w:tcMar>
              <w:top w:w="0" w:type="dxa"/>
              <w:left w:w="108" w:type="dxa"/>
              <w:bottom w:w="0" w:type="dxa"/>
              <w:right w:w="108" w:type="dxa"/>
            </w:tcMar>
            <w:vAlign w:val="bottom"/>
          </w:tcPr>
          <w:p w14:paraId="68C1F42B"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-6.270141</w:t>
            </w:r>
          </w:p>
        </w:tc>
      </w:tr>
      <w:tr w:rsidR="003B18E9" w:rsidRPr="00886270" w14:paraId="1598DA10"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4E4D1568"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7E3B0F1E"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0.9984</w:t>
            </w:r>
          </w:p>
        </w:tc>
        <w:tc>
          <w:tcPr>
            <w:tcW w:w="2026" w:type="dxa"/>
            <w:shd w:val="clear" w:color="auto" w:fill="auto"/>
            <w:noWrap/>
            <w:tcMar>
              <w:top w:w="0" w:type="dxa"/>
              <w:left w:w="108" w:type="dxa"/>
              <w:bottom w:w="0" w:type="dxa"/>
              <w:right w:w="108" w:type="dxa"/>
            </w:tcMar>
            <w:vAlign w:val="bottom"/>
          </w:tcPr>
          <w:p w14:paraId="3ABFF805"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0.1843</w:t>
            </w:r>
          </w:p>
        </w:tc>
        <w:tc>
          <w:tcPr>
            <w:tcW w:w="1455" w:type="dxa"/>
            <w:shd w:val="clear" w:color="auto" w:fill="auto"/>
            <w:noWrap/>
            <w:tcMar>
              <w:top w:w="0" w:type="dxa"/>
              <w:left w:w="108" w:type="dxa"/>
              <w:bottom w:w="0" w:type="dxa"/>
              <w:right w:w="108" w:type="dxa"/>
            </w:tcMar>
            <w:vAlign w:val="bottom"/>
          </w:tcPr>
          <w:p w14:paraId="719AB70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0.0000 (**)</w:t>
            </w:r>
          </w:p>
        </w:tc>
        <w:tc>
          <w:tcPr>
            <w:tcW w:w="2145" w:type="dxa"/>
            <w:shd w:val="clear" w:color="auto" w:fill="auto"/>
            <w:noWrap/>
            <w:tcMar>
              <w:top w:w="0" w:type="dxa"/>
              <w:left w:w="108" w:type="dxa"/>
              <w:bottom w:w="0" w:type="dxa"/>
              <w:right w:w="108" w:type="dxa"/>
            </w:tcMar>
            <w:vAlign w:val="bottom"/>
          </w:tcPr>
          <w:p w14:paraId="576D4264"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0.0000 (**)</w:t>
            </w:r>
          </w:p>
        </w:tc>
      </w:tr>
      <w:tr w:rsidR="003B18E9" w:rsidRPr="00886270" w14:paraId="51EF40B4"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23F24239"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1FE35735"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w:t>
            </w:r>
          </w:p>
        </w:tc>
        <w:tc>
          <w:tcPr>
            <w:tcW w:w="2026" w:type="dxa"/>
            <w:shd w:val="clear" w:color="auto" w:fill="auto"/>
            <w:noWrap/>
            <w:tcMar>
              <w:top w:w="0" w:type="dxa"/>
              <w:left w:w="108" w:type="dxa"/>
              <w:bottom w:w="0" w:type="dxa"/>
              <w:right w:w="108" w:type="dxa"/>
            </w:tcMar>
            <w:vAlign w:val="bottom"/>
          </w:tcPr>
          <w:p w14:paraId="6F953F34"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w:t>
            </w:r>
          </w:p>
        </w:tc>
        <w:tc>
          <w:tcPr>
            <w:tcW w:w="1455" w:type="dxa"/>
            <w:shd w:val="clear" w:color="auto" w:fill="auto"/>
            <w:noWrap/>
            <w:tcMar>
              <w:top w:w="0" w:type="dxa"/>
              <w:left w:w="108" w:type="dxa"/>
              <w:bottom w:w="0" w:type="dxa"/>
              <w:right w:w="108" w:type="dxa"/>
            </w:tcMar>
            <w:vAlign w:val="bottom"/>
          </w:tcPr>
          <w:p w14:paraId="4BA69B83"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c>
          <w:tcPr>
            <w:tcW w:w="2145" w:type="dxa"/>
            <w:shd w:val="clear" w:color="auto" w:fill="auto"/>
            <w:noWrap/>
            <w:tcMar>
              <w:top w:w="0" w:type="dxa"/>
              <w:left w:w="108" w:type="dxa"/>
              <w:bottom w:w="0" w:type="dxa"/>
              <w:right w:w="108" w:type="dxa"/>
            </w:tcMar>
            <w:vAlign w:val="bottom"/>
          </w:tcPr>
          <w:p w14:paraId="51A8C08A"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r>
      <w:tr w:rsidR="003B18E9" w:rsidRPr="00886270" w14:paraId="442B9094" w14:textId="77777777" w:rsidTr="00556A80">
        <w:trPr>
          <w:trHeight w:val="500"/>
        </w:trPr>
        <w:tc>
          <w:tcPr>
            <w:tcW w:w="1230" w:type="dxa"/>
            <w:vMerge w:val="restart"/>
            <w:tcBorders>
              <w:bottom w:val="single" w:sz="4" w:space="0" w:color="000000"/>
            </w:tcBorders>
            <w:shd w:val="clear" w:color="auto" w:fill="auto"/>
            <w:noWrap/>
            <w:tcMar>
              <w:top w:w="0" w:type="dxa"/>
              <w:left w:w="108" w:type="dxa"/>
              <w:bottom w:w="0" w:type="dxa"/>
              <w:right w:w="108" w:type="dxa"/>
            </w:tcMar>
            <w:vAlign w:val="center"/>
          </w:tcPr>
          <w:p w14:paraId="629219AC"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xml:space="preserve">   LREC</w:t>
            </w:r>
          </w:p>
        </w:tc>
        <w:tc>
          <w:tcPr>
            <w:tcW w:w="1434" w:type="dxa"/>
            <w:shd w:val="clear" w:color="auto" w:fill="auto"/>
            <w:noWrap/>
            <w:tcMar>
              <w:top w:w="0" w:type="dxa"/>
              <w:left w:w="108" w:type="dxa"/>
              <w:bottom w:w="0" w:type="dxa"/>
              <w:right w:w="108" w:type="dxa"/>
            </w:tcMar>
            <w:vAlign w:val="bottom"/>
          </w:tcPr>
          <w:p w14:paraId="19EFC4F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-3.412918</w:t>
            </w:r>
          </w:p>
        </w:tc>
        <w:tc>
          <w:tcPr>
            <w:tcW w:w="2026" w:type="dxa"/>
            <w:shd w:val="clear" w:color="auto" w:fill="auto"/>
            <w:noWrap/>
            <w:tcMar>
              <w:top w:w="0" w:type="dxa"/>
              <w:left w:w="108" w:type="dxa"/>
              <w:bottom w:w="0" w:type="dxa"/>
              <w:right w:w="108" w:type="dxa"/>
            </w:tcMar>
            <w:vAlign w:val="bottom"/>
          </w:tcPr>
          <w:p w14:paraId="1E64C7C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-3.522628</w:t>
            </w:r>
          </w:p>
        </w:tc>
        <w:tc>
          <w:tcPr>
            <w:tcW w:w="1455" w:type="dxa"/>
            <w:shd w:val="clear" w:color="auto" w:fill="auto"/>
            <w:noWrap/>
            <w:tcMar>
              <w:top w:w="0" w:type="dxa"/>
              <w:left w:w="108" w:type="dxa"/>
              <w:bottom w:w="0" w:type="dxa"/>
              <w:right w:w="108" w:type="dxa"/>
            </w:tcMar>
            <w:vAlign w:val="bottom"/>
          </w:tcPr>
          <w:p w14:paraId="1B51A531"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-6.945508</w:t>
            </w:r>
          </w:p>
        </w:tc>
        <w:tc>
          <w:tcPr>
            <w:tcW w:w="2145" w:type="dxa"/>
            <w:shd w:val="clear" w:color="auto" w:fill="auto"/>
            <w:noWrap/>
            <w:tcMar>
              <w:top w:w="0" w:type="dxa"/>
              <w:left w:w="108" w:type="dxa"/>
              <w:bottom w:w="0" w:type="dxa"/>
              <w:right w:w="108" w:type="dxa"/>
            </w:tcMar>
            <w:vAlign w:val="bottom"/>
          </w:tcPr>
          <w:p w14:paraId="263B189A"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-6.970690</w:t>
            </w:r>
          </w:p>
        </w:tc>
      </w:tr>
      <w:tr w:rsidR="003B18E9" w:rsidRPr="00886270" w14:paraId="08461D3E" w14:textId="77777777" w:rsidTr="00556A80">
        <w:trPr>
          <w:trHeight w:val="500"/>
        </w:trPr>
        <w:tc>
          <w:tcPr>
            <w:tcW w:w="1230" w:type="dxa"/>
            <w:vMerge/>
            <w:tcBorders>
              <w:bottom w:val="single" w:sz="4" w:space="0" w:color="000000"/>
            </w:tcBorders>
            <w:shd w:val="clear" w:color="auto" w:fill="auto"/>
            <w:noWrap/>
            <w:tcMar>
              <w:top w:w="0" w:type="dxa"/>
              <w:left w:w="108" w:type="dxa"/>
              <w:bottom w:w="0" w:type="dxa"/>
              <w:right w:w="108" w:type="dxa"/>
            </w:tcMar>
            <w:vAlign w:val="center"/>
          </w:tcPr>
          <w:p w14:paraId="5656664A"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4B9F0DA2"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0.0165(**)</w:t>
            </w:r>
          </w:p>
        </w:tc>
        <w:tc>
          <w:tcPr>
            <w:tcW w:w="2026" w:type="dxa"/>
            <w:shd w:val="clear" w:color="auto" w:fill="auto"/>
            <w:noWrap/>
            <w:tcMar>
              <w:top w:w="0" w:type="dxa"/>
              <w:left w:w="108" w:type="dxa"/>
              <w:bottom w:w="0" w:type="dxa"/>
              <w:right w:w="108" w:type="dxa"/>
            </w:tcMar>
            <w:vAlign w:val="bottom"/>
          </w:tcPr>
          <w:p w14:paraId="2FDAD725"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0.0508(**)</w:t>
            </w:r>
          </w:p>
        </w:tc>
        <w:tc>
          <w:tcPr>
            <w:tcW w:w="1455" w:type="dxa"/>
            <w:shd w:val="clear" w:color="auto" w:fill="auto"/>
            <w:noWrap/>
            <w:tcMar>
              <w:top w:w="0" w:type="dxa"/>
              <w:left w:w="108" w:type="dxa"/>
              <w:bottom w:w="0" w:type="dxa"/>
              <w:right w:w="108" w:type="dxa"/>
            </w:tcMar>
            <w:vAlign w:val="bottom"/>
          </w:tcPr>
          <w:p w14:paraId="797C715E"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0.0000 (**)</w:t>
            </w:r>
          </w:p>
        </w:tc>
        <w:tc>
          <w:tcPr>
            <w:tcW w:w="2145" w:type="dxa"/>
            <w:shd w:val="clear" w:color="auto" w:fill="auto"/>
            <w:noWrap/>
            <w:tcMar>
              <w:top w:w="0" w:type="dxa"/>
              <w:left w:w="108" w:type="dxa"/>
              <w:bottom w:w="0" w:type="dxa"/>
              <w:right w:w="108" w:type="dxa"/>
            </w:tcMar>
            <w:vAlign w:val="bottom"/>
          </w:tcPr>
          <w:p w14:paraId="36161591"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0.0000 (**)</w:t>
            </w:r>
          </w:p>
        </w:tc>
      </w:tr>
      <w:tr w:rsidR="003B18E9" w:rsidRPr="00886270" w14:paraId="3D7D2FF7" w14:textId="77777777" w:rsidTr="00556A80">
        <w:trPr>
          <w:trHeight w:val="500"/>
        </w:trPr>
        <w:tc>
          <w:tcPr>
            <w:tcW w:w="1230" w:type="dxa"/>
            <w:vMerge/>
            <w:tcBorders>
              <w:bottom w:val="single" w:sz="4" w:space="0" w:color="000000"/>
            </w:tcBorders>
            <w:shd w:val="clear" w:color="auto" w:fill="auto"/>
            <w:noWrap/>
            <w:tcMar>
              <w:top w:w="0" w:type="dxa"/>
              <w:left w:w="108" w:type="dxa"/>
              <w:bottom w:w="0" w:type="dxa"/>
              <w:right w:w="108" w:type="dxa"/>
            </w:tcMar>
            <w:vAlign w:val="center"/>
          </w:tcPr>
          <w:p w14:paraId="04DC8488"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
        </w:tc>
        <w:tc>
          <w:tcPr>
            <w:tcW w:w="1434" w:type="dxa"/>
            <w:tcBorders>
              <w:bottom w:val="single" w:sz="4" w:space="0" w:color="000000"/>
            </w:tcBorders>
            <w:shd w:val="clear" w:color="auto" w:fill="auto"/>
            <w:noWrap/>
            <w:tcMar>
              <w:top w:w="0" w:type="dxa"/>
              <w:left w:w="108" w:type="dxa"/>
              <w:bottom w:w="0" w:type="dxa"/>
              <w:right w:w="108" w:type="dxa"/>
            </w:tcMar>
            <w:vAlign w:val="bottom"/>
          </w:tcPr>
          <w:p w14:paraId="1AD500F1"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proofErr w:type="gramStart"/>
            <w:r w:rsidRPr="00886270">
              <w:rPr>
                <w:rFonts w:ascii="Times New Roman" w:eastAsia="Times New Roman" w:hAnsi="Times New Roman" w:cs="Times New Roman"/>
                <w:bCs/>
                <w:color w:val="000000"/>
                <w:sz w:val="22"/>
                <w:szCs w:val="22"/>
              </w:rPr>
              <w:t>I(</w:t>
            </w:r>
            <w:proofErr w:type="gramEnd"/>
            <w:r w:rsidRPr="00886270">
              <w:rPr>
                <w:rFonts w:ascii="Times New Roman" w:eastAsia="Times New Roman" w:hAnsi="Times New Roman" w:cs="Times New Roman"/>
                <w:bCs/>
                <w:color w:val="000000"/>
                <w:sz w:val="22"/>
                <w:szCs w:val="22"/>
              </w:rPr>
              <w:t>0) </w:t>
            </w:r>
          </w:p>
        </w:tc>
        <w:tc>
          <w:tcPr>
            <w:tcW w:w="2026" w:type="dxa"/>
            <w:tcBorders>
              <w:bottom w:val="single" w:sz="4" w:space="0" w:color="000000"/>
            </w:tcBorders>
            <w:shd w:val="clear" w:color="auto" w:fill="auto"/>
            <w:noWrap/>
            <w:tcMar>
              <w:top w:w="0" w:type="dxa"/>
              <w:left w:w="108" w:type="dxa"/>
              <w:bottom w:w="0" w:type="dxa"/>
              <w:right w:w="108" w:type="dxa"/>
            </w:tcMar>
            <w:vAlign w:val="bottom"/>
          </w:tcPr>
          <w:p w14:paraId="7891E57B"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proofErr w:type="gramStart"/>
            <w:r w:rsidRPr="00886270">
              <w:rPr>
                <w:rFonts w:ascii="Times New Roman" w:eastAsia="Times New Roman" w:hAnsi="Times New Roman" w:cs="Times New Roman"/>
                <w:bCs/>
                <w:color w:val="000000"/>
                <w:sz w:val="22"/>
                <w:szCs w:val="22"/>
              </w:rPr>
              <w:t>I(</w:t>
            </w:r>
            <w:proofErr w:type="gramEnd"/>
            <w:r w:rsidRPr="00886270">
              <w:rPr>
                <w:rFonts w:ascii="Times New Roman" w:eastAsia="Times New Roman" w:hAnsi="Times New Roman" w:cs="Times New Roman"/>
                <w:bCs/>
                <w:color w:val="000000"/>
                <w:sz w:val="22"/>
                <w:szCs w:val="22"/>
              </w:rPr>
              <w:t>0)  </w:t>
            </w:r>
          </w:p>
        </w:tc>
        <w:tc>
          <w:tcPr>
            <w:tcW w:w="1455" w:type="dxa"/>
            <w:tcBorders>
              <w:bottom w:val="single" w:sz="4" w:space="0" w:color="000000"/>
            </w:tcBorders>
            <w:shd w:val="clear" w:color="auto" w:fill="auto"/>
            <w:noWrap/>
            <w:tcMar>
              <w:top w:w="0" w:type="dxa"/>
              <w:left w:w="108" w:type="dxa"/>
              <w:bottom w:w="0" w:type="dxa"/>
              <w:right w:w="108" w:type="dxa"/>
            </w:tcMar>
            <w:vAlign w:val="bottom"/>
          </w:tcPr>
          <w:p w14:paraId="101D87E9"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c>
          <w:tcPr>
            <w:tcW w:w="2145" w:type="dxa"/>
            <w:tcBorders>
              <w:bottom w:val="single" w:sz="4" w:space="0" w:color="000000"/>
            </w:tcBorders>
            <w:shd w:val="clear" w:color="auto" w:fill="auto"/>
            <w:noWrap/>
            <w:tcMar>
              <w:top w:w="0" w:type="dxa"/>
              <w:left w:w="108" w:type="dxa"/>
              <w:bottom w:w="0" w:type="dxa"/>
              <w:right w:w="108" w:type="dxa"/>
            </w:tcMar>
            <w:vAlign w:val="bottom"/>
          </w:tcPr>
          <w:p w14:paraId="57F3C298"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r>
    </w:tbl>
    <w:p w14:paraId="63EA5679" w14:textId="77777777" w:rsidR="00D66679" w:rsidRPr="00CB2EEF" w:rsidRDefault="00D66679" w:rsidP="00D66679">
      <w:pPr>
        <w:spacing w:line="360" w:lineRule="auto"/>
        <w:rPr>
          <w:b/>
          <w:bCs/>
          <w:sz w:val="22"/>
          <w:szCs w:val="22"/>
        </w:rPr>
      </w:pPr>
      <w:r w:rsidRPr="00CB2EEF">
        <w:rPr>
          <w:b/>
          <w:bCs/>
          <w:sz w:val="22"/>
          <w:szCs w:val="22"/>
        </w:rPr>
        <w:t>Source: Researcher’s computation</w:t>
      </w:r>
    </w:p>
    <w:p w14:paraId="604AE377" w14:textId="47E0291E" w:rsidR="003B18E9" w:rsidRPr="00886270" w:rsidRDefault="003B18E9" w:rsidP="00886270">
      <w:pPr>
        <w:spacing w:after="0"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 xml:space="preserve">All other variables considered are integrated at </w:t>
      </w:r>
      <w:proofErr w:type="gramStart"/>
      <w:r w:rsidRPr="00886270">
        <w:rPr>
          <w:rFonts w:ascii="Times New Roman" w:hAnsi="Times New Roman" w:cs="Times New Roman"/>
          <w:bCs/>
          <w:color w:val="000000"/>
          <w:sz w:val="22"/>
          <w:szCs w:val="22"/>
        </w:rPr>
        <w:t>I(</w:t>
      </w:r>
      <w:proofErr w:type="gramEnd"/>
      <w:r w:rsidRPr="00886270">
        <w:rPr>
          <w:rFonts w:ascii="Times New Roman" w:hAnsi="Times New Roman" w:cs="Times New Roman"/>
          <w:bCs/>
          <w:color w:val="000000"/>
          <w:sz w:val="22"/>
          <w:szCs w:val="22"/>
        </w:rPr>
        <w:t xml:space="preserve">1) while Renewable Energy Consumption as proxied by Hydroelectricity Consumption is integrated at I(0) and I(1) as contained on the unit root results Table 2 above. Following the suggestions of </w:t>
      </w:r>
      <w:proofErr w:type="spellStart"/>
      <w:r w:rsidRPr="00886270">
        <w:rPr>
          <w:rFonts w:ascii="Times New Roman" w:hAnsi="Times New Roman" w:cs="Times New Roman"/>
          <w:bCs/>
          <w:color w:val="000000"/>
          <w:sz w:val="22"/>
          <w:szCs w:val="22"/>
        </w:rPr>
        <w:t>Pesaran</w:t>
      </w:r>
      <w:proofErr w:type="spellEnd"/>
      <w:r w:rsidRPr="00886270">
        <w:rPr>
          <w:rFonts w:ascii="Times New Roman" w:hAnsi="Times New Roman" w:cs="Times New Roman"/>
          <w:bCs/>
          <w:color w:val="000000"/>
          <w:sz w:val="22"/>
          <w:szCs w:val="22"/>
        </w:rPr>
        <w:t xml:space="preserve"> et al. (2001) with regard to the estimation of </w:t>
      </w:r>
      <w:proofErr w:type="gramStart"/>
      <w:r w:rsidRPr="00886270">
        <w:rPr>
          <w:rFonts w:ascii="Times New Roman" w:hAnsi="Times New Roman" w:cs="Times New Roman"/>
          <w:bCs/>
          <w:color w:val="000000"/>
          <w:sz w:val="22"/>
          <w:szCs w:val="22"/>
        </w:rPr>
        <w:t>I(</w:t>
      </w:r>
      <w:proofErr w:type="gramEnd"/>
      <w:r w:rsidRPr="00886270">
        <w:rPr>
          <w:rFonts w:ascii="Times New Roman" w:hAnsi="Times New Roman" w:cs="Times New Roman"/>
          <w:bCs/>
          <w:color w:val="000000"/>
          <w:sz w:val="22"/>
          <w:szCs w:val="22"/>
        </w:rPr>
        <w:t>1) and I(0) variables, the bound test for the co-integration test is estimated and reported in Table 3.</w:t>
      </w:r>
    </w:p>
    <w:p w14:paraId="340526E5" w14:textId="77777777" w:rsidR="003B18E9" w:rsidRPr="00886270" w:rsidRDefault="003B18E9" w:rsidP="00886270">
      <w:pPr>
        <w:spacing w:after="0" w:line="360" w:lineRule="auto"/>
        <w:jc w:val="both"/>
        <w:rPr>
          <w:rFonts w:ascii="Times New Roman" w:hAnsi="Times New Roman" w:cs="Times New Roman"/>
          <w:bCs/>
          <w:color w:val="000000"/>
          <w:sz w:val="22"/>
          <w:szCs w:val="22"/>
        </w:rPr>
      </w:pPr>
    </w:p>
    <w:p w14:paraId="2F661F0C" w14:textId="77777777" w:rsidR="00D66679" w:rsidRDefault="00D66679" w:rsidP="00886270">
      <w:pPr>
        <w:spacing w:after="0" w:line="360" w:lineRule="auto"/>
        <w:jc w:val="both"/>
        <w:rPr>
          <w:rFonts w:ascii="Times New Roman" w:eastAsia="Times New Roman" w:hAnsi="Times New Roman" w:cs="Times New Roman"/>
          <w:bCs/>
          <w:color w:val="000000"/>
          <w:sz w:val="22"/>
          <w:szCs w:val="22"/>
        </w:rPr>
      </w:pPr>
      <w:bookmarkStart w:id="2" w:name="_Hlk174949549"/>
    </w:p>
    <w:p w14:paraId="56E014EF" w14:textId="77777777" w:rsidR="00D66679" w:rsidRDefault="00D66679" w:rsidP="00886270">
      <w:pPr>
        <w:spacing w:after="0" w:line="360" w:lineRule="auto"/>
        <w:jc w:val="both"/>
        <w:rPr>
          <w:rFonts w:ascii="Times New Roman" w:eastAsia="Times New Roman" w:hAnsi="Times New Roman" w:cs="Times New Roman"/>
          <w:bCs/>
          <w:color w:val="000000"/>
          <w:sz w:val="22"/>
          <w:szCs w:val="22"/>
        </w:rPr>
      </w:pPr>
    </w:p>
    <w:p w14:paraId="44B1F0CA" w14:textId="7BC1DA49"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lastRenderedPageBreak/>
        <w:t>Table 3: Results of Bound Tests to Co-integration</w:t>
      </w:r>
    </w:p>
    <w:tbl>
      <w:tblPr>
        <w:tblW w:w="9916" w:type="dxa"/>
        <w:tblInd w:w="-25" w:type="dxa"/>
        <w:tblCellMar>
          <w:left w:w="10" w:type="dxa"/>
          <w:right w:w="10" w:type="dxa"/>
        </w:tblCellMar>
        <w:tblLook w:val="0000" w:firstRow="0" w:lastRow="0" w:firstColumn="0" w:lastColumn="0" w:noHBand="0" w:noVBand="0"/>
      </w:tblPr>
      <w:tblGrid>
        <w:gridCol w:w="6100"/>
        <w:gridCol w:w="940"/>
        <w:gridCol w:w="1116"/>
        <w:gridCol w:w="1760"/>
      </w:tblGrid>
      <w:tr w:rsidR="003B18E9" w:rsidRPr="00886270" w14:paraId="46C70BBE" w14:textId="77777777" w:rsidTr="00556A80">
        <w:trPr>
          <w:trHeight w:val="310"/>
        </w:trPr>
        <w:tc>
          <w:tcPr>
            <w:tcW w:w="610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bookmarkEnd w:id="2"/>
          <w:p w14:paraId="796F47CD"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Variables</w:t>
            </w:r>
          </w:p>
        </w:tc>
        <w:tc>
          <w:tcPr>
            <w:tcW w:w="94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3D227C2F"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AIC Lag</w:t>
            </w:r>
          </w:p>
        </w:tc>
        <w:tc>
          <w:tcPr>
            <w:tcW w:w="1116"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6F02E286"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F-Statistic</w:t>
            </w:r>
          </w:p>
        </w:tc>
        <w:tc>
          <w:tcPr>
            <w:tcW w:w="176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5CB92B82"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Outcome</w:t>
            </w:r>
          </w:p>
        </w:tc>
      </w:tr>
      <w:tr w:rsidR="003B18E9" w:rsidRPr="00886270" w14:paraId="0200DEB8" w14:textId="77777777" w:rsidTr="00556A80">
        <w:trPr>
          <w:trHeight w:val="310"/>
        </w:trPr>
        <w:tc>
          <w:tcPr>
            <w:tcW w:w="6100" w:type="dxa"/>
            <w:tcBorders>
              <w:top w:val="single" w:sz="4" w:space="0" w:color="000000"/>
            </w:tcBorders>
            <w:shd w:val="clear" w:color="auto" w:fill="auto"/>
            <w:noWrap/>
            <w:tcMar>
              <w:top w:w="0" w:type="dxa"/>
              <w:left w:w="108" w:type="dxa"/>
              <w:bottom w:w="0" w:type="dxa"/>
              <w:right w:w="108" w:type="dxa"/>
            </w:tcMar>
            <w:vAlign w:val="bottom"/>
          </w:tcPr>
          <w:p w14:paraId="5D1A58FB" w14:textId="77777777" w:rsidR="003B18E9" w:rsidRPr="00886270" w:rsidRDefault="003B18E9" w:rsidP="00886270">
            <w:pPr>
              <w:spacing w:after="0" w:line="360" w:lineRule="auto"/>
              <w:jc w:val="center"/>
              <w:rPr>
                <w:sz w:val="22"/>
                <w:szCs w:val="22"/>
              </w:rPr>
            </w:pPr>
            <w:r w:rsidRPr="00886270">
              <w:rPr>
                <w:rFonts w:ascii="Times New Roman" w:eastAsia="Times New Roman" w:hAnsi="Times New Roman" w:cs="Times New Roman"/>
                <w:bCs/>
                <w:i/>
                <w:iCs/>
                <w:color w:val="000000"/>
                <w:sz w:val="22"/>
                <w:szCs w:val="22"/>
              </w:rPr>
              <w:t>FCO2E (LCO2E, LREC, PMSC, POPG)</w:t>
            </w:r>
          </w:p>
        </w:tc>
        <w:tc>
          <w:tcPr>
            <w:tcW w:w="940" w:type="dxa"/>
            <w:tcBorders>
              <w:top w:val="single" w:sz="4" w:space="0" w:color="000000"/>
            </w:tcBorders>
            <w:shd w:val="clear" w:color="auto" w:fill="auto"/>
            <w:noWrap/>
            <w:tcMar>
              <w:top w:w="0" w:type="dxa"/>
              <w:left w:w="108" w:type="dxa"/>
              <w:bottom w:w="0" w:type="dxa"/>
              <w:right w:w="108" w:type="dxa"/>
            </w:tcMar>
            <w:vAlign w:val="bottom"/>
          </w:tcPr>
          <w:p w14:paraId="56D470A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3</w:t>
            </w:r>
          </w:p>
        </w:tc>
        <w:tc>
          <w:tcPr>
            <w:tcW w:w="1116" w:type="dxa"/>
            <w:tcBorders>
              <w:top w:val="single" w:sz="4" w:space="0" w:color="000000"/>
            </w:tcBorders>
            <w:shd w:val="clear" w:color="auto" w:fill="auto"/>
            <w:noWrap/>
            <w:tcMar>
              <w:top w:w="0" w:type="dxa"/>
              <w:left w:w="108" w:type="dxa"/>
              <w:bottom w:w="0" w:type="dxa"/>
              <w:right w:w="108" w:type="dxa"/>
            </w:tcMar>
            <w:vAlign w:val="bottom"/>
          </w:tcPr>
          <w:p w14:paraId="2EF34802" w14:textId="77777777" w:rsidR="003B18E9" w:rsidRPr="00886270" w:rsidRDefault="003B18E9" w:rsidP="00886270">
            <w:pPr>
              <w:spacing w:line="360" w:lineRule="auto"/>
              <w:rPr>
                <w:rFonts w:ascii="Calibri" w:hAnsi="Calibri" w:cs="Calibri"/>
                <w:color w:val="000000"/>
                <w:sz w:val="22"/>
                <w:szCs w:val="22"/>
              </w:rPr>
            </w:pPr>
          </w:p>
          <w:p w14:paraId="461E402E"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4.988895</w:t>
            </w:r>
          </w:p>
        </w:tc>
        <w:tc>
          <w:tcPr>
            <w:tcW w:w="1760" w:type="dxa"/>
            <w:tcBorders>
              <w:top w:val="single" w:sz="4" w:space="0" w:color="000000"/>
            </w:tcBorders>
            <w:shd w:val="clear" w:color="auto" w:fill="auto"/>
            <w:noWrap/>
            <w:tcMar>
              <w:top w:w="0" w:type="dxa"/>
              <w:left w:w="108" w:type="dxa"/>
              <w:bottom w:w="0" w:type="dxa"/>
              <w:right w:w="108" w:type="dxa"/>
            </w:tcMar>
            <w:vAlign w:val="bottom"/>
          </w:tcPr>
          <w:p w14:paraId="1190FB2E"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Cointegration</w:t>
            </w:r>
          </w:p>
        </w:tc>
      </w:tr>
      <w:tr w:rsidR="003B18E9" w:rsidRPr="00886270" w14:paraId="68DAA97F" w14:textId="77777777" w:rsidTr="00556A80">
        <w:trPr>
          <w:trHeight w:val="310"/>
        </w:trPr>
        <w:tc>
          <w:tcPr>
            <w:tcW w:w="6100" w:type="dxa"/>
            <w:shd w:val="clear" w:color="auto" w:fill="auto"/>
            <w:noWrap/>
            <w:tcMar>
              <w:top w:w="0" w:type="dxa"/>
              <w:left w:w="108" w:type="dxa"/>
              <w:bottom w:w="0" w:type="dxa"/>
              <w:right w:w="108" w:type="dxa"/>
            </w:tcMar>
            <w:vAlign w:val="bottom"/>
          </w:tcPr>
          <w:p w14:paraId="766CE57F" w14:textId="77777777" w:rsidR="003B18E9" w:rsidRPr="00886270" w:rsidRDefault="003B18E9" w:rsidP="00886270">
            <w:pPr>
              <w:spacing w:after="0" w:line="360" w:lineRule="auto"/>
              <w:jc w:val="center"/>
              <w:rPr>
                <w:rFonts w:ascii="Times New Roman" w:eastAsia="Times New Roman" w:hAnsi="Times New Roman" w:cs="Times New Roman"/>
                <w:bCs/>
                <w:i/>
                <w:iCs/>
                <w:color w:val="000000"/>
                <w:sz w:val="22"/>
                <w:szCs w:val="22"/>
              </w:rPr>
            </w:pPr>
            <w:r w:rsidRPr="00886270">
              <w:rPr>
                <w:rFonts w:ascii="Times New Roman" w:eastAsia="Times New Roman" w:hAnsi="Times New Roman" w:cs="Times New Roman"/>
                <w:bCs/>
                <w:i/>
                <w:iCs/>
                <w:color w:val="000000"/>
                <w:sz w:val="22"/>
                <w:szCs w:val="22"/>
              </w:rPr>
              <w:t>Critical Value Narayan (2005)</w:t>
            </w:r>
          </w:p>
        </w:tc>
        <w:tc>
          <w:tcPr>
            <w:tcW w:w="940" w:type="dxa"/>
            <w:shd w:val="clear" w:color="auto" w:fill="auto"/>
            <w:noWrap/>
            <w:tcMar>
              <w:top w:w="0" w:type="dxa"/>
              <w:left w:w="108" w:type="dxa"/>
              <w:bottom w:w="0" w:type="dxa"/>
              <w:right w:w="108" w:type="dxa"/>
            </w:tcMar>
            <w:vAlign w:val="bottom"/>
          </w:tcPr>
          <w:p w14:paraId="4AAD433B"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(0)</w:t>
            </w:r>
          </w:p>
        </w:tc>
        <w:tc>
          <w:tcPr>
            <w:tcW w:w="1116" w:type="dxa"/>
            <w:shd w:val="clear" w:color="auto" w:fill="auto"/>
            <w:noWrap/>
            <w:tcMar>
              <w:top w:w="0" w:type="dxa"/>
              <w:left w:w="108" w:type="dxa"/>
              <w:bottom w:w="0" w:type="dxa"/>
              <w:right w:w="108" w:type="dxa"/>
            </w:tcMar>
            <w:vAlign w:val="bottom"/>
          </w:tcPr>
          <w:p w14:paraId="73F91635"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I (1)</w:t>
            </w:r>
          </w:p>
        </w:tc>
        <w:tc>
          <w:tcPr>
            <w:tcW w:w="1760" w:type="dxa"/>
            <w:shd w:val="clear" w:color="auto" w:fill="auto"/>
            <w:noWrap/>
            <w:tcMar>
              <w:top w:w="0" w:type="dxa"/>
              <w:left w:w="108" w:type="dxa"/>
              <w:bottom w:w="0" w:type="dxa"/>
              <w:right w:w="108" w:type="dxa"/>
            </w:tcMar>
            <w:vAlign w:val="bottom"/>
          </w:tcPr>
          <w:p w14:paraId="35D5DF0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w:t>
            </w:r>
          </w:p>
        </w:tc>
      </w:tr>
      <w:tr w:rsidR="003B18E9" w:rsidRPr="00886270" w14:paraId="194F18D9" w14:textId="77777777" w:rsidTr="00556A80">
        <w:trPr>
          <w:trHeight w:val="310"/>
        </w:trPr>
        <w:tc>
          <w:tcPr>
            <w:tcW w:w="6100" w:type="dxa"/>
            <w:tcBorders>
              <w:bottom w:val="single" w:sz="4" w:space="0" w:color="000000"/>
            </w:tcBorders>
            <w:shd w:val="clear" w:color="auto" w:fill="auto"/>
            <w:noWrap/>
            <w:tcMar>
              <w:top w:w="0" w:type="dxa"/>
              <w:left w:w="108" w:type="dxa"/>
              <w:bottom w:w="0" w:type="dxa"/>
              <w:right w:w="108" w:type="dxa"/>
            </w:tcMar>
            <w:vAlign w:val="bottom"/>
          </w:tcPr>
          <w:p w14:paraId="27A55AAF"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5%</w:t>
            </w:r>
          </w:p>
        </w:tc>
        <w:tc>
          <w:tcPr>
            <w:tcW w:w="940" w:type="dxa"/>
            <w:tcBorders>
              <w:bottom w:val="single" w:sz="4" w:space="0" w:color="000000"/>
            </w:tcBorders>
            <w:shd w:val="clear" w:color="auto" w:fill="auto"/>
            <w:tcMar>
              <w:top w:w="0" w:type="dxa"/>
              <w:left w:w="108" w:type="dxa"/>
              <w:bottom w:w="0" w:type="dxa"/>
              <w:right w:w="108" w:type="dxa"/>
            </w:tcMar>
            <w:vAlign w:val="center"/>
          </w:tcPr>
          <w:p w14:paraId="0D94B47C"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2.79</w:t>
            </w:r>
          </w:p>
        </w:tc>
        <w:tc>
          <w:tcPr>
            <w:tcW w:w="1116" w:type="dxa"/>
            <w:tcBorders>
              <w:bottom w:val="single" w:sz="4" w:space="0" w:color="000000"/>
            </w:tcBorders>
            <w:shd w:val="clear" w:color="auto" w:fill="auto"/>
            <w:tcMar>
              <w:top w:w="0" w:type="dxa"/>
              <w:left w:w="108" w:type="dxa"/>
              <w:bottom w:w="0" w:type="dxa"/>
              <w:right w:w="108" w:type="dxa"/>
            </w:tcMar>
            <w:vAlign w:val="center"/>
          </w:tcPr>
          <w:p w14:paraId="1CDCA269"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3.67</w:t>
            </w:r>
          </w:p>
        </w:tc>
        <w:tc>
          <w:tcPr>
            <w:tcW w:w="1760" w:type="dxa"/>
            <w:tcBorders>
              <w:bottom w:val="single" w:sz="4" w:space="0" w:color="000000"/>
            </w:tcBorders>
            <w:shd w:val="clear" w:color="auto" w:fill="auto"/>
            <w:noWrap/>
            <w:tcMar>
              <w:top w:w="0" w:type="dxa"/>
              <w:left w:w="108" w:type="dxa"/>
              <w:bottom w:w="0" w:type="dxa"/>
              <w:right w:w="108" w:type="dxa"/>
            </w:tcMar>
            <w:vAlign w:val="bottom"/>
          </w:tcPr>
          <w:p w14:paraId="574F53CF"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w:t>
            </w:r>
          </w:p>
        </w:tc>
      </w:tr>
    </w:tbl>
    <w:p w14:paraId="06A05AC9" w14:textId="77777777" w:rsidR="00D66679" w:rsidRPr="00CB2EEF" w:rsidRDefault="00D66679" w:rsidP="00D66679">
      <w:pPr>
        <w:spacing w:line="360" w:lineRule="auto"/>
        <w:rPr>
          <w:b/>
          <w:bCs/>
          <w:sz w:val="22"/>
          <w:szCs w:val="22"/>
        </w:rPr>
      </w:pPr>
      <w:r w:rsidRPr="00CB2EEF">
        <w:rPr>
          <w:b/>
          <w:bCs/>
          <w:sz w:val="22"/>
          <w:szCs w:val="22"/>
        </w:rPr>
        <w:t>Source: Researcher’s computation</w:t>
      </w:r>
    </w:p>
    <w:p w14:paraId="5ED57F48" w14:textId="77777777" w:rsidR="003B18E9" w:rsidRPr="00886270" w:rsidRDefault="003B18E9" w:rsidP="00886270">
      <w:pPr>
        <w:spacing w:after="0" w:line="360" w:lineRule="auto"/>
        <w:jc w:val="both"/>
        <w:rPr>
          <w:sz w:val="22"/>
          <w:szCs w:val="22"/>
        </w:rPr>
      </w:pPr>
      <w:r w:rsidRPr="00886270">
        <w:rPr>
          <w:rFonts w:ascii="Times New Roman" w:eastAsia="Times New Roman" w:hAnsi="Times New Roman" w:cs="Times New Roman"/>
          <w:bCs/>
          <w:color w:val="000000"/>
          <w:sz w:val="22"/>
          <w:szCs w:val="22"/>
        </w:rPr>
        <w:t>The null hypothesis</w:t>
      </w:r>
      <w:r w:rsidRPr="00886270">
        <w:rPr>
          <w:rFonts w:ascii="Times New Roman" w:eastAsia="Times New Roman" w:hAnsi="Times New Roman" w:cs="Times New Roman"/>
          <w:bCs/>
          <w:color w:val="000000"/>
          <w:sz w:val="22"/>
          <w:szCs w:val="22"/>
        </w:rPr>
        <w:object w:dxaOrig="2650" w:dyaOrig="370" w14:anchorId="30F445F0">
          <v:shape id="Object 18" o:spid="_x0000_i1031" type="#_x0000_t75" style="width:132.65pt;height:18.65pt;visibility:visible;mso-wrap-style:square" o:ole="">
            <v:imagedata r:id="rId20" o:title=""/>
          </v:shape>
          <o:OLEObject Type="Embed" ProgID="Equation.3" ShapeID="Object 18" DrawAspect="Content" ObjectID="_1801381219" r:id="rId21"/>
        </w:object>
      </w:r>
      <w:r w:rsidRPr="00886270">
        <w:rPr>
          <w:rFonts w:ascii="Times New Roman" w:eastAsia="Times New Roman" w:hAnsi="Times New Roman" w:cs="Times New Roman"/>
          <w:bCs/>
          <w:color w:val="000000"/>
          <w:sz w:val="22"/>
          <w:szCs w:val="22"/>
        </w:rPr>
        <w:t xml:space="preserve"> explained the existence of no co-integration against the alternative hypothesis of </w:t>
      </w:r>
      <w:r w:rsidRPr="00886270">
        <w:rPr>
          <w:rFonts w:ascii="Times New Roman" w:eastAsia="Times New Roman" w:hAnsi="Times New Roman" w:cs="Times New Roman"/>
          <w:bCs/>
          <w:color w:val="000000"/>
          <w:sz w:val="22"/>
          <w:szCs w:val="22"/>
        </w:rPr>
        <w:object w:dxaOrig="2700" w:dyaOrig="370" w14:anchorId="262BDD15">
          <v:shape id="Object 19" o:spid="_x0000_i1032" type="#_x0000_t75" style="width:134.65pt;height:18.65pt;visibility:visible;mso-wrap-style:square" o:ole="">
            <v:imagedata r:id="rId22" o:title=""/>
          </v:shape>
          <o:OLEObject Type="Embed" ProgID="Equation.3" ShapeID="Object 19" DrawAspect="Content" ObjectID="_1801381220" r:id="rId23"/>
        </w:object>
      </w:r>
      <w:r w:rsidRPr="00886270">
        <w:rPr>
          <w:rFonts w:ascii="Times New Roman" w:eastAsia="Times New Roman" w:hAnsi="Times New Roman" w:cs="Times New Roman"/>
          <w:bCs/>
          <w:color w:val="000000"/>
          <w:sz w:val="22"/>
          <w:szCs w:val="22"/>
        </w:rPr>
        <w:t xml:space="preserve">, which showed that co-integration existed. </w:t>
      </w:r>
    </w:p>
    <w:p w14:paraId="3F80CCB1" w14:textId="77777777" w:rsidR="003B18E9" w:rsidRPr="00886270" w:rsidRDefault="003B18E9" w:rsidP="00886270">
      <w:pPr>
        <w:spacing w:line="360" w:lineRule="auto"/>
        <w:jc w:val="both"/>
        <w:rPr>
          <w:sz w:val="22"/>
          <w:szCs w:val="22"/>
        </w:rPr>
      </w:pPr>
      <w:r w:rsidRPr="00886270">
        <w:rPr>
          <w:rFonts w:ascii="Times New Roman" w:eastAsia="Times New Roman" w:hAnsi="Times New Roman" w:cs="Times New Roman"/>
          <w:bCs/>
          <w:color w:val="000000"/>
          <w:sz w:val="22"/>
          <w:szCs w:val="22"/>
        </w:rPr>
        <w:t xml:space="preserve">Table 3 contains the outcome of calculated F-statistics where individual variables were assigned the position of dependent variables through normalization. Still on the table, </w:t>
      </w:r>
      <w:r w:rsidRPr="00886270">
        <w:rPr>
          <w:rFonts w:ascii="Times New Roman" w:eastAsia="Times New Roman" w:hAnsi="Times New Roman" w:cs="Times New Roman"/>
          <w:bCs/>
          <w:i/>
          <w:iCs/>
          <w:color w:val="000000"/>
          <w:sz w:val="22"/>
          <w:szCs w:val="22"/>
        </w:rPr>
        <w:t xml:space="preserve">FCO2E (CO2E/LREC, LPMSC, POPG) </w:t>
      </w:r>
      <w:r w:rsidRPr="00886270">
        <w:rPr>
          <w:rFonts w:ascii="Times New Roman" w:eastAsia="Times New Roman" w:hAnsi="Times New Roman" w:cs="Times New Roman"/>
          <w:bCs/>
          <w:color w:val="000000"/>
          <w:sz w:val="22"/>
          <w:szCs w:val="22"/>
        </w:rPr>
        <w:t>represents the F-statistics and has the value 4.9888. The upper bound critical value at 5% significant level is 3.6 (Narayan, 2005). Since the F-statistics is greater than the critical bound, it implies that the null hypothesis which has no co-integration is rejected. The study has also determined the co-integration nexus among the variables which guaranteed the estimation of equation (5).</w:t>
      </w:r>
    </w:p>
    <w:p w14:paraId="21FD25FE" w14:textId="77777777" w:rsidR="003B18E9" w:rsidRPr="00D66679" w:rsidRDefault="003B18E9" w:rsidP="00886270">
      <w:pPr>
        <w:spacing w:line="360" w:lineRule="auto"/>
        <w:jc w:val="both"/>
        <w:rPr>
          <w:b/>
          <w:sz w:val="22"/>
          <w:szCs w:val="22"/>
        </w:rPr>
      </w:pPr>
      <w:r w:rsidRPr="00D66679">
        <w:rPr>
          <w:rFonts w:ascii="Times New Roman" w:eastAsia="Times New Roman" w:hAnsi="Times New Roman" w:cs="Times New Roman"/>
          <w:b/>
          <w:color w:val="000000"/>
          <w:sz w:val="22"/>
          <w:szCs w:val="22"/>
        </w:rPr>
        <w:t xml:space="preserve">Table 4: </w:t>
      </w:r>
      <w:r w:rsidRPr="00D66679">
        <w:rPr>
          <w:rFonts w:ascii="Calibri" w:eastAsia="Times New Roman" w:hAnsi="Calibri" w:cs="Calibri"/>
          <w:b/>
          <w:color w:val="000000"/>
          <w:kern w:val="0"/>
          <w:sz w:val="22"/>
          <w:szCs w:val="22"/>
        </w:rPr>
        <w:t>ARDL Long Run Form and Bounds Test</w:t>
      </w:r>
    </w:p>
    <w:p w14:paraId="07A74DEE" w14:textId="77777777" w:rsidR="003B18E9" w:rsidRPr="00886270" w:rsidRDefault="003B18E9" w:rsidP="00886270">
      <w:pPr>
        <w:spacing w:line="360" w:lineRule="auto"/>
        <w:jc w:val="both"/>
        <w:rPr>
          <w:sz w:val="22"/>
          <w:szCs w:val="22"/>
        </w:rPr>
      </w:pPr>
      <w:r w:rsidRPr="00886270">
        <w:rPr>
          <w:rFonts w:ascii="Times New Roman" w:eastAsia="Times New Roman" w:hAnsi="Times New Roman" w:cs="Times New Roman"/>
          <w:bCs/>
          <w:color w:val="000000"/>
          <w:sz w:val="22"/>
          <w:szCs w:val="22"/>
        </w:rPr>
        <w:t xml:space="preserve">The </w:t>
      </w:r>
      <w:r w:rsidRPr="00886270">
        <w:rPr>
          <w:rFonts w:ascii="Calibri" w:eastAsia="Times New Roman" w:hAnsi="Calibri" w:cs="Calibri"/>
          <w:color w:val="000000"/>
          <w:kern w:val="0"/>
          <w:sz w:val="22"/>
          <w:szCs w:val="22"/>
        </w:rPr>
        <w:t>Dependent Variable: D(LCO2E)</w:t>
      </w:r>
    </w:p>
    <w:p w14:paraId="38654FF8"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tbl>
      <w:tblPr>
        <w:tblW w:w="5000" w:type="pct"/>
        <w:tblCellMar>
          <w:left w:w="10" w:type="dxa"/>
          <w:right w:w="10" w:type="dxa"/>
        </w:tblCellMar>
        <w:tblLook w:val="0000" w:firstRow="0" w:lastRow="0" w:firstColumn="0" w:lastColumn="0" w:noHBand="0" w:noVBand="0"/>
      </w:tblPr>
      <w:tblGrid>
        <w:gridCol w:w="2498"/>
        <w:gridCol w:w="1784"/>
        <w:gridCol w:w="1765"/>
        <w:gridCol w:w="1728"/>
        <w:gridCol w:w="1251"/>
      </w:tblGrid>
      <w:tr w:rsidR="003B18E9" w:rsidRPr="00886270" w14:paraId="26C82136" w14:textId="77777777" w:rsidTr="00556A80">
        <w:trPr>
          <w:trHeight w:val="310"/>
        </w:trPr>
        <w:tc>
          <w:tcPr>
            <w:tcW w:w="249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1B9B2E4"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Variable</w:t>
            </w:r>
          </w:p>
        </w:tc>
        <w:tc>
          <w:tcPr>
            <w:tcW w:w="178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C10877A"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Coefficient</w:t>
            </w:r>
          </w:p>
        </w:tc>
        <w:tc>
          <w:tcPr>
            <w:tcW w:w="176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2A4B6E"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Std. Error</w:t>
            </w:r>
          </w:p>
        </w:tc>
        <w:tc>
          <w:tcPr>
            <w:tcW w:w="172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E9C9B64"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t-Statistic</w:t>
            </w:r>
          </w:p>
        </w:tc>
        <w:tc>
          <w:tcPr>
            <w:tcW w:w="125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90242C4"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Prob.   </w:t>
            </w:r>
          </w:p>
        </w:tc>
      </w:tr>
      <w:tr w:rsidR="003B18E9" w:rsidRPr="00886270" w14:paraId="7A454F8E" w14:textId="77777777" w:rsidTr="00556A80">
        <w:trPr>
          <w:trHeight w:val="310"/>
        </w:trPr>
        <w:tc>
          <w:tcPr>
            <w:tcW w:w="2498" w:type="dxa"/>
            <w:tcBorders>
              <w:top w:val="single" w:sz="4" w:space="0" w:color="000000"/>
            </w:tcBorders>
            <w:shd w:val="clear" w:color="auto" w:fill="auto"/>
            <w:tcMar>
              <w:top w:w="0" w:type="dxa"/>
              <w:left w:w="108" w:type="dxa"/>
              <w:bottom w:w="0" w:type="dxa"/>
              <w:right w:w="108" w:type="dxa"/>
            </w:tcMar>
            <w:vAlign w:val="bottom"/>
          </w:tcPr>
          <w:p w14:paraId="66AEDD72" w14:textId="77777777" w:rsidR="003B18E9" w:rsidRPr="00886270" w:rsidRDefault="003B18E9" w:rsidP="00886270">
            <w:pPr>
              <w:spacing w:after="0" w:line="360" w:lineRule="auto"/>
              <w:jc w:val="center"/>
              <w:rPr>
                <w:sz w:val="22"/>
                <w:szCs w:val="22"/>
              </w:rPr>
            </w:pPr>
            <w:r w:rsidRPr="00886270">
              <w:rPr>
                <w:rFonts w:ascii="Aptos Narrow" w:hAnsi="Aptos Narrow"/>
                <w:color w:val="000000"/>
                <w:sz w:val="22"/>
                <w:szCs w:val="22"/>
              </w:rPr>
              <w:t>C</w:t>
            </w:r>
          </w:p>
        </w:tc>
        <w:tc>
          <w:tcPr>
            <w:tcW w:w="1784" w:type="dxa"/>
            <w:tcBorders>
              <w:top w:val="single" w:sz="4" w:space="0" w:color="000000"/>
            </w:tcBorders>
            <w:shd w:val="clear" w:color="auto" w:fill="auto"/>
            <w:tcMar>
              <w:top w:w="0" w:type="dxa"/>
              <w:left w:w="108" w:type="dxa"/>
              <w:bottom w:w="0" w:type="dxa"/>
              <w:right w:w="108" w:type="dxa"/>
            </w:tcMar>
            <w:vAlign w:val="bottom"/>
          </w:tcPr>
          <w:p w14:paraId="5D724D88"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4.152234</w:t>
            </w:r>
          </w:p>
        </w:tc>
        <w:tc>
          <w:tcPr>
            <w:tcW w:w="1765" w:type="dxa"/>
            <w:tcBorders>
              <w:top w:val="single" w:sz="4" w:space="0" w:color="000000"/>
            </w:tcBorders>
            <w:shd w:val="clear" w:color="auto" w:fill="auto"/>
            <w:tcMar>
              <w:top w:w="0" w:type="dxa"/>
              <w:left w:w="108" w:type="dxa"/>
              <w:bottom w:w="0" w:type="dxa"/>
              <w:right w:w="108" w:type="dxa"/>
            </w:tcMar>
            <w:vAlign w:val="bottom"/>
          </w:tcPr>
          <w:p w14:paraId="0515428F"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1.396524</w:t>
            </w:r>
          </w:p>
        </w:tc>
        <w:tc>
          <w:tcPr>
            <w:tcW w:w="1728" w:type="dxa"/>
            <w:tcBorders>
              <w:top w:val="single" w:sz="4" w:space="0" w:color="000000"/>
            </w:tcBorders>
            <w:shd w:val="clear" w:color="auto" w:fill="auto"/>
            <w:tcMar>
              <w:top w:w="0" w:type="dxa"/>
              <w:left w:w="108" w:type="dxa"/>
              <w:bottom w:w="0" w:type="dxa"/>
              <w:right w:w="108" w:type="dxa"/>
            </w:tcMar>
            <w:vAlign w:val="bottom"/>
          </w:tcPr>
          <w:p w14:paraId="1BA72DDC"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2.973263</w:t>
            </w:r>
          </w:p>
        </w:tc>
        <w:tc>
          <w:tcPr>
            <w:tcW w:w="1251" w:type="dxa"/>
            <w:tcBorders>
              <w:top w:val="single" w:sz="4" w:space="0" w:color="000000"/>
            </w:tcBorders>
            <w:shd w:val="clear" w:color="auto" w:fill="auto"/>
            <w:tcMar>
              <w:top w:w="0" w:type="dxa"/>
              <w:left w:w="108" w:type="dxa"/>
              <w:bottom w:w="0" w:type="dxa"/>
              <w:right w:w="108" w:type="dxa"/>
            </w:tcMar>
            <w:vAlign w:val="bottom"/>
          </w:tcPr>
          <w:p w14:paraId="77971674"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0.009</w:t>
            </w:r>
          </w:p>
        </w:tc>
      </w:tr>
      <w:tr w:rsidR="003B18E9" w:rsidRPr="00886270" w14:paraId="4577F40E" w14:textId="77777777" w:rsidTr="00556A80">
        <w:trPr>
          <w:trHeight w:val="310"/>
        </w:trPr>
        <w:tc>
          <w:tcPr>
            <w:tcW w:w="2498" w:type="dxa"/>
            <w:shd w:val="clear" w:color="auto" w:fill="auto"/>
            <w:tcMar>
              <w:top w:w="0" w:type="dxa"/>
              <w:left w:w="108" w:type="dxa"/>
              <w:bottom w:w="0" w:type="dxa"/>
              <w:right w:w="108" w:type="dxa"/>
            </w:tcMar>
            <w:vAlign w:val="bottom"/>
          </w:tcPr>
          <w:p w14:paraId="5009FEAF" w14:textId="77777777" w:rsidR="003B18E9" w:rsidRPr="00886270" w:rsidRDefault="003B18E9" w:rsidP="00886270">
            <w:pPr>
              <w:spacing w:after="0" w:line="360" w:lineRule="auto"/>
              <w:jc w:val="center"/>
              <w:rPr>
                <w:sz w:val="22"/>
                <w:szCs w:val="22"/>
              </w:rPr>
            </w:pPr>
            <w:r w:rsidRPr="00886270">
              <w:rPr>
                <w:rFonts w:ascii="Aptos Narrow" w:hAnsi="Aptos Narrow"/>
                <w:color w:val="000000"/>
                <w:sz w:val="22"/>
                <w:szCs w:val="22"/>
              </w:rPr>
              <w:t>LCO2</w:t>
            </w:r>
            <w:proofErr w:type="gramStart"/>
            <w:r w:rsidRPr="00886270">
              <w:rPr>
                <w:rFonts w:ascii="Aptos Narrow" w:hAnsi="Aptos Narrow"/>
                <w:color w:val="000000"/>
                <w:sz w:val="22"/>
                <w:szCs w:val="22"/>
              </w:rPr>
              <w:t>E(</w:t>
            </w:r>
            <w:proofErr w:type="gramEnd"/>
            <w:r w:rsidRPr="00886270">
              <w:rPr>
                <w:rFonts w:ascii="Aptos Narrow" w:hAnsi="Aptos Narrow"/>
                <w:color w:val="000000"/>
                <w:sz w:val="22"/>
                <w:szCs w:val="22"/>
              </w:rPr>
              <w:t>-1)*</w:t>
            </w:r>
          </w:p>
        </w:tc>
        <w:tc>
          <w:tcPr>
            <w:tcW w:w="1784" w:type="dxa"/>
            <w:shd w:val="clear" w:color="auto" w:fill="auto"/>
            <w:tcMar>
              <w:top w:w="0" w:type="dxa"/>
              <w:left w:w="108" w:type="dxa"/>
              <w:bottom w:w="0" w:type="dxa"/>
              <w:right w:w="108" w:type="dxa"/>
            </w:tcMar>
            <w:vAlign w:val="bottom"/>
          </w:tcPr>
          <w:p w14:paraId="2A7C6268"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-0.773477</w:t>
            </w:r>
          </w:p>
        </w:tc>
        <w:tc>
          <w:tcPr>
            <w:tcW w:w="1765" w:type="dxa"/>
            <w:shd w:val="clear" w:color="auto" w:fill="auto"/>
            <w:tcMar>
              <w:top w:w="0" w:type="dxa"/>
              <w:left w:w="108" w:type="dxa"/>
              <w:bottom w:w="0" w:type="dxa"/>
              <w:right w:w="108" w:type="dxa"/>
            </w:tcMar>
            <w:vAlign w:val="bottom"/>
          </w:tcPr>
          <w:p w14:paraId="00D7F9AA"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0.165437</w:t>
            </w:r>
          </w:p>
        </w:tc>
        <w:tc>
          <w:tcPr>
            <w:tcW w:w="1728" w:type="dxa"/>
            <w:shd w:val="clear" w:color="auto" w:fill="auto"/>
            <w:tcMar>
              <w:top w:w="0" w:type="dxa"/>
              <w:left w:w="108" w:type="dxa"/>
              <w:bottom w:w="0" w:type="dxa"/>
              <w:right w:w="108" w:type="dxa"/>
            </w:tcMar>
            <w:vAlign w:val="bottom"/>
          </w:tcPr>
          <w:p w14:paraId="7891A5FA"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-4.675365</w:t>
            </w:r>
          </w:p>
        </w:tc>
        <w:tc>
          <w:tcPr>
            <w:tcW w:w="1251" w:type="dxa"/>
            <w:shd w:val="clear" w:color="auto" w:fill="auto"/>
            <w:tcMar>
              <w:top w:w="0" w:type="dxa"/>
              <w:left w:w="108" w:type="dxa"/>
              <w:bottom w:w="0" w:type="dxa"/>
              <w:right w:w="108" w:type="dxa"/>
            </w:tcMar>
            <w:vAlign w:val="bottom"/>
          </w:tcPr>
          <w:p w14:paraId="06996302"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0.0003</w:t>
            </w:r>
          </w:p>
        </w:tc>
      </w:tr>
      <w:tr w:rsidR="003B18E9" w:rsidRPr="00886270" w14:paraId="1A00E5D7" w14:textId="77777777" w:rsidTr="00556A80">
        <w:trPr>
          <w:trHeight w:val="310"/>
        </w:trPr>
        <w:tc>
          <w:tcPr>
            <w:tcW w:w="2498" w:type="dxa"/>
            <w:shd w:val="clear" w:color="auto" w:fill="auto"/>
            <w:tcMar>
              <w:top w:w="0" w:type="dxa"/>
              <w:left w:w="108" w:type="dxa"/>
              <w:bottom w:w="0" w:type="dxa"/>
              <w:right w:w="108" w:type="dxa"/>
            </w:tcMar>
            <w:vAlign w:val="bottom"/>
          </w:tcPr>
          <w:p w14:paraId="25DA9CFF" w14:textId="77777777" w:rsidR="003B18E9" w:rsidRPr="00886270" w:rsidRDefault="003B18E9" w:rsidP="00886270">
            <w:pPr>
              <w:spacing w:after="0" w:line="360" w:lineRule="auto"/>
              <w:jc w:val="center"/>
              <w:rPr>
                <w:sz w:val="22"/>
                <w:szCs w:val="22"/>
              </w:rPr>
            </w:pPr>
            <w:r w:rsidRPr="00886270">
              <w:rPr>
                <w:rFonts w:ascii="Aptos Narrow" w:hAnsi="Aptos Narrow"/>
                <w:color w:val="000000"/>
                <w:sz w:val="22"/>
                <w:szCs w:val="22"/>
              </w:rPr>
              <w:t>LPMSC (-1)</w:t>
            </w:r>
          </w:p>
        </w:tc>
        <w:tc>
          <w:tcPr>
            <w:tcW w:w="1784" w:type="dxa"/>
            <w:shd w:val="clear" w:color="auto" w:fill="auto"/>
            <w:tcMar>
              <w:top w:w="0" w:type="dxa"/>
              <w:left w:w="108" w:type="dxa"/>
              <w:bottom w:w="0" w:type="dxa"/>
              <w:right w:w="108" w:type="dxa"/>
            </w:tcMar>
            <w:vAlign w:val="bottom"/>
          </w:tcPr>
          <w:p w14:paraId="4EC5A94B"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0.320412</w:t>
            </w:r>
          </w:p>
        </w:tc>
        <w:tc>
          <w:tcPr>
            <w:tcW w:w="1765" w:type="dxa"/>
            <w:shd w:val="clear" w:color="auto" w:fill="auto"/>
            <w:tcMar>
              <w:top w:w="0" w:type="dxa"/>
              <w:left w:w="108" w:type="dxa"/>
              <w:bottom w:w="0" w:type="dxa"/>
              <w:right w:w="108" w:type="dxa"/>
            </w:tcMar>
            <w:vAlign w:val="bottom"/>
          </w:tcPr>
          <w:p w14:paraId="0FFC871A"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0.112095</w:t>
            </w:r>
          </w:p>
        </w:tc>
        <w:tc>
          <w:tcPr>
            <w:tcW w:w="1728" w:type="dxa"/>
            <w:shd w:val="clear" w:color="auto" w:fill="auto"/>
            <w:tcMar>
              <w:top w:w="0" w:type="dxa"/>
              <w:left w:w="108" w:type="dxa"/>
              <w:bottom w:w="0" w:type="dxa"/>
              <w:right w:w="108" w:type="dxa"/>
            </w:tcMar>
            <w:vAlign w:val="bottom"/>
          </w:tcPr>
          <w:p w14:paraId="65D7B6A7"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2.85839</w:t>
            </w:r>
          </w:p>
        </w:tc>
        <w:tc>
          <w:tcPr>
            <w:tcW w:w="1251" w:type="dxa"/>
            <w:shd w:val="clear" w:color="auto" w:fill="auto"/>
            <w:tcMar>
              <w:top w:w="0" w:type="dxa"/>
              <w:left w:w="108" w:type="dxa"/>
              <w:bottom w:w="0" w:type="dxa"/>
              <w:right w:w="108" w:type="dxa"/>
            </w:tcMar>
            <w:vAlign w:val="bottom"/>
          </w:tcPr>
          <w:p w14:paraId="1F870614"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0.0114</w:t>
            </w:r>
          </w:p>
        </w:tc>
      </w:tr>
      <w:tr w:rsidR="003B18E9" w:rsidRPr="00886270" w14:paraId="48BC654E" w14:textId="77777777" w:rsidTr="00556A80">
        <w:trPr>
          <w:trHeight w:val="310"/>
        </w:trPr>
        <w:tc>
          <w:tcPr>
            <w:tcW w:w="2498" w:type="dxa"/>
            <w:shd w:val="clear" w:color="auto" w:fill="auto"/>
            <w:tcMar>
              <w:top w:w="0" w:type="dxa"/>
              <w:left w:w="108" w:type="dxa"/>
              <w:bottom w:w="0" w:type="dxa"/>
              <w:right w:w="108" w:type="dxa"/>
            </w:tcMar>
            <w:vAlign w:val="bottom"/>
          </w:tcPr>
          <w:p w14:paraId="2F7E21E7" w14:textId="77777777" w:rsidR="003B18E9" w:rsidRPr="00886270" w:rsidRDefault="003B18E9" w:rsidP="00886270">
            <w:pPr>
              <w:spacing w:after="0" w:line="360" w:lineRule="auto"/>
              <w:jc w:val="center"/>
              <w:rPr>
                <w:sz w:val="22"/>
                <w:szCs w:val="22"/>
              </w:rPr>
            </w:pPr>
            <w:r w:rsidRPr="00886270">
              <w:rPr>
                <w:rFonts w:ascii="Aptos Narrow" w:hAnsi="Aptos Narrow"/>
                <w:color w:val="000000"/>
                <w:sz w:val="22"/>
                <w:szCs w:val="22"/>
              </w:rPr>
              <w:t>D(LCO2</w:t>
            </w:r>
            <w:proofErr w:type="gramStart"/>
            <w:r w:rsidRPr="00886270">
              <w:rPr>
                <w:rFonts w:ascii="Aptos Narrow" w:hAnsi="Aptos Narrow"/>
                <w:color w:val="000000"/>
                <w:sz w:val="22"/>
                <w:szCs w:val="22"/>
              </w:rPr>
              <w:t>E(</w:t>
            </w:r>
            <w:proofErr w:type="gramEnd"/>
            <w:r w:rsidRPr="00886270">
              <w:rPr>
                <w:rFonts w:ascii="Aptos Narrow" w:hAnsi="Aptos Narrow"/>
                <w:color w:val="000000"/>
                <w:sz w:val="22"/>
                <w:szCs w:val="22"/>
              </w:rPr>
              <w:t>-2))</w:t>
            </w:r>
          </w:p>
        </w:tc>
        <w:tc>
          <w:tcPr>
            <w:tcW w:w="1784" w:type="dxa"/>
            <w:shd w:val="clear" w:color="auto" w:fill="auto"/>
            <w:tcMar>
              <w:top w:w="0" w:type="dxa"/>
              <w:left w:w="108" w:type="dxa"/>
              <w:bottom w:w="0" w:type="dxa"/>
              <w:right w:w="108" w:type="dxa"/>
            </w:tcMar>
            <w:vAlign w:val="bottom"/>
          </w:tcPr>
          <w:p w14:paraId="14E7689F"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0.519729</w:t>
            </w:r>
          </w:p>
        </w:tc>
        <w:tc>
          <w:tcPr>
            <w:tcW w:w="1765" w:type="dxa"/>
            <w:shd w:val="clear" w:color="auto" w:fill="auto"/>
            <w:tcMar>
              <w:top w:w="0" w:type="dxa"/>
              <w:left w:w="108" w:type="dxa"/>
              <w:bottom w:w="0" w:type="dxa"/>
              <w:right w:w="108" w:type="dxa"/>
            </w:tcMar>
            <w:vAlign w:val="bottom"/>
          </w:tcPr>
          <w:p w14:paraId="0CA55D1A"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0.172805</w:t>
            </w:r>
          </w:p>
        </w:tc>
        <w:tc>
          <w:tcPr>
            <w:tcW w:w="1728" w:type="dxa"/>
            <w:shd w:val="clear" w:color="auto" w:fill="auto"/>
            <w:tcMar>
              <w:top w:w="0" w:type="dxa"/>
              <w:left w:w="108" w:type="dxa"/>
              <w:bottom w:w="0" w:type="dxa"/>
              <w:right w:w="108" w:type="dxa"/>
            </w:tcMar>
            <w:vAlign w:val="bottom"/>
          </w:tcPr>
          <w:p w14:paraId="3EF170E8"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3.007608</w:t>
            </w:r>
          </w:p>
        </w:tc>
        <w:tc>
          <w:tcPr>
            <w:tcW w:w="1251" w:type="dxa"/>
            <w:shd w:val="clear" w:color="auto" w:fill="auto"/>
            <w:tcMar>
              <w:top w:w="0" w:type="dxa"/>
              <w:left w:w="108" w:type="dxa"/>
              <w:bottom w:w="0" w:type="dxa"/>
              <w:right w:w="108" w:type="dxa"/>
            </w:tcMar>
            <w:vAlign w:val="bottom"/>
          </w:tcPr>
          <w:p w14:paraId="4F85528A"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0.0083</w:t>
            </w:r>
          </w:p>
        </w:tc>
      </w:tr>
      <w:tr w:rsidR="003B18E9" w:rsidRPr="00886270" w14:paraId="596A115B" w14:textId="77777777" w:rsidTr="00556A80">
        <w:trPr>
          <w:trHeight w:val="310"/>
        </w:trPr>
        <w:tc>
          <w:tcPr>
            <w:tcW w:w="2498" w:type="dxa"/>
            <w:shd w:val="clear" w:color="auto" w:fill="auto"/>
            <w:tcMar>
              <w:top w:w="0" w:type="dxa"/>
              <w:left w:w="108" w:type="dxa"/>
              <w:bottom w:w="0" w:type="dxa"/>
              <w:right w:w="108" w:type="dxa"/>
            </w:tcMar>
            <w:vAlign w:val="bottom"/>
          </w:tcPr>
          <w:p w14:paraId="7E872DC2" w14:textId="77777777" w:rsidR="003B18E9" w:rsidRPr="00886270" w:rsidRDefault="003B18E9" w:rsidP="00886270">
            <w:pPr>
              <w:spacing w:after="0" w:line="360" w:lineRule="auto"/>
              <w:jc w:val="center"/>
              <w:rPr>
                <w:sz w:val="22"/>
                <w:szCs w:val="22"/>
              </w:rPr>
            </w:pPr>
            <w:proofErr w:type="gramStart"/>
            <w:r w:rsidRPr="00886270">
              <w:rPr>
                <w:rFonts w:ascii="Aptos Narrow" w:hAnsi="Aptos Narrow"/>
                <w:color w:val="000000"/>
                <w:sz w:val="22"/>
                <w:szCs w:val="22"/>
              </w:rPr>
              <w:t>D(</w:t>
            </w:r>
            <w:proofErr w:type="gramEnd"/>
            <w:r w:rsidRPr="00886270">
              <w:rPr>
                <w:rFonts w:ascii="Aptos Narrow" w:hAnsi="Aptos Narrow"/>
                <w:color w:val="000000"/>
                <w:sz w:val="22"/>
                <w:szCs w:val="22"/>
              </w:rPr>
              <w:t>LCO2E (-3))</w:t>
            </w:r>
          </w:p>
        </w:tc>
        <w:tc>
          <w:tcPr>
            <w:tcW w:w="1784" w:type="dxa"/>
            <w:shd w:val="clear" w:color="auto" w:fill="auto"/>
            <w:tcMar>
              <w:top w:w="0" w:type="dxa"/>
              <w:left w:w="108" w:type="dxa"/>
              <w:bottom w:w="0" w:type="dxa"/>
              <w:right w:w="108" w:type="dxa"/>
            </w:tcMar>
            <w:vAlign w:val="bottom"/>
          </w:tcPr>
          <w:p w14:paraId="22F3762C"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0.398984</w:t>
            </w:r>
          </w:p>
        </w:tc>
        <w:tc>
          <w:tcPr>
            <w:tcW w:w="1765" w:type="dxa"/>
            <w:shd w:val="clear" w:color="auto" w:fill="auto"/>
            <w:tcMar>
              <w:top w:w="0" w:type="dxa"/>
              <w:left w:w="108" w:type="dxa"/>
              <w:bottom w:w="0" w:type="dxa"/>
              <w:right w:w="108" w:type="dxa"/>
            </w:tcMar>
            <w:vAlign w:val="bottom"/>
          </w:tcPr>
          <w:p w14:paraId="710931D9"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0.181048</w:t>
            </w:r>
          </w:p>
        </w:tc>
        <w:tc>
          <w:tcPr>
            <w:tcW w:w="1728" w:type="dxa"/>
            <w:shd w:val="clear" w:color="auto" w:fill="auto"/>
            <w:tcMar>
              <w:top w:w="0" w:type="dxa"/>
              <w:left w:w="108" w:type="dxa"/>
              <w:bottom w:w="0" w:type="dxa"/>
              <w:right w:w="108" w:type="dxa"/>
            </w:tcMar>
            <w:vAlign w:val="bottom"/>
          </w:tcPr>
          <w:p w14:paraId="08CA570F"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2.203745</w:t>
            </w:r>
          </w:p>
        </w:tc>
        <w:tc>
          <w:tcPr>
            <w:tcW w:w="1251" w:type="dxa"/>
            <w:shd w:val="clear" w:color="auto" w:fill="auto"/>
            <w:tcMar>
              <w:top w:w="0" w:type="dxa"/>
              <w:left w:w="108" w:type="dxa"/>
              <w:bottom w:w="0" w:type="dxa"/>
              <w:right w:w="108" w:type="dxa"/>
            </w:tcMar>
            <w:vAlign w:val="bottom"/>
          </w:tcPr>
          <w:p w14:paraId="557A8C6D"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0.0425</w:t>
            </w:r>
          </w:p>
        </w:tc>
      </w:tr>
      <w:tr w:rsidR="003B18E9" w:rsidRPr="00886270" w14:paraId="3D107276" w14:textId="77777777" w:rsidTr="00556A80">
        <w:trPr>
          <w:trHeight w:val="310"/>
        </w:trPr>
        <w:tc>
          <w:tcPr>
            <w:tcW w:w="2498" w:type="dxa"/>
            <w:shd w:val="clear" w:color="auto" w:fill="auto"/>
            <w:tcMar>
              <w:top w:w="0" w:type="dxa"/>
              <w:left w:w="108" w:type="dxa"/>
              <w:bottom w:w="0" w:type="dxa"/>
              <w:right w:w="108" w:type="dxa"/>
            </w:tcMar>
            <w:vAlign w:val="bottom"/>
          </w:tcPr>
          <w:p w14:paraId="5528AF24" w14:textId="77777777" w:rsidR="003B18E9" w:rsidRPr="00886270" w:rsidRDefault="003B18E9" w:rsidP="00886270">
            <w:pPr>
              <w:spacing w:after="0" w:line="360" w:lineRule="auto"/>
              <w:jc w:val="center"/>
              <w:rPr>
                <w:sz w:val="22"/>
                <w:szCs w:val="22"/>
              </w:rPr>
            </w:pPr>
            <w:r w:rsidRPr="00886270">
              <w:rPr>
                <w:rFonts w:ascii="Aptos Narrow" w:hAnsi="Aptos Narrow"/>
                <w:color w:val="000000"/>
                <w:sz w:val="22"/>
                <w:szCs w:val="22"/>
              </w:rPr>
              <w:t>D(LPMSC)</w:t>
            </w:r>
          </w:p>
        </w:tc>
        <w:tc>
          <w:tcPr>
            <w:tcW w:w="1784" w:type="dxa"/>
            <w:shd w:val="clear" w:color="auto" w:fill="auto"/>
            <w:tcMar>
              <w:top w:w="0" w:type="dxa"/>
              <w:left w:w="108" w:type="dxa"/>
              <w:bottom w:w="0" w:type="dxa"/>
              <w:right w:w="108" w:type="dxa"/>
            </w:tcMar>
            <w:vAlign w:val="bottom"/>
          </w:tcPr>
          <w:p w14:paraId="14D3E52D"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0.480723</w:t>
            </w:r>
          </w:p>
        </w:tc>
        <w:tc>
          <w:tcPr>
            <w:tcW w:w="1765" w:type="dxa"/>
            <w:shd w:val="clear" w:color="auto" w:fill="auto"/>
            <w:tcMar>
              <w:top w:w="0" w:type="dxa"/>
              <w:left w:w="108" w:type="dxa"/>
              <w:bottom w:w="0" w:type="dxa"/>
              <w:right w:w="108" w:type="dxa"/>
            </w:tcMar>
            <w:vAlign w:val="bottom"/>
          </w:tcPr>
          <w:p w14:paraId="200BB4CF"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0.210512</w:t>
            </w:r>
          </w:p>
        </w:tc>
        <w:tc>
          <w:tcPr>
            <w:tcW w:w="1728" w:type="dxa"/>
            <w:shd w:val="clear" w:color="auto" w:fill="auto"/>
            <w:tcMar>
              <w:top w:w="0" w:type="dxa"/>
              <w:left w:w="108" w:type="dxa"/>
              <w:bottom w:w="0" w:type="dxa"/>
              <w:right w:w="108" w:type="dxa"/>
            </w:tcMar>
            <w:vAlign w:val="bottom"/>
          </w:tcPr>
          <w:p w14:paraId="7C242B48"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2.283593</w:t>
            </w:r>
          </w:p>
        </w:tc>
        <w:tc>
          <w:tcPr>
            <w:tcW w:w="1251" w:type="dxa"/>
            <w:shd w:val="clear" w:color="auto" w:fill="auto"/>
            <w:tcMar>
              <w:top w:w="0" w:type="dxa"/>
              <w:left w:w="108" w:type="dxa"/>
              <w:bottom w:w="0" w:type="dxa"/>
              <w:right w:w="108" w:type="dxa"/>
            </w:tcMar>
            <w:vAlign w:val="bottom"/>
          </w:tcPr>
          <w:p w14:paraId="129D714E"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0.0364</w:t>
            </w:r>
          </w:p>
        </w:tc>
      </w:tr>
      <w:tr w:rsidR="003B18E9" w:rsidRPr="00886270" w14:paraId="6DEF8FF4" w14:textId="77777777" w:rsidTr="00556A80">
        <w:trPr>
          <w:trHeight w:val="310"/>
        </w:trPr>
        <w:tc>
          <w:tcPr>
            <w:tcW w:w="2498" w:type="dxa"/>
            <w:shd w:val="clear" w:color="auto" w:fill="auto"/>
            <w:tcMar>
              <w:top w:w="0" w:type="dxa"/>
              <w:left w:w="108" w:type="dxa"/>
              <w:bottom w:w="0" w:type="dxa"/>
              <w:right w:w="108" w:type="dxa"/>
            </w:tcMar>
            <w:vAlign w:val="bottom"/>
          </w:tcPr>
          <w:p w14:paraId="3B03EA64" w14:textId="77777777" w:rsidR="003B18E9" w:rsidRPr="00886270" w:rsidRDefault="003B18E9" w:rsidP="00886270">
            <w:pPr>
              <w:spacing w:after="0" w:line="360" w:lineRule="auto"/>
              <w:jc w:val="center"/>
              <w:rPr>
                <w:sz w:val="22"/>
                <w:szCs w:val="22"/>
              </w:rPr>
            </w:pPr>
            <w:proofErr w:type="gramStart"/>
            <w:r w:rsidRPr="00886270">
              <w:rPr>
                <w:rFonts w:ascii="Aptos Narrow" w:hAnsi="Aptos Narrow"/>
                <w:color w:val="000000"/>
                <w:sz w:val="22"/>
                <w:szCs w:val="22"/>
              </w:rPr>
              <w:t>D(</w:t>
            </w:r>
            <w:proofErr w:type="gramEnd"/>
            <w:r w:rsidRPr="00886270">
              <w:rPr>
                <w:rFonts w:ascii="Aptos Narrow" w:hAnsi="Aptos Narrow"/>
                <w:color w:val="000000"/>
                <w:sz w:val="22"/>
                <w:szCs w:val="22"/>
              </w:rPr>
              <w:t>LPMSC (-3))</w:t>
            </w:r>
          </w:p>
        </w:tc>
        <w:tc>
          <w:tcPr>
            <w:tcW w:w="1784" w:type="dxa"/>
            <w:shd w:val="clear" w:color="auto" w:fill="auto"/>
            <w:tcMar>
              <w:top w:w="0" w:type="dxa"/>
              <w:left w:w="108" w:type="dxa"/>
              <w:bottom w:w="0" w:type="dxa"/>
              <w:right w:w="108" w:type="dxa"/>
            </w:tcMar>
            <w:vAlign w:val="bottom"/>
          </w:tcPr>
          <w:p w14:paraId="2043C9C8"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0.69201</w:t>
            </w:r>
          </w:p>
        </w:tc>
        <w:tc>
          <w:tcPr>
            <w:tcW w:w="1765" w:type="dxa"/>
            <w:shd w:val="clear" w:color="auto" w:fill="auto"/>
            <w:tcMar>
              <w:top w:w="0" w:type="dxa"/>
              <w:left w:w="108" w:type="dxa"/>
              <w:bottom w:w="0" w:type="dxa"/>
              <w:right w:w="108" w:type="dxa"/>
            </w:tcMar>
            <w:vAlign w:val="bottom"/>
          </w:tcPr>
          <w:p w14:paraId="63A0D41F"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0.236857</w:t>
            </w:r>
          </w:p>
        </w:tc>
        <w:tc>
          <w:tcPr>
            <w:tcW w:w="1728" w:type="dxa"/>
            <w:shd w:val="clear" w:color="auto" w:fill="auto"/>
            <w:tcMar>
              <w:top w:w="0" w:type="dxa"/>
              <w:left w:w="108" w:type="dxa"/>
              <w:bottom w:w="0" w:type="dxa"/>
              <w:right w:w="108" w:type="dxa"/>
            </w:tcMar>
            <w:vAlign w:val="bottom"/>
          </w:tcPr>
          <w:p w14:paraId="2BF69AA1"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2.921643</w:t>
            </w:r>
          </w:p>
        </w:tc>
        <w:tc>
          <w:tcPr>
            <w:tcW w:w="1251" w:type="dxa"/>
            <w:shd w:val="clear" w:color="auto" w:fill="auto"/>
            <w:tcMar>
              <w:top w:w="0" w:type="dxa"/>
              <w:left w:w="108" w:type="dxa"/>
              <w:bottom w:w="0" w:type="dxa"/>
              <w:right w:w="108" w:type="dxa"/>
            </w:tcMar>
            <w:vAlign w:val="bottom"/>
          </w:tcPr>
          <w:p w14:paraId="2E96E583"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0.01</w:t>
            </w:r>
          </w:p>
        </w:tc>
      </w:tr>
      <w:tr w:rsidR="003B18E9" w:rsidRPr="00886270" w14:paraId="3BEEB308" w14:textId="77777777" w:rsidTr="00556A80">
        <w:trPr>
          <w:trHeight w:val="310"/>
        </w:trPr>
        <w:tc>
          <w:tcPr>
            <w:tcW w:w="2498" w:type="dxa"/>
            <w:shd w:val="clear" w:color="auto" w:fill="auto"/>
            <w:tcMar>
              <w:top w:w="0" w:type="dxa"/>
              <w:left w:w="108" w:type="dxa"/>
              <w:bottom w:w="0" w:type="dxa"/>
              <w:right w:w="108" w:type="dxa"/>
            </w:tcMar>
            <w:vAlign w:val="bottom"/>
          </w:tcPr>
          <w:p w14:paraId="1A727AC7" w14:textId="77777777" w:rsidR="003B18E9" w:rsidRPr="00886270" w:rsidRDefault="003B18E9" w:rsidP="00886270">
            <w:pPr>
              <w:spacing w:after="0" w:line="360" w:lineRule="auto"/>
              <w:jc w:val="center"/>
              <w:rPr>
                <w:sz w:val="22"/>
                <w:szCs w:val="22"/>
              </w:rPr>
            </w:pPr>
            <w:proofErr w:type="gramStart"/>
            <w:r w:rsidRPr="00886270">
              <w:rPr>
                <w:rFonts w:ascii="Aptos Narrow" w:hAnsi="Aptos Narrow"/>
                <w:color w:val="000000"/>
                <w:sz w:val="22"/>
                <w:szCs w:val="22"/>
              </w:rPr>
              <w:t>D(</w:t>
            </w:r>
            <w:proofErr w:type="gramEnd"/>
            <w:r w:rsidRPr="00886270">
              <w:rPr>
                <w:rFonts w:ascii="Aptos Narrow" w:hAnsi="Aptos Narrow"/>
                <w:color w:val="000000"/>
                <w:sz w:val="22"/>
                <w:szCs w:val="22"/>
              </w:rPr>
              <w:t>POPG (-3))</w:t>
            </w:r>
          </w:p>
        </w:tc>
        <w:tc>
          <w:tcPr>
            <w:tcW w:w="1784" w:type="dxa"/>
            <w:shd w:val="clear" w:color="auto" w:fill="auto"/>
            <w:tcMar>
              <w:top w:w="0" w:type="dxa"/>
              <w:left w:w="108" w:type="dxa"/>
              <w:bottom w:w="0" w:type="dxa"/>
              <w:right w:w="108" w:type="dxa"/>
            </w:tcMar>
            <w:vAlign w:val="bottom"/>
          </w:tcPr>
          <w:p w14:paraId="34DCF6F1"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1.247562</w:t>
            </w:r>
          </w:p>
        </w:tc>
        <w:tc>
          <w:tcPr>
            <w:tcW w:w="1765" w:type="dxa"/>
            <w:shd w:val="clear" w:color="auto" w:fill="auto"/>
            <w:tcMar>
              <w:top w:w="0" w:type="dxa"/>
              <w:left w:w="108" w:type="dxa"/>
              <w:bottom w:w="0" w:type="dxa"/>
              <w:right w:w="108" w:type="dxa"/>
            </w:tcMar>
            <w:vAlign w:val="bottom"/>
          </w:tcPr>
          <w:p w14:paraId="1BFA3C71"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0.498127</w:t>
            </w:r>
          </w:p>
        </w:tc>
        <w:tc>
          <w:tcPr>
            <w:tcW w:w="1728" w:type="dxa"/>
            <w:shd w:val="clear" w:color="auto" w:fill="auto"/>
            <w:tcMar>
              <w:top w:w="0" w:type="dxa"/>
              <w:left w:w="108" w:type="dxa"/>
              <w:bottom w:w="0" w:type="dxa"/>
              <w:right w:w="108" w:type="dxa"/>
            </w:tcMar>
            <w:vAlign w:val="bottom"/>
          </w:tcPr>
          <w:p w14:paraId="69ED7A10"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2.504507</w:t>
            </w:r>
          </w:p>
        </w:tc>
        <w:tc>
          <w:tcPr>
            <w:tcW w:w="1251" w:type="dxa"/>
            <w:shd w:val="clear" w:color="auto" w:fill="auto"/>
            <w:tcMar>
              <w:top w:w="0" w:type="dxa"/>
              <w:left w:w="108" w:type="dxa"/>
              <w:bottom w:w="0" w:type="dxa"/>
              <w:right w:w="108" w:type="dxa"/>
            </w:tcMar>
            <w:vAlign w:val="bottom"/>
          </w:tcPr>
          <w:p w14:paraId="5670AECC"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0.0235</w:t>
            </w:r>
          </w:p>
        </w:tc>
      </w:tr>
      <w:tr w:rsidR="003B18E9" w:rsidRPr="00886270" w14:paraId="4F706C57" w14:textId="77777777" w:rsidTr="00556A80">
        <w:trPr>
          <w:trHeight w:val="310"/>
        </w:trPr>
        <w:tc>
          <w:tcPr>
            <w:tcW w:w="2498" w:type="dxa"/>
            <w:tcBorders>
              <w:bottom w:val="single" w:sz="4" w:space="0" w:color="000000"/>
            </w:tcBorders>
            <w:shd w:val="clear" w:color="auto" w:fill="auto"/>
            <w:tcMar>
              <w:top w:w="0" w:type="dxa"/>
              <w:left w:w="108" w:type="dxa"/>
              <w:bottom w:w="0" w:type="dxa"/>
              <w:right w:w="108" w:type="dxa"/>
            </w:tcMar>
            <w:vAlign w:val="bottom"/>
          </w:tcPr>
          <w:p w14:paraId="4F571B76" w14:textId="77777777" w:rsidR="003B18E9" w:rsidRPr="00886270" w:rsidRDefault="003B18E9" w:rsidP="00886270">
            <w:pPr>
              <w:spacing w:after="0" w:line="360" w:lineRule="auto"/>
              <w:jc w:val="center"/>
              <w:rPr>
                <w:sz w:val="22"/>
                <w:szCs w:val="22"/>
              </w:rPr>
            </w:pPr>
            <w:proofErr w:type="gramStart"/>
            <w:r w:rsidRPr="00886270">
              <w:rPr>
                <w:rFonts w:ascii="Aptos Narrow" w:hAnsi="Aptos Narrow"/>
                <w:color w:val="000000"/>
                <w:sz w:val="22"/>
                <w:szCs w:val="22"/>
              </w:rPr>
              <w:t>D(</w:t>
            </w:r>
            <w:proofErr w:type="gramEnd"/>
            <w:r w:rsidRPr="00886270">
              <w:rPr>
                <w:rFonts w:ascii="Aptos Narrow" w:hAnsi="Aptos Narrow"/>
                <w:color w:val="000000"/>
                <w:sz w:val="22"/>
                <w:szCs w:val="22"/>
              </w:rPr>
              <w:t>LREC (-2))</w:t>
            </w:r>
          </w:p>
        </w:tc>
        <w:tc>
          <w:tcPr>
            <w:tcW w:w="1784" w:type="dxa"/>
            <w:tcBorders>
              <w:bottom w:val="single" w:sz="4" w:space="0" w:color="000000"/>
            </w:tcBorders>
            <w:shd w:val="clear" w:color="auto" w:fill="auto"/>
            <w:tcMar>
              <w:top w:w="0" w:type="dxa"/>
              <w:left w:w="108" w:type="dxa"/>
              <w:bottom w:w="0" w:type="dxa"/>
              <w:right w:w="108" w:type="dxa"/>
            </w:tcMar>
            <w:vAlign w:val="bottom"/>
          </w:tcPr>
          <w:p w14:paraId="5BC56ABD"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-0.433826</w:t>
            </w:r>
          </w:p>
        </w:tc>
        <w:tc>
          <w:tcPr>
            <w:tcW w:w="1765" w:type="dxa"/>
            <w:tcBorders>
              <w:bottom w:val="single" w:sz="4" w:space="0" w:color="000000"/>
            </w:tcBorders>
            <w:shd w:val="clear" w:color="auto" w:fill="auto"/>
            <w:tcMar>
              <w:top w:w="0" w:type="dxa"/>
              <w:left w:w="108" w:type="dxa"/>
              <w:bottom w:w="0" w:type="dxa"/>
              <w:right w:w="108" w:type="dxa"/>
            </w:tcMar>
            <w:vAlign w:val="bottom"/>
          </w:tcPr>
          <w:p w14:paraId="3F9CAB94"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0.19645</w:t>
            </w:r>
          </w:p>
        </w:tc>
        <w:tc>
          <w:tcPr>
            <w:tcW w:w="1728" w:type="dxa"/>
            <w:tcBorders>
              <w:bottom w:val="single" w:sz="4" w:space="0" w:color="000000"/>
            </w:tcBorders>
            <w:shd w:val="clear" w:color="auto" w:fill="auto"/>
            <w:tcMar>
              <w:top w:w="0" w:type="dxa"/>
              <w:left w:w="108" w:type="dxa"/>
              <w:bottom w:w="0" w:type="dxa"/>
              <w:right w:w="108" w:type="dxa"/>
            </w:tcMar>
            <w:vAlign w:val="bottom"/>
          </w:tcPr>
          <w:p w14:paraId="786F1B36"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-2.208327</w:t>
            </w:r>
          </w:p>
        </w:tc>
        <w:tc>
          <w:tcPr>
            <w:tcW w:w="1251" w:type="dxa"/>
            <w:tcBorders>
              <w:bottom w:val="single" w:sz="4" w:space="0" w:color="000000"/>
            </w:tcBorders>
            <w:shd w:val="clear" w:color="auto" w:fill="auto"/>
            <w:tcMar>
              <w:top w:w="0" w:type="dxa"/>
              <w:left w:w="108" w:type="dxa"/>
              <w:bottom w:w="0" w:type="dxa"/>
              <w:right w:w="108" w:type="dxa"/>
            </w:tcMar>
            <w:vAlign w:val="bottom"/>
          </w:tcPr>
          <w:p w14:paraId="5973EDA3" w14:textId="77777777" w:rsidR="003B18E9" w:rsidRPr="00886270" w:rsidRDefault="003B18E9" w:rsidP="00886270">
            <w:pPr>
              <w:spacing w:after="0" w:line="360" w:lineRule="auto"/>
              <w:jc w:val="right"/>
              <w:rPr>
                <w:sz w:val="22"/>
                <w:szCs w:val="22"/>
              </w:rPr>
            </w:pPr>
            <w:r w:rsidRPr="00886270">
              <w:rPr>
                <w:rFonts w:ascii="Aptos Narrow" w:hAnsi="Aptos Narrow"/>
                <w:color w:val="000000"/>
                <w:sz w:val="22"/>
                <w:szCs w:val="22"/>
              </w:rPr>
              <w:t>0.0422</w:t>
            </w:r>
          </w:p>
        </w:tc>
      </w:tr>
    </w:tbl>
    <w:p w14:paraId="50C78ACA" w14:textId="77777777" w:rsidR="00D66679" w:rsidRPr="00CB2EEF" w:rsidRDefault="00D66679" w:rsidP="00D66679">
      <w:pPr>
        <w:spacing w:line="360" w:lineRule="auto"/>
        <w:rPr>
          <w:b/>
          <w:bCs/>
          <w:sz w:val="22"/>
          <w:szCs w:val="22"/>
        </w:rPr>
      </w:pPr>
      <w:r w:rsidRPr="00CB2EEF">
        <w:rPr>
          <w:b/>
          <w:bCs/>
          <w:sz w:val="22"/>
          <w:szCs w:val="22"/>
        </w:rPr>
        <w:t>Source: Researcher’s computation</w:t>
      </w:r>
    </w:p>
    <w:p w14:paraId="26F9358D" w14:textId="77777777" w:rsidR="003B18E9" w:rsidRPr="00886270" w:rsidRDefault="003B18E9" w:rsidP="00886270">
      <w:pPr>
        <w:spacing w:line="360" w:lineRule="auto"/>
        <w:rPr>
          <w:rFonts w:ascii="Times New Roman" w:eastAsia="Times New Roman" w:hAnsi="Times New Roman" w:cs="Times New Roman"/>
          <w:bCs/>
          <w:color w:val="000000"/>
          <w:sz w:val="22"/>
          <w:szCs w:val="22"/>
        </w:rPr>
      </w:pPr>
    </w:p>
    <w:p w14:paraId="418823EF" w14:textId="77777777" w:rsidR="003B18E9" w:rsidRPr="00886270" w:rsidRDefault="003B18E9" w:rsidP="00886270">
      <w:pPr>
        <w:spacing w:line="360" w:lineRule="auto"/>
        <w:rPr>
          <w:rFonts w:ascii="Times New Roman" w:eastAsia="Times New Roman" w:hAnsi="Times New Roman" w:cs="Times New Roman"/>
          <w:bCs/>
          <w:color w:val="000000"/>
          <w:sz w:val="22"/>
          <w:szCs w:val="22"/>
        </w:rPr>
      </w:pPr>
    </w:p>
    <w:p w14:paraId="1ED76D21" w14:textId="77777777" w:rsidR="003B18E9" w:rsidRPr="00886270" w:rsidRDefault="003B18E9" w:rsidP="00886270">
      <w:pPr>
        <w:spacing w:after="0" w:line="360" w:lineRule="auto"/>
        <w:jc w:val="both"/>
        <w:rPr>
          <w:sz w:val="22"/>
          <w:szCs w:val="22"/>
        </w:rPr>
      </w:pPr>
      <w:r w:rsidRPr="00886270">
        <w:rPr>
          <w:rFonts w:ascii="Times New Roman" w:eastAsia="Times New Roman" w:hAnsi="Times New Roman" w:cs="Times New Roman"/>
          <w:bCs/>
          <w:color w:val="000000"/>
          <w:sz w:val="22"/>
          <w:szCs w:val="22"/>
        </w:rPr>
        <w:lastRenderedPageBreak/>
        <w:t>The analysis in Tables 4 and 5 reveals a statistically significant relationship between Premium Motor Spirit consumption, population growth, and CO2 emissions. Specifically, a unit increase in PMS consumption and population growth is associated with a rise in CO2 emissions in the short term. Conversely, a unit increase in renewable energy consumption tends to reduce CO2 emissions by 4.3% in Nigeria during the same period.</w:t>
      </w:r>
    </w:p>
    <w:p w14:paraId="2785F77C" w14:textId="0BCFD8B6" w:rsidR="003B18E9" w:rsidRPr="00D66679" w:rsidRDefault="003B18E9" w:rsidP="00886270">
      <w:pPr>
        <w:spacing w:line="360" w:lineRule="auto"/>
        <w:jc w:val="both"/>
        <w:rPr>
          <w:b/>
          <w:sz w:val="22"/>
          <w:szCs w:val="22"/>
        </w:rPr>
      </w:pPr>
      <w:r w:rsidRPr="00D66679">
        <w:rPr>
          <w:rFonts w:ascii="Times New Roman" w:eastAsia="Times New Roman" w:hAnsi="Times New Roman" w:cs="Times New Roman"/>
          <w:b/>
          <w:color w:val="000000"/>
          <w:sz w:val="22"/>
          <w:szCs w:val="22"/>
        </w:rPr>
        <w:t>Table 5: ARDL Error Correction Re</w:t>
      </w:r>
      <w:r w:rsidR="00D66679">
        <w:rPr>
          <w:rFonts w:ascii="Times New Roman" w:eastAsia="Times New Roman" w:hAnsi="Times New Roman" w:cs="Times New Roman"/>
          <w:b/>
          <w:color w:val="000000"/>
          <w:sz w:val="22"/>
          <w:szCs w:val="22"/>
        </w:rPr>
        <w:t>sult</w:t>
      </w:r>
      <w:r w:rsidRPr="00D66679">
        <w:rPr>
          <w:rFonts w:ascii="Times New Roman" w:eastAsia="Times New Roman" w:hAnsi="Times New Roman" w:cs="Times New Roman"/>
          <w:b/>
          <w:color w:val="000000"/>
          <w:sz w:val="22"/>
          <w:szCs w:val="22"/>
        </w:rPr>
        <w:t xml:space="preserve"> (</w:t>
      </w:r>
      <w:r w:rsidRPr="00D66679">
        <w:rPr>
          <w:rFonts w:ascii="Times New Roman" w:hAnsi="Times New Roman" w:cs="Times New Roman"/>
          <w:b/>
          <w:color w:val="000000"/>
          <w:sz w:val="22"/>
          <w:szCs w:val="22"/>
        </w:rPr>
        <w:t>4, 4, 4, 4</w:t>
      </w:r>
      <w:r w:rsidRPr="00D66679">
        <w:rPr>
          <w:rFonts w:ascii="Times New Roman" w:eastAsia="Times New Roman" w:hAnsi="Times New Roman" w:cs="Times New Roman"/>
          <w:b/>
          <w:color w:val="000000"/>
          <w:sz w:val="22"/>
          <w:szCs w:val="22"/>
        </w:rPr>
        <w:t xml:space="preserve">) based on SIC. </w:t>
      </w:r>
    </w:p>
    <w:tbl>
      <w:tblPr>
        <w:tblW w:w="5000" w:type="pct"/>
        <w:tblCellMar>
          <w:left w:w="10" w:type="dxa"/>
          <w:right w:w="10" w:type="dxa"/>
        </w:tblCellMar>
        <w:tblLook w:val="0000" w:firstRow="0" w:lastRow="0" w:firstColumn="0" w:lastColumn="0" w:noHBand="0" w:noVBand="0"/>
      </w:tblPr>
      <w:tblGrid>
        <w:gridCol w:w="2498"/>
        <w:gridCol w:w="1784"/>
        <w:gridCol w:w="1765"/>
        <w:gridCol w:w="1728"/>
        <w:gridCol w:w="1251"/>
      </w:tblGrid>
      <w:tr w:rsidR="003B18E9" w:rsidRPr="00886270" w14:paraId="4CE00C39" w14:textId="77777777" w:rsidTr="00556A80">
        <w:trPr>
          <w:trHeight w:val="310"/>
        </w:trPr>
        <w:tc>
          <w:tcPr>
            <w:tcW w:w="249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3955364" w14:textId="77777777" w:rsidR="003B18E9" w:rsidRPr="00886270" w:rsidRDefault="003B18E9" w:rsidP="00886270">
            <w:pPr>
              <w:spacing w:after="0" w:line="360" w:lineRule="auto"/>
              <w:jc w:val="center"/>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Variable</w:t>
            </w:r>
          </w:p>
        </w:tc>
        <w:tc>
          <w:tcPr>
            <w:tcW w:w="178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2AD18AB"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Coefficient</w:t>
            </w:r>
          </w:p>
        </w:tc>
        <w:tc>
          <w:tcPr>
            <w:tcW w:w="176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5981CD4"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Std. Error</w:t>
            </w:r>
          </w:p>
        </w:tc>
        <w:tc>
          <w:tcPr>
            <w:tcW w:w="172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796E083"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t-Statistic</w:t>
            </w:r>
          </w:p>
        </w:tc>
        <w:tc>
          <w:tcPr>
            <w:tcW w:w="125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22FBFDC"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Prob.   </w:t>
            </w:r>
          </w:p>
        </w:tc>
      </w:tr>
      <w:tr w:rsidR="003B18E9" w:rsidRPr="00886270" w14:paraId="0B0B8BBB" w14:textId="77777777" w:rsidTr="00556A80">
        <w:trPr>
          <w:trHeight w:val="310"/>
        </w:trPr>
        <w:tc>
          <w:tcPr>
            <w:tcW w:w="2498" w:type="dxa"/>
            <w:tcBorders>
              <w:top w:val="single" w:sz="4" w:space="0" w:color="000000"/>
            </w:tcBorders>
            <w:shd w:val="clear" w:color="auto" w:fill="auto"/>
            <w:tcMar>
              <w:top w:w="0" w:type="dxa"/>
              <w:left w:w="108" w:type="dxa"/>
              <w:bottom w:w="0" w:type="dxa"/>
              <w:right w:w="108" w:type="dxa"/>
            </w:tcMar>
            <w:vAlign w:val="bottom"/>
          </w:tcPr>
          <w:p w14:paraId="4A41D47A" w14:textId="77777777" w:rsidR="003B18E9" w:rsidRPr="00886270" w:rsidRDefault="003B18E9" w:rsidP="00886270">
            <w:pPr>
              <w:spacing w:after="0" w:line="360" w:lineRule="auto"/>
              <w:jc w:val="center"/>
              <w:rPr>
                <w:sz w:val="22"/>
                <w:szCs w:val="22"/>
              </w:rPr>
            </w:pPr>
            <w:r w:rsidRPr="00886270">
              <w:rPr>
                <w:rFonts w:ascii="Calibri" w:eastAsia="Times New Roman" w:hAnsi="Calibri" w:cs="Calibri"/>
                <w:color w:val="000000"/>
                <w:kern w:val="0"/>
                <w:sz w:val="22"/>
                <w:szCs w:val="22"/>
              </w:rPr>
              <w:t>D(LCO2</w:t>
            </w:r>
            <w:proofErr w:type="gramStart"/>
            <w:r w:rsidRPr="00886270">
              <w:rPr>
                <w:rFonts w:ascii="Calibri" w:eastAsia="Times New Roman" w:hAnsi="Calibri" w:cs="Calibri"/>
                <w:color w:val="000000"/>
                <w:kern w:val="0"/>
                <w:sz w:val="22"/>
                <w:szCs w:val="22"/>
              </w:rPr>
              <w:t>E(</w:t>
            </w:r>
            <w:proofErr w:type="gramEnd"/>
            <w:r w:rsidRPr="00886270">
              <w:rPr>
                <w:rFonts w:ascii="Calibri" w:eastAsia="Times New Roman" w:hAnsi="Calibri" w:cs="Calibri"/>
                <w:color w:val="000000"/>
                <w:kern w:val="0"/>
                <w:sz w:val="22"/>
                <w:szCs w:val="22"/>
              </w:rPr>
              <w:t>-2))</w:t>
            </w:r>
          </w:p>
        </w:tc>
        <w:tc>
          <w:tcPr>
            <w:tcW w:w="1784" w:type="dxa"/>
            <w:tcBorders>
              <w:top w:val="single" w:sz="4" w:space="0" w:color="000000"/>
            </w:tcBorders>
            <w:shd w:val="clear" w:color="auto" w:fill="auto"/>
            <w:tcMar>
              <w:top w:w="0" w:type="dxa"/>
              <w:left w:w="108" w:type="dxa"/>
              <w:bottom w:w="0" w:type="dxa"/>
              <w:right w:w="108" w:type="dxa"/>
            </w:tcMar>
            <w:vAlign w:val="bottom"/>
          </w:tcPr>
          <w:p w14:paraId="5A812A21"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0.519729</w:t>
            </w:r>
          </w:p>
        </w:tc>
        <w:tc>
          <w:tcPr>
            <w:tcW w:w="1765" w:type="dxa"/>
            <w:tcBorders>
              <w:top w:val="single" w:sz="4" w:space="0" w:color="000000"/>
            </w:tcBorders>
            <w:shd w:val="clear" w:color="auto" w:fill="auto"/>
            <w:tcMar>
              <w:top w:w="0" w:type="dxa"/>
              <w:left w:w="108" w:type="dxa"/>
              <w:bottom w:w="0" w:type="dxa"/>
              <w:right w:w="108" w:type="dxa"/>
            </w:tcMar>
            <w:vAlign w:val="bottom"/>
          </w:tcPr>
          <w:p w14:paraId="283A1DB7"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0.14336</w:t>
            </w:r>
          </w:p>
        </w:tc>
        <w:tc>
          <w:tcPr>
            <w:tcW w:w="1728" w:type="dxa"/>
            <w:tcBorders>
              <w:top w:val="single" w:sz="4" w:space="0" w:color="000000"/>
            </w:tcBorders>
            <w:shd w:val="clear" w:color="auto" w:fill="auto"/>
            <w:tcMar>
              <w:top w:w="0" w:type="dxa"/>
              <w:left w:w="108" w:type="dxa"/>
              <w:bottom w:w="0" w:type="dxa"/>
              <w:right w:w="108" w:type="dxa"/>
            </w:tcMar>
            <w:vAlign w:val="bottom"/>
          </w:tcPr>
          <w:p w14:paraId="5892B445"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3.625357</w:t>
            </w:r>
          </w:p>
        </w:tc>
        <w:tc>
          <w:tcPr>
            <w:tcW w:w="1251" w:type="dxa"/>
            <w:tcBorders>
              <w:top w:val="single" w:sz="4" w:space="0" w:color="000000"/>
            </w:tcBorders>
            <w:shd w:val="clear" w:color="auto" w:fill="auto"/>
            <w:tcMar>
              <w:top w:w="0" w:type="dxa"/>
              <w:left w:w="108" w:type="dxa"/>
              <w:bottom w:w="0" w:type="dxa"/>
              <w:right w:w="108" w:type="dxa"/>
            </w:tcMar>
            <w:vAlign w:val="bottom"/>
          </w:tcPr>
          <w:p w14:paraId="0F1A9D27"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0.0023</w:t>
            </w:r>
          </w:p>
        </w:tc>
      </w:tr>
      <w:tr w:rsidR="003B18E9" w:rsidRPr="00886270" w14:paraId="1614B3DF" w14:textId="77777777" w:rsidTr="00556A80">
        <w:trPr>
          <w:trHeight w:val="310"/>
        </w:trPr>
        <w:tc>
          <w:tcPr>
            <w:tcW w:w="2498" w:type="dxa"/>
            <w:shd w:val="clear" w:color="auto" w:fill="auto"/>
            <w:tcMar>
              <w:top w:w="0" w:type="dxa"/>
              <w:left w:w="108" w:type="dxa"/>
              <w:bottom w:w="0" w:type="dxa"/>
              <w:right w:w="108" w:type="dxa"/>
            </w:tcMar>
            <w:vAlign w:val="bottom"/>
          </w:tcPr>
          <w:p w14:paraId="54FC3F01" w14:textId="77777777" w:rsidR="003B18E9" w:rsidRPr="00886270" w:rsidRDefault="003B18E9" w:rsidP="00886270">
            <w:pPr>
              <w:spacing w:after="0" w:line="360" w:lineRule="auto"/>
              <w:jc w:val="center"/>
              <w:rPr>
                <w:sz w:val="22"/>
                <w:szCs w:val="22"/>
              </w:rPr>
            </w:pPr>
            <w:r w:rsidRPr="00886270">
              <w:rPr>
                <w:rFonts w:ascii="Calibri" w:eastAsia="Times New Roman" w:hAnsi="Calibri" w:cs="Calibri"/>
                <w:color w:val="000000"/>
                <w:kern w:val="0"/>
                <w:sz w:val="22"/>
                <w:szCs w:val="22"/>
              </w:rPr>
              <w:t>D(LCO2</w:t>
            </w:r>
            <w:proofErr w:type="gramStart"/>
            <w:r w:rsidRPr="00886270">
              <w:rPr>
                <w:rFonts w:ascii="Calibri" w:eastAsia="Times New Roman" w:hAnsi="Calibri" w:cs="Calibri"/>
                <w:color w:val="000000"/>
                <w:kern w:val="0"/>
                <w:sz w:val="22"/>
                <w:szCs w:val="22"/>
              </w:rPr>
              <w:t>E(</w:t>
            </w:r>
            <w:proofErr w:type="gramEnd"/>
            <w:r w:rsidRPr="00886270">
              <w:rPr>
                <w:rFonts w:ascii="Calibri" w:eastAsia="Times New Roman" w:hAnsi="Calibri" w:cs="Calibri"/>
                <w:color w:val="000000"/>
                <w:kern w:val="0"/>
                <w:sz w:val="22"/>
                <w:szCs w:val="22"/>
              </w:rPr>
              <w:t>-3))</w:t>
            </w:r>
          </w:p>
        </w:tc>
        <w:tc>
          <w:tcPr>
            <w:tcW w:w="1784" w:type="dxa"/>
            <w:shd w:val="clear" w:color="auto" w:fill="auto"/>
            <w:tcMar>
              <w:top w:w="0" w:type="dxa"/>
              <w:left w:w="108" w:type="dxa"/>
              <w:bottom w:w="0" w:type="dxa"/>
              <w:right w:w="108" w:type="dxa"/>
            </w:tcMar>
            <w:vAlign w:val="bottom"/>
          </w:tcPr>
          <w:p w14:paraId="6C09DA6F"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0.398984</w:t>
            </w:r>
          </w:p>
        </w:tc>
        <w:tc>
          <w:tcPr>
            <w:tcW w:w="1765" w:type="dxa"/>
            <w:shd w:val="clear" w:color="auto" w:fill="auto"/>
            <w:tcMar>
              <w:top w:w="0" w:type="dxa"/>
              <w:left w:w="108" w:type="dxa"/>
              <w:bottom w:w="0" w:type="dxa"/>
              <w:right w:w="108" w:type="dxa"/>
            </w:tcMar>
            <w:vAlign w:val="bottom"/>
          </w:tcPr>
          <w:p w14:paraId="510DC2B1"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0.152819</w:t>
            </w:r>
          </w:p>
        </w:tc>
        <w:tc>
          <w:tcPr>
            <w:tcW w:w="1728" w:type="dxa"/>
            <w:shd w:val="clear" w:color="auto" w:fill="auto"/>
            <w:tcMar>
              <w:top w:w="0" w:type="dxa"/>
              <w:left w:w="108" w:type="dxa"/>
              <w:bottom w:w="0" w:type="dxa"/>
              <w:right w:w="108" w:type="dxa"/>
            </w:tcMar>
            <w:vAlign w:val="bottom"/>
          </w:tcPr>
          <w:p w14:paraId="17F2EF92"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2.610827</w:t>
            </w:r>
          </w:p>
        </w:tc>
        <w:tc>
          <w:tcPr>
            <w:tcW w:w="1251" w:type="dxa"/>
            <w:shd w:val="clear" w:color="auto" w:fill="auto"/>
            <w:tcMar>
              <w:top w:w="0" w:type="dxa"/>
              <w:left w:w="108" w:type="dxa"/>
              <w:bottom w:w="0" w:type="dxa"/>
              <w:right w:w="108" w:type="dxa"/>
            </w:tcMar>
            <w:vAlign w:val="bottom"/>
          </w:tcPr>
          <w:p w14:paraId="5DDD83C3"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0.0189</w:t>
            </w:r>
          </w:p>
        </w:tc>
      </w:tr>
      <w:tr w:rsidR="003B18E9" w:rsidRPr="00886270" w14:paraId="51DA4B5B" w14:textId="77777777" w:rsidTr="00556A80">
        <w:trPr>
          <w:trHeight w:val="310"/>
        </w:trPr>
        <w:tc>
          <w:tcPr>
            <w:tcW w:w="2498" w:type="dxa"/>
            <w:shd w:val="clear" w:color="auto" w:fill="auto"/>
            <w:tcMar>
              <w:top w:w="0" w:type="dxa"/>
              <w:left w:w="108" w:type="dxa"/>
              <w:bottom w:w="0" w:type="dxa"/>
              <w:right w:w="108" w:type="dxa"/>
            </w:tcMar>
            <w:vAlign w:val="bottom"/>
          </w:tcPr>
          <w:p w14:paraId="3345384C" w14:textId="77777777" w:rsidR="003B18E9" w:rsidRPr="00886270" w:rsidRDefault="003B18E9" w:rsidP="00886270">
            <w:pPr>
              <w:spacing w:after="0" w:line="360" w:lineRule="auto"/>
              <w:jc w:val="center"/>
              <w:rPr>
                <w:sz w:val="22"/>
                <w:szCs w:val="22"/>
              </w:rPr>
            </w:pPr>
            <w:r w:rsidRPr="00886270">
              <w:rPr>
                <w:rFonts w:ascii="Calibri" w:eastAsia="Times New Roman" w:hAnsi="Calibri" w:cs="Calibri"/>
                <w:color w:val="000000"/>
                <w:kern w:val="0"/>
                <w:sz w:val="22"/>
                <w:szCs w:val="22"/>
              </w:rPr>
              <w:t>D(LPMSC)</w:t>
            </w:r>
          </w:p>
        </w:tc>
        <w:tc>
          <w:tcPr>
            <w:tcW w:w="1784" w:type="dxa"/>
            <w:shd w:val="clear" w:color="auto" w:fill="auto"/>
            <w:tcMar>
              <w:top w:w="0" w:type="dxa"/>
              <w:left w:w="108" w:type="dxa"/>
              <w:bottom w:w="0" w:type="dxa"/>
              <w:right w:w="108" w:type="dxa"/>
            </w:tcMar>
            <w:vAlign w:val="bottom"/>
          </w:tcPr>
          <w:p w14:paraId="018D7DA0"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0.480723</w:t>
            </w:r>
          </w:p>
        </w:tc>
        <w:tc>
          <w:tcPr>
            <w:tcW w:w="1765" w:type="dxa"/>
            <w:shd w:val="clear" w:color="auto" w:fill="auto"/>
            <w:tcMar>
              <w:top w:w="0" w:type="dxa"/>
              <w:left w:w="108" w:type="dxa"/>
              <w:bottom w:w="0" w:type="dxa"/>
              <w:right w:w="108" w:type="dxa"/>
            </w:tcMar>
            <w:vAlign w:val="bottom"/>
          </w:tcPr>
          <w:p w14:paraId="2C191794"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0.162944</w:t>
            </w:r>
          </w:p>
        </w:tc>
        <w:tc>
          <w:tcPr>
            <w:tcW w:w="1728" w:type="dxa"/>
            <w:shd w:val="clear" w:color="auto" w:fill="auto"/>
            <w:tcMar>
              <w:top w:w="0" w:type="dxa"/>
              <w:left w:w="108" w:type="dxa"/>
              <w:bottom w:w="0" w:type="dxa"/>
              <w:right w:w="108" w:type="dxa"/>
            </w:tcMar>
            <w:vAlign w:val="bottom"/>
          </w:tcPr>
          <w:p w14:paraId="59AA41F0"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2.950228</w:t>
            </w:r>
          </w:p>
        </w:tc>
        <w:tc>
          <w:tcPr>
            <w:tcW w:w="1251" w:type="dxa"/>
            <w:shd w:val="clear" w:color="auto" w:fill="auto"/>
            <w:tcMar>
              <w:top w:w="0" w:type="dxa"/>
              <w:left w:w="108" w:type="dxa"/>
              <w:bottom w:w="0" w:type="dxa"/>
              <w:right w:w="108" w:type="dxa"/>
            </w:tcMar>
            <w:vAlign w:val="bottom"/>
          </w:tcPr>
          <w:p w14:paraId="73B069DD"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0.0094</w:t>
            </w:r>
          </w:p>
        </w:tc>
      </w:tr>
      <w:tr w:rsidR="003B18E9" w:rsidRPr="00886270" w14:paraId="286CFFAC" w14:textId="77777777" w:rsidTr="00556A80">
        <w:trPr>
          <w:trHeight w:val="310"/>
        </w:trPr>
        <w:tc>
          <w:tcPr>
            <w:tcW w:w="2498" w:type="dxa"/>
            <w:shd w:val="clear" w:color="auto" w:fill="auto"/>
            <w:tcMar>
              <w:top w:w="0" w:type="dxa"/>
              <w:left w:w="108" w:type="dxa"/>
              <w:bottom w:w="0" w:type="dxa"/>
              <w:right w:w="108" w:type="dxa"/>
            </w:tcMar>
            <w:vAlign w:val="bottom"/>
          </w:tcPr>
          <w:p w14:paraId="3E89B681" w14:textId="77777777" w:rsidR="003B18E9" w:rsidRPr="00886270" w:rsidRDefault="003B18E9" w:rsidP="00886270">
            <w:pPr>
              <w:spacing w:after="0" w:line="360" w:lineRule="auto"/>
              <w:jc w:val="center"/>
              <w:rPr>
                <w:sz w:val="22"/>
                <w:szCs w:val="22"/>
              </w:rPr>
            </w:pPr>
            <w:r w:rsidRPr="00886270">
              <w:rPr>
                <w:rFonts w:ascii="Calibri" w:eastAsia="Times New Roman" w:hAnsi="Calibri" w:cs="Calibri"/>
                <w:color w:val="000000"/>
                <w:kern w:val="0"/>
                <w:sz w:val="22"/>
                <w:szCs w:val="22"/>
              </w:rPr>
              <w:t>D(</w:t>
            </w:r>
            <w:proofErr w:type="gramStart"/>
            <w:r w:rsidRPr="00886270">
              <w:rPr>
                <w:rFonts w:ascii="Calibri" w:eastAsia="Times New Roman" w:hAnsi="Calibri" w:cs="Calibri"/>
                <w:color w:val="000000"/>
                <w:kern w:val="0"/>
                <w:sz w:val="22"/>
                <w:szCs w:val="22"/>
              </w:rPr>
              <w:t>LPMSC(</w:t>
            </w:r>
            <w:proofErr w:type="gramEnd"/>
            <w:r w:rsidRPr="00886270">
              <w:rPr>
                <w:rFonts w:ascii="Calibri" w:eastAsia="Times New Roman" w:hAnsi="Calibri" w:cs="Calibri"/>
                <w:color w:val="000000"/>
                <w:kern w:val="0"/>
                <w:sz w:val="22"/>
                <w:szCs w:val="22"/>
              </w:rPr>
              <w:t>-3))</w:t>
            </w:r>
          </w:p>
        </w:tc>
        <w:tc>
          <w:tcPr>
            <w:tcW w:w="1784" w:type="dxa"/>
            <w:shd w:val="clear" w:color="auto" w:fill="auto"/>
            <w:tcMar>
              <w:top w:w="0" w:type="dxa"/>
              <w:left w:w="108" w:type="dxa"/>
              <w:bottom w:w="0" w:type="dxa"/>
              <w:right w:w="108" w:type="dxa"/>
            </w:tcMar>
            <w:vAlign w:val="bottom"/>
          </w:tcPr>
          <w:p w14:paraId="442B418A"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0.69201</w:t>
            </w:r>
          </w:p>
        </w:tc>
        <w:tc>
          <w:tcPr>
            <w:tcW w:w="1765" w:type="dxa"/>
            <w:shd w:val="clear" w:color="auto" w:fill="auto"/>
            <w:tcMar>
              <w:top w:w="0" w:type="dxa"/>
              <w:left w:w="108" w:type="dxa"/>
              <w:bottom w:w="0" w:type="dxa"/>
              <w:right w:w="108" w:type="dxa"/>
            </w:tcMar>
            <w:vAlign w:val="bottom"/>
          </w:tcPr>
          <w:p w14:paraId="4A7E1A55"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0.168023</w:t>
            </w:r>
          </w:p>
        </w:tc>
        <w:tc>
          <w:tcPr>
            <w:tcW w:w="1728" w:type="dxa"/>
            <w:shd w:val="clear" w:color="auto" w:fill="auto"/>
            <w:tcMar>
              <w:top w:w="0" w:type="dxa"/>
              <w:left w:w="108" w:type="dxa"/>
              <w:bottom w:w="0" w:type="dxa"/>
              <w:right w:w="108" w:type="dxa"/>
            </w:tcMar>
            <w:vAlign w:val="bottom"/>
          </w:tcPr>
          <w:p w14:paraId="62C5087E"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4.118548</w:t>
            </w:r>
          </w:p>
        </w:tc>
        <w:tc>
          <w:tcPr>
            <w:tcW w:w="1251" w:type="dxa"/>
            <w:shd w:val="clear" w:color="auto" w:fill="auto"/>
            <w:tcMar>
              <w:top w:w="0" w:type="dxa"/>
              <w:left w:w="108" w:type="dxa"/>
              <w:bottom w:w="0" w:type="dxa"/>
              <w:right w:w="108" w:type="dxa"/>
            </w:tcMar>
            <w:vAlign w:val="bottom"/>
          </w:tcPr>
          <w:p w14:paraId="3BE3ACE7"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0.0008</w:t>
            </w:r>
          </w:p>
        </w:tc>
      </w:tr>
      <w:tr w:rsidR="003B18E9" w:rsidRPr="00886270" w14:paraId="5231CEC0" w14:textId="77777777" w:rsidTr="00556A80">
        <w:trPr>
          <w:trHeight w:val="310"/>
        </w:trPr>
        <w:tc>
          <w:tcPr>
            <w:tcW w:w="2498" w:type="dxa"/>
            <w:shd w:val="clear" w:color="auto" w:fill="auto"/>
            <w:tcMar>
              <w:top w:w="0" w:type="dxa"/>
              <w:left w:w="108" w:type="dxa"/>
              <w:bottom w:w="0" w:type="dxa"/>
              <w:right w:w="108" w:type="dxa"/>
            </w:tcMar>
            <w:vAlign w:val="bottom"/>
          </w:tcPr>
          <w:p w14:paraId="78993695" w14:textId="77777777" w:rsidR="003B18E9" w:rsidRPr="00886270" w:rsidRDefault="003B18E9" w:rsidP="00886270">
            <w:pPr>
              <w:spacing w:after="0" w:line="360" w:lineRule="auto"/>
              <w:jc w:val="center"/>
              <w:rPr>
                <w:sz w:val="22"/>
                <w:szCs w:val="22"/>
              </w:rPr>
            </w:pPr>
            <w:r w:rsidRPr="00886270">
              <w:rPr>
                <w:rFonts w:ascii="Calibri" w:eastAsia="Times New Roman" w:hAnsi="Calibri" w:cs="Calibri"/>
                <w:color w:val="000000"/>
                <w:kern w:val="0"/>
                <w:sz w:val="22"/>
                <w:szCs w:val="22"/>
              </w:rPr>
              <w:t>D(POPG)</w:t>
            </w:r>
          </w:p>
        </w:tc>
        <w:tc>
          <w:tcPr>
            <w:tcW w:w="1784" w:type="dxa"/>
            <w:shd w:val="clear" w:color="auto" w:fill="auto"/>
            <w:tcMar>
              <w:top w:w="0" w:type="dxa"/>
              <w:left w:w="108" w:type="dxa"/>
              <w:bottom w:w="0" w:type="dxa"/>
              <w:right w:w="108" w:type="dxa"/>
            </w:tcMar>
            <w:vAlign w:val="bottom"/>
          </w:tcPr>
          <w:p w14:paraId="28CFEED0"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1.970286</w:t>
            </w:r>
          </w:p>
        </w:tc>
        <w:tc>
          <w:tcPr>
            <w:tcW w:w="1765" w:type="dxa"/>
            <w:shd w:val="clear" w:color="auto" w:fill="auto"/>
            <w:tcMar>
              <w:top w:w="0" w:type="dxa"/>
              <w:left w:w="108" w:type="dxa"/>
              <w:bottom w:w="0" w:type="dxa"/>
              <w:right w:w="108" w:type="dxa"/>
            </w:tcMar>
            <w:vAlign w:val="bottom"/>
          </w:tcPr>
          <w:p w14:paraId="4C095EA1"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0.914218</w:t>
            </w:r>
          </w:p>
        </w:tc>
        <w:tc>
          <w:tcPr>
            <w:tcW w:w="1728" w:type="dxa"/>
            <w:shd w:val="clear" w:color="auto" w:fill="auto"/>
            <w:tcMar>
              <w:top w:w="0" w:type="dxa"/>
              <w:left w:w="108" w:type="dxa"/>
              <w:bottom w:w="0" w:type="dxa"/>
              <w:right w:w="108" w:type="dxa"/>
            </w:tcMar>
            <w:vAlign w:val="bottom"/>
          </w:tcPr>
          <w:p w14:paraId="1E8021C1"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2.15516</w:t>
            </w:r>
          </w:p>
        </w:tc>
        <w:tc>
          <w:tcPr>
            <w:tcW w:w="1251" w:type="dxa"/>
            <w:shd w:val="clear" w:color="auto" w:fill="auto"/>
            <w:tcMar>
              <w:top w:w="0" w:type="dxa"/>
              <w:left w:w="108" w:type="dxa"/>
              <w:bottom w:w="0" w:type="dxa"/>
              <w:right w:w="108" w:type="dxa"/>
            </w:tcMar>
            <w:vAlign w:val="bottom"/>
          </w:tcPr>
          <w:p w14:paraId="349BA5BB"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0.0467</w:t>
            </w:r>
          </w:p>
        </w:tc>
      </w:tr>
      <w:tr w:rsidR="003B18E9" w:rsidRPr="00886270" w14:paraId="6FFF0769" w14:textId="77777777" w:rsidTr="00556A80">
        <w:trPr>
          <w:trHeight w:val="310"/>
        </w:trPr>
        <w:tc>
          <w:tcPr>
            <w:tcW w:w="2498" w:type="dxa"/>
            <w:shd w:val="clear" w:color="auto" w:fill="auto"/>
            <w:tcMar>
              <w:top w:w="0" w:type="dxa"/>
              <w:left w:w="108" w:type="dxa"/>
              <w:bottom w:w="0" w:type="dxa"/>
              <w:right w:w="108" w:type="dxa"/>
            </w:tcMar>
            <w:vAlign w:val="bottom"/>
          </w:tcPr>
          <w:p w14:paraId="5BD57118" w14:textId="77777777" w:rsidR="003B18E9" w:rsidRPr="00886270" w:rsidRDefault="003B18E9" w:rsidP="00886270">
            <w:pPr>
              <w:spacing w:after="0" w:line="360" w:lineRule="auto"/>
              <w:jc w:val="center"/>
              <w:rPr>
                <w:sz w:val="22"/>
                <w:szCs w:val="22"/>
              </w:rPr>
            </w:pPr>
            <w:r w:rsidRPr="00886270">
              <w:rPr>
                <w:rFonts w:ascii="Calibri" w:eastAsia="Times New Roman" w:hAnsi="Calibri" w:cs="Calibri"/>
                <w:color w:val="000000"/>
                <w:kern w:val="0"/>
                <w:sz w:val="22"/>
                <w:szCs w:val="22"/>
              </w:rPr>
              <w:t>D(</w:t>
            </w:r>
            <w:proofErr w:type="gramStart"/>
            <w:r w:rsidRPr="00886270">
              <w:rPr>
                <w:rFonts w:ascii="Calibri" w:eastAsia="Times New Roman" w:hAnsi="Calibri" w:cs="Calibri"/>
                <w:color w:val="000000"/>
                <w:kern w:val="0"/>
                <w:sz w:val="22"/>
                <w:szCs w:val="22"/>
              </w:rPr>
              <w:t>POPG(</w:t>
            </w:r>
            <w:proofErr w:type="gramEnd"/>
            <w:r w:rsidRPr="00886270">
              <w:rPr>
                <w:rFonts w:ascii="Calibri" w:eastAsia="Times New Roman" w:hAnsi="Calibri" w:cs="Calibri"/>
                <w:color w:val="000000"/>
                <w:kern w:val="0"/>
                <w:sz w:val="22"/>
                <w:szCs w:val="22"/>
              </w:rPr>
              <w:t>-3))</w:t>
            </w:r>
          </w:p>
        </w:tc>
        <w:tc>
          <w:tcPr>
            <w:tcW w:w="1784" w:type="dxa"/>
            <w:shd w:val="clear" w:color="auto" w:fill="auto"/>
            <w:tcMar>
              <w:top w:w="0" w:type="dxa"/>
              <w:left w:w="108" w:type="dxa"/>
              <w:bottom w:w="0" w:type="dxa"/>
              <w:right w:w="108" w:type="dxa"/>
            </w:tcMar>
            <w:vAlign w:val="bottom"/>
          </w:tcPr>
          <w:p w14:paraId="26607B4A"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1.247562</w:t>
            </w:r>
          </w:p>
        </w:tc>
        <w:tc>
          <w:tcPr>
            <w:tcW w:w="1765" w:type="dxa"/>
            <w:shd w:val="clear" w:color="auto" w:fill="auto"/>
            <w:tcMar>
              <w:top w:w="0" w:type="dxa"/>
              <w:left w:w="108" w:type="dxa"/>
              <w:bottom w:w="0" w:type="dxa"/>
              <w:right w:w="108" w:type="dxa"/>
            </w:tcMar>
            <w:vAlign w:val="bottom"/>
          </w:tcPr>
          <w:p w14:paraId="5E6689FE"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0.385608</w:t>
            </w:r>
          </w:p>
        </w:tc>
        <w:tc>
          <w:tcPr>
            <w:tcW w:w="1728" w:type="dxa"/>
            <w:shd w:val="clear" w:color="auto" w:fill="auto"/>
            <w:tcMar>
              <w:top w:w="0" w:type="dxa"/>
              <w:left w:w="108" w:type="dxa"/>
              <w:bottom w:w="0" w:type="dxa"/>
              <w:right w:w="108" w:type="dxa"/>
            </w:tcMar>
            <w:vAlign w:val="bottom"/>
          </w:tcPr>
          <w:p w14:paraId="1EC8B363"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3.235313</w:t>
            </w:r>
          </w:p>
        </w:tc>
        <w:tc>
          <w:tcPr>
            <w:tcW w:w="1251" w:type="dxa"/>
            <w:shd w:val="clear" w:color="auto" w:fill="auto"/>
            <w:tcMar>
              <w:top w:w="0" w:type="dxa"/>
              <w:left w:w="108" w:type="dxa"/>
              <w:bottom w:w="0" w:type="dxa"/>
              <w:right w:w="108" w:type="dxa"/>
            </w:tcMar>
            <w:vAlign w:val="bottom"/>
          </w:tcPr>
          <w:p w14:paraId="149695D7" w14:textId="77777777" w:rsidR="003B18E9" w:rsidRPr="00886270" w:rsidRDefault="003B18E9" w:rsidP="00886270">
            <w:pPr>
              <w:spacing w:after="0" w:line="360" w:lineRule="auto"/>
              <w:jc w:val="right"/>
              <w:rPr>
                <w:sz w:val="22"/>
                <w:szCs w:val="22"/>
              </w:rPr>
            </w:pPr>
            <w:r w:rsidRPr="00886270">
              <w:rPr>
                <w:rFonts w:ascii="Calibri" w:eastAsia="Times New Roman" w:hAnsi="Calibri" w:cs="Calibri"/>
                <w:color w:val="000000"/>
                <w:kern w:val="0"/>
                <w:sz w:val="22"/>
                <w:szCs w:val="22"/>
              </w:rPr>
              <w:t>0.0052</w:t>
            </w:r>
          </w:p>
        </w:tc>
      </w:tr>
      <w:tr w:rsidR="003B18E9" w:rsidRPr="00886270" w14:paraId="75665F81" w14:textId="77777777" w:rsidTr="00556A80">
        <w:trPr>
          <w:trHeight w:val="310"/>
        </w:trPr>
        <w:tc>
          <w:tcPr>
            <w:tcW w:w="2498" w:type="dxa"/>
            <w:shd w:val="clear" w:color="auto" w:fill="auto"/>
            <w:tcMar>
              <w:top w:w="0" w:type="dxa"/>
              <w:left w:w="108" w:type="dxa"/>
              <w:bottom w:w="0" w:type="dxa"/>
              <w:right w:w="108" w:type="dxa"/>
            </w:tcMar>
            <w:vAlign w:val="bottom"/>
          </w:tcPr>
          <w:p w14:paraId="25CC2ABA" w14:textId="77777777" w:rsidR="003B18E9" w:rsidRPr="00886270" w:rsidRDefault="003B18E9" w:rsidP="00886270">
            <w:pPr>
              <w:spacing w:after="0" w:line="360" w:lineRule="auto"/>
              <w:jc w:val="center"/>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D(</w:t>
            </w:r>
            <w:proofErr w:type="gramStart"/>
            <w:r w:rsidRPr="00886270">
              <w:rPr>
                <w:rFonts w:ascii="Calibri" w:eastAsia="Times New Roman" w:hAnsi="Calibri" w:cs="Calibri"/>
                <w:color w:val="000000"/>
                <w:kern w:val="0"/>
                <w:sz w:val="22"/>
                <w:szCs w:val="22"/>
              </w:rPr>
              <w:t>LREC(</w:t>
            </w:r>
            <w:proofErr w:type="gramEnd"/>
            <w:r w:rsidRPr="00886270">
              <w:rPr>
                <w:rFonts w:ascii="Calibri" w:eastAsia="Times New Roman" w:hAnsi="Calibri" w:cs="Calibri"/>
                <w:color w:val="000000"/>
                <w:kern w:val="0"/>
                <w:sz w:val="22"/>
                <w:szCs w:val="22"/>
              </w:rPr>
              <w:t>-1))</w:t>
            </w:r>
          </w:p>
        </w:tc>
        <w:tc>
          <w:tcPr>
            <w:tcW w:w="1784" w:type="dxa"/>
            <w:shd w:val="clear" w:color="auto" w:fill="auto"/>
            <w:tcMar>
              <w:top w:w="0" w:type="dxa"/>
              <w:left w:w="108" w:type="dxa"/>
              <w:bottom w:w="0" w:type="dxa"/>
              <w:right w:w="108" w:type="dxa"/>
            </w:tcMar>
            <w:vAlign w:val="bottom"/>
          </w:tcPr>
          <w:p w14:paraId="248FE47C"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-0.368917</w:t>
            </w:r>
          </w:p>
        </w:tc>
        <w:tc>
          <w:tcPr>
            <w:tcW w:w="1765" w:type="dxa"/>
            <w:shd w:val="clear" w:color="auto" w:fill="auto"/>
            <w:tcMar>
              <w:top w:w="0" w:type="dxa"/>
              <w:left w:w="108" w:type="dxa"/>
              <w:bottom w:w="0" w:type="dxa"/>
              <w:right w:w="108" w:type="dxa"/>
            </w:tcMar>
            <w:vAlign w:val="bottom"/>
          </w:tcPr>
          <w:p w14:paraId="3F3D2464"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0.1754</w:t>
            </w:r>
          </w:p>
        </w:tc>
        <w:tc>
          <w:tcPr>
            <w:tcW w:w="1728" w:type="dxa"/>
            <w:shd w:val="clear" w:color="auto" w:fill="auto"/>
            <w:tcMar>
              <w:top w:w="0" w:type="dxa"/>
              <w:left w:w="108" w:type="dxa"/>
              <w:bottom w:w="0" w:type="dxa"/>
              <w:right w:w="108" w:type="dxa"/>
            </w:tcMar>
            <w:vAlign w:val="bottom"/>
          </w:tcPr>
          <w:p w14:paraId="27A9E4C6"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-2.10329</w:t>
            </w:r>
          </w:p>
        </w:tc>
        <w:tc>
          <w:tcPr>
            <w:tcW w:w="1251" w:type="dxa"/>
            <w:shd w:val="clear" w:color="auto" w:fill="auto"/>
            <w:tcMar>
              <w:top w:w="0" w:type="dxa"/>
              <w:left w:w="108" w:type="dxa"/>
              <w:bottom w:w="0" w:type="dxa"/>
              <w:right w:w="108" w:type="dxa"/>
            </w:tcMar>
            <w:vAlign w:val="bottom"/>
          </w:tcPr>
          <w:p w14:paraId="3BBA4E9B"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0.0516</w:t>
            </w:r>
          </w:p>
        </w:tc>
      </w:tr>
      <w:tr w:rsidR="003B18E9" w:rsidRPr="00886270" w14:paraId="049A003B" w14:textId="77777777" w:rsidTr="00556A80">
        <w:trPr>
          <w:trHeight w:val="310"/>
        </w:trPr>
        <w:tc>
          <w:tcPr>
            <w:tcW w:w="2498" w:type="dxa"/>
            <w:shd w:val="clear" w:color="auto" w:fill="auto"/>
            <w:tcMar>
              <w:top w:w="0" w:type="dxa"/>
              <w:left w:w="108" w:type="dxa"/>
              <w:bottom w:w="0" w:type="dxa"/>
              <w:right w:w="108" w:type="dxa"/>
            </w:tcMar>
            <w:vAlign w:val="bottom"/>
          </w:tcPr>
          <w:p w14:paraId="736AD7D7" w14:textId="77777777" w:rsidR="003B18E9" w:rsidRPr="00886270" w:rsidRDefault="003B18E9" w:rsidP="00886270">
            <w:pPr>
              <w:spacing w:after="0" w:line="360" w:lineRule="auto"/>
              <w:jc w:val="center"/>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D(</w:t>
            </w:r>
            <w:proofErr w:type="gramStart"/>
            <w:r w:rsidRPr="00886270">
              <w:rPr>
                <w:rFonts w:ascii="Calibri" w:eastAsia="Times New Roman" w:hAnsi="Calibri" w:cs="Calibri"/>
                <w:color w:val="000000"/>
                <w:kern w:val="0"/>
                <w:sz w:val="22"/>
                <w:szCs w:val="22"/>
              </w:rPr>
              <w:t>LREC(</w:t>
            </w:r>
            <w:proofErr w:type="gramEnd"/>
            <w:r w:rsidRPr="00886270">
              <w:rPr>
                <w:rFonts w:ascii="Calibri" w:eastAsia="Times New Roman" w:hAnsi="Calibri" w:cs="Calibri"/>
                <w:color w:val="000000"/>
                <w:kern w:val="0"/>
                <w:sz w:val="22"/>
                <w:szCs w:val="22"/>
              </w:rPr>
              <w:t>-2))</w:t>
            </w:r>
          </w:p>
        </w:tc>
        <w:tc>
          <w:tcPr>
            <w:tcW w:w="1784" w:type="dxa"/>
            <w:shd w:val="clear" w:color="auto" w:fill="auto"/>
            <w:tcMar>
              <w:top w:w="0" w:type="dxa"/>
              <w:left w:w="108" w:type="dxa"/>
              <w:bottom w:w="0" w:type="dxa"/>
              <w:right w:w="108" w:type="dxa"/>
            </w:tcMar>
            <w:vAlign w:val="bottom"/>
          </w:tcPr>
          <w:p w14:paraId="64E7363C"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-0.433826</w:t>
            </w:r>
          </w:p>
        </w:tc>
        <w:tc>
          <w:tcPr>
            <w:tcW w:w="1765" w:type="dxa"/>
            <w:shd w:val="clear" w:color="auto" w:fill="auto"/>
            <w:tcMar>
              <w:top w:w="0" w:type="dxa"/>
              <w:left w:w="108" w:type="dxa"/>
              <w:bottom w:w="0" w:type="dxa"/>
              <w:right w:w="108" w:type="dxa"/>
            </w:tcMar>
            <w:vAlign w:val="bottom"/>
          </w:tcPr>
          <w:p w14:paraId="151881A1"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0.16086</w:t>
            </w:r>
          </w:p>
        </w:tc>
        <w:tc>
          <w:tcPr>
            <w:tcW w:w="1728" w:type="dxa"/>
            <w:shd w:val="clear" w:color="auto" w:fill="auto"/>
            <w:tcMar>
              <w:top w:w="0" w:type="dxa"/>
              <w:left w:w="108" w:type="dxa"/>
              <w:bottom w:w="0" w:type="dxa"/>
              <w:right w:w="108" w:type="dxa"/>
            </w:tcMar>
            <w:vAlign w:val="bottom"/>
          </w:tcPr>
          <w:p w14:paraId="6831AB31"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-2.69692</w:t>
            </w:r>
          </w:p>
        </w:tc>
        <w:tc>
          <w:tcPr>
            <w:tcW w:w="1251" w:type="dxa"/>
            <w:shd w:val="clear" w:color="auto" w:fill="auto"/>
            <w:tcMar>
              <w:top w:w="0" w:type="dxa"/>
              <w:left w:w="108" w:type="dxa"/>
              <w:bottom w:w="0" w:type="dxa"/>
              <w:right w:w="108" w:type="dxa"/>
            </w:tcMar>
            <w:vAlign w:val="bottom"/>
          </w:tcPr>
          <w:p w14:paraId="54816F5C"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0.0159</w:t>
            </w:r>
          </w:p>
        </w:tc>
      </w:tr>
      <w:tr w:rsidR="003B18E9" w:rsidRPr="00886270" w14:paraId="6BCFC338" w14:textId="77777777" w:rsidTr="00556A80">
        <w:trPr>
          <w:trHeight w:val="310"/>
        </w:trPr>
        <w:tc>
          <w:tcPr>
            <w:tcW w:w="2498" w:type="dxa"/>
            <w:tcBorders>
              <w:bottom w:val="single" w:sz="4" w:space="0" w:color="000000"/>
            </w:tcBorders>
            <w:shd w:val="clear" w:color="auto" w:fill="auto"/>
            <w:tcMar>
              <w:top w:w="0" w:type="dxa"/>
              <w:left w:w="108" w:type="dxa"/>
              <w:bottom w:w="0" w:type="dxa"/>
              <w:right w:w="108" w:type="dxa"/>
            </w:tcMar>
            <w:vAlign w:val="bottom"/>
          </w:tcPr>
          <w:p w14:paraId="230788D0" w14:textId="77777777" w:rsidR="003B18E9" w:rsidRPr="00886270" w:rsidRDefault="003B18E9" w:rsidP="00886270">
            <w:pPr>
              <w:spacing w:after="0" w:line="360" w:lineRule="auto"/>
              <w:jc w:val="center"/>
              <w:rPr>
                <w:rFonts w:ascii="Calibri" w:eastAsia="Times New Roman" w:hAnsi="Calibri" w:cs="Calibri"/>
                <w:color w:val="000000"/>
                <w:kern w:val="0"/>
                <w:sz w:val="22"/>
                <w:szCs w:val="22"/>
              </w:rPr>
            </w:pPr>
            <w:proofErr w:type="spellStart"/>
            <w:proofErr w:type="gramStart"/>
            <w:r w:rsidRPr="00886270">
              <w:rPr>
                <w:rFonts w:ascii="Calibri" w:eastAsia="Times New Roman" w:hAnsi="Calibri" w:cs="Calibri"/>
                <w:color w:val="000000"/>
                <w:kern w:val="0"/>
                <w:sz w:val="22"/>
                <w:szCs w:val="22"/>
              </w:rPr>
              <w:t>CointEq</w:t>
            </w:r>
            <w:proofErr w:type="spellEnd"/>
            <w:r w:rsidRPr="00886270">
              <w:rPr>
                <w:rFonts w:ascii="Calibri" w:eastAsia="Times New Roman" w:hAnsi="Calibri" w:cs="Calibri"/>
                <w:color w:val="000000"/>
                <w:kern w:val="0"/>
                <w:sz w:val="22"/>
                <w:szCs w:val="22"/>
              </w:rPr>
              <w:t>(</w:t>
            </w:r>
            <w:proofErr w:type="gramEnd"/>
            <w:r w:rsidRPr="00886270">
              <w:rPr>
                <w:rFonts w:ascii="Calibri" w:eastAsia="Times New Roman" w:hAnsi="Calibri" w:cs="Calibri"/>
                <w:color w:val="000000"/>
                <w:kern w:val="0"/>
                <w:sz w:val="22"/>
                <w:szCs w:val="22"/>
              </w:rPr>
              <w:t>-1)*</w:t>
            </w:r>
          </w:p>
        </w:tc>
        <w:tc>
          <w:tcPr>
            <w:tcW w:w="1784" w:type="dxa"/>
            <w:tcBorders>
              <w:bottom w:val="single" w:sz="4" w:space="0" w:color="000000"/>
            </w:tcBorders>
            <w:shd w:val="clear" w:color="auto" w:fill="auto"/>
            <w:tcMar>
              <w:top w:w="0" w:type="dxa"/>
              <w:left w:w="108" w:type="dxa"/>
              <w:bottom w:w="0" w:type="dxa"/>
              <w:right w:w="108" w:type="dxa"/>
            </w:tcMar>
            <w:vAlign w:val="bottom"/>
          </w:tcPr>
          <w:p w14:paraId="731861EF"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-0.773477</w:t>
            </w:r>
          </w:p>
        </w:tc>
        <w:tc>
          <w:tcPr>
            <w:tcW w:w="1765" w:type="dxa"/>
            <w:tcBorders>
              <w:bottom w:val="single" w:sz="4" w:space="0" w:color="000000"/>
            </w:tcBorders>
            <w:shd w:val="clear" w:color="auto" w:fill="auto"/>
            <w:tcMar>
              <w:top w:w="0" w:type="dxa"/>
              <w:left w:w="108" w:type="dxa"/>
              <w:bottom w:w="0" w:type="dxa"/>
              <w:right w:w="108" w:type="dxa"/>
            </w:tcMar>
            <w:vAlign w:val="bottom"/>
          </w:tcPr>
          <w:p w14:paraId="09720DE1"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0.138518</w:t>
            </w:r>
          </w:p>
        </w:tc>
        <w:tc>
          <w:tcPr>
            <w:tcW w:w="1728" w:type="dxa"/>
            <w:tcBorders>
              <w:bottom w:val="single" w:sz="4" w:space="0" w:color="000000"/>
            </w:tcBorders>
            <w:shd w:val="clear" w:color="auto" w:fill="auto"/>
            <w:tcMar>
              <w:top w:w="0" w:type="dxa"/>
              <w:left w:w="108" w:type="dxa"/>
              <w:bottom w:w="0" w:type="dxa"/>
              <w:right w:w="108" w:type="dxa"/>
            </w:tcMar>
            <w:vAlign w:val="bottom"/>
          </w:tcPr>
          <w:p w14:paraId="778B348C"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-5.58396</w:t>
            </w:r>
          </w:p>
        </w:tc>
        <w:tc>
          <w:tcPr>
            <w:tcW w:w="1251" w:type="dxa"/>
            <w:tcBorders>
              <w:bottom w:val="single" w:sz="4" w:space="0" w:color="000000"/>
            </w:tcBorders>
            <w:shd w:val="clear" w:color="auto" w:fill="auto"/>
            <w:tcMar>
              <w:top w:w="0" w:type="dxa"/>
              <w:left w:w="108" w:type="dxa"/>
              <w:bottom w:w="0" w:type="dxa"/>
              <w:right w:w="108" w:type="dxa"/>
            </w:tcMar>
            <w:vAlign w:val="bottom"/>
          </w:tcPr>
          <w:p w14:paraId="326BC776" w14:textId="77777777" w:rsidR="003B18E9" w:rsidRPr="00886270" w:rsidRDefault="003B18E9" w:rsidP="00886270">
            <w:pPr>
              <w:spacing w:after="0" w:line="360" w:lineRule="auto"/>
              <w:jc w:val="right"/>
              <w:rPr>
                <w:rFonts w:ascii="Calibri" w:eastAsia="Times New Roman" w:hAnsi="Calibri" w:cs="Calibri"/>
                <w:color w:val="000000"/>
                <w:kern w:val="0"/>
                <w:sz w:val="22"/>
                <w:szCs w:val="22"/>
              </w:rPr>
            </w:pPr>
            <w:r w:rsidRPr="00886270">
              <w:rPr>
                <w:rFonts w:ascii="Calibri" w:eastAsia="Times New Roman" w:hAnsi="Calibri" w:cs="Calibri"/>
                <w:color w:val="000000"/>
                <w:kern w:val="0"/>
                <w:sz w:val="22"/>
                <w:szCs w:val="22"/>
              </w:rPr>
              <w:t>0.0000</w:t>
            </w:r>
          </w:p>
        </w:tc>
      </w:tr>
    </w:tbl>
    <w:p w14:paraId="122442F3" w14:textId="77777777" w:rsidR="00D66679" w:rsidRPr="00CB2EEF" w:rsidRDefault="00D66679" w:rsidP="00D66679">
      <w:pPr>
        <w:spacing w:line="360" w:lineRule="auto"/>
        <w:rPr>
          <w:b/>
          <w:bCs/>
          <w:sz w:val="22"/>
          <w:szCs w:val="22"/>
        </w:rPr>
      </w:pPr>
      <w:r w:rsidRPr="00CB2EEF">
        <w:rPr>
          <w:b/>
          <w:bCs/>
          <w:sz w:val="22"/>
          <w:szCs w:val="22"/>
        </w:rPr>
        <w:t>Source: Researcher’s computation</w:t>
      </w:r>
    </w:p>
    <w:p w14:paraId="73419944" w14:textId="77777777" w:rsidR="003B18E9" w:rsidRPr="00886270" w:rsidRDefault="003B18E9" w:rsidP="00886270">
      <w:pPr>
        <w:spacing w:after="0" w:line="360" w:lineRule="auto"/>
        <w:jc w:val="both"/>
        <w:rPr>
          <w:sz w:val="22"/>
          <w:szCs w:val="22"/>
        </w:rPr>
      </w:pPr>
      <w:r w:rsidRPr="00886270">
        <w:rPr>
          <w:rFonts w:ascii="Times New Roman" w:hAnsi="Times New Roman" w:cs="Times New Roman"/>
          <w:bCs/>
          <w:color w:val="000000"/>
          <w:sz w:val="22"/>
          <w:szCs w:val="22"/>
        </w:rPr>
        <w:t>The analysis reveals that alongside the presence of a long-term relationship between the variables, certain changes also emerge. Notably, an Error Correction Mechanism has been incorporated in this research to control and enhance these alterations. This mechanism will reconcile the immediate dynamics embedded in the co-integration functions into a more static arrangement. Furthermore, the speed of correcting deviations from the long-term relationship, or the long-term adjustment, demonstrates that the cointegration coefficient is negative, statistically significant, and the absolute value is less than 1, which is theoretically anticipated. With the coefficient standing at 0.77 and the p-value at 0.000, this result indicates that the deviations are corrected at a rate of 77%</w:t>
      </w:r>
      <w:r w:rsidRPr="00886270">
        <w:rPr>
          <w:rFonts w:ascii="Times New Roman" w:eastAsia="Times New Roman" w:hAnsi="Times New Roman" w:cs="Times New Roman"/>
          <w:bCs/>
          <w:color w:val="000000"/>
          <w:sz w:val="22"/>
          <w:szCs w:val="22"/>
        </w:rPr>
        <w:t>.</w:t>
      </w:r>
    </w:p>
    <w:p w14:paraId="36A1B712"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bookmarkStart w:id="3" w:name="_Hlk173481953"/>
    </w:p>
    <w:p w14:paraId="74F900A2"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Table 6 Diagnostic test for ARDL (3,4,1,0)</w:t>
      </w:r>
    </w:p>
    <w:tbl>
      <w:tblPr>
        <w:tblW w:w="5000" w:type="pct"/>
        <w:tblCellMar>
          <w:left w:w="10" w:type="dxa"/>
          <w:right w:w="10" w:type="dxa"/>
        </w:tblCellMar>
        <w:tblLook w:val="0000" w:firstRow="0" w:lastRow="0" w:firstColumn="0" w:lastColumn="0" w:noHBand="0" w:noVBand="0"/>
      </w:tblPr>
      <w:tblGrid>
        <w:gridCol w:w="7497"/>
        <w:gridCol w:w="1529"/>
      </w:tblGrid>
      <w:tr w:rsidR="003B18E9" w:rsidRPr="00886270" w14:paraId="24ECF63F" w14:textId="77777777" w:rsidTr="00556A80">
        <w:trPr>
          <w:trHeight w:val="310"/>
        </w:trPr>
        <w:tc>
          <w:tcPr>
            <w:tcW w:w="7497" w:type="dxa"/>
            <w:tcBorders>
              <w:top w:val="single" w:sz="4" w:space="0" w:color="000000"/>
            </w:tcBorders>
            <w:shd w:val="clear" w:color="auto" w:fill="auto"/>
            <w:tcMar>
              <w:top w:w="0" w:type="dxa"/>
              <w:left w:w="108" w:type="dxa"/>
              <w:bottom w:w="0" w:type="dxa"/>
              <w:right w:w="108" w:type="dxa"/>
            </w:tcMar>
            <w:vAlign w:val="center"/>
          </w:tcPr>
          <w:bookmarkEnd w:id="3"/>
          <w:p w14:paraId="0F9A318D"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R-squared</w:t>
            </w:r>
          </w:p>
        </w:tc>
        <w:tc>
          <w:tcPr>
            <w:tcW w:w="1529" w:type="dxa"/>
            <w:tcBorders>
              <w:top w:val="single" w:sz="4" w:space="0" w:color="000000"/>
            </w:tcBorders>
            <w:shd w:val="clear" w:color="auto" w:fill="auto"/>
            <w:tcMar>
              <w:top w:w="0" w:type="dxa"/>
              <w:left w:w="108" w:type="dxa"/>
              <w:bottom w:w="0" w:type="dxa"/>
              <w:right w:w="108" w:type="dxa"/>
            </w:tcMar>
            <w:vAlign w:val="center"/>
          </w:tcPr>
          <w:p w14:paraId="296BBAE0"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0.728235</w:t>
            </w:r>
          </w:p>
        </w:tc>
      </w:tr>
      <w:tr w:rsidR="003B18E9" w:rsidRPr="00886270" w14:paraId="4A3D02D1" w14:textId="77777777" w:rsidTr="00556A80">
        <w:trPr>
          <w:trHeight w:val="310"/>
        </w:trPr>
        <w:tc>
          <w:tcPr>
            <w:tcW w:w="7497" w:type="dxa"/>
            <w:shd w:val="clear" w:color="auto" w:fill="auto"/>
            <w:tcMar>
              <w:top w:w="0" w:type="dxa"/>
              <w:left w:w="108" w:type="dxa"/>
              <w:bottom w:w="0" w:type="dxa"/>
              <w:right w:w="108" w:type="dxa"/>
            </w:tcMar>
            <w:vAlign w:val="center"/>
          </w:tcPr>
          <w:p w14:paraId="31AFA4AE"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Adjusted R-squared</w:t>
            </w:r>
          </w:p>
        </w:tc>
        <w:tc>
          <w:tcPr>
            <w:tcW w:w="1529" w:type="dxa"/>
            <w:shd w:val="clear" w:color="auto" w:fill="auto"/>
            <w:tcMar>
              <w:top w:w="0" w:type="dxa"/>
              <w:left w:w="108" w:type="dxa"/>
              <w:bottom w:w="0" w:type="dxa"/>
              <w:right w:w="108" w:type="dxa"/>
            </w:tcMar>
            <w:vAlign w:val="center"/>
          </w:tcPr>
          <w:p w14:paraId="3A4D803A"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0.52441</w:t>
            </w:r>
          </w:p>
        </w:tc>
      </w:tr>
      <w:tr w:rsidR="003B18E9" w:rsidRPr="00886270" w14:paraId="7FBDA440" w14:textId="77777777" w:rsidTr="00556A80">
        <w:trPr>
          <w:trHeight w:val="310"/>
        </w:trPr>
        <w:tc>
          <w:tcPr>
            <w:tcW w:w="7497" w:type="dxa"/>
            <w:shd w:val="clear" w:color="auto" w:fill="auto"/>
            <w:noWrap/>
            <w:tcMar>
              <w:top w:w="0" w:type="dxa"/>
              <w:left w:w="108" w:type="dxa"/>
              <w:bottom w:w="0" w:type="dxa"/>
              <w:right w:w="108" w:type="dxa"/>
            </w:tcMar>
            <w:vAlign w:val="bottom"/>
          </w:tcPr>
          <w:p w14:paraId="21A1EC49" w14:textId="77777777" w:rsidR="003B18E9" w:rsidRPr="00886270" w:rsidRDefault="003B18E9" w:rsidP="00886270">
            <w:pPr>
              <w:spacing w:after="0" w:line="360" w:lineRule="auto"/>
              <w:rPr>
                <w:sz w:val="22"/>
                <w:szCs w:val="22"/>
              </w:rPr>
            </w:pPr>
            <w:r w:rsidRPr="00886270">
              <w:rPr>
                <w:rFonts w:ascii="Times New Roman" w:eastAsia="Times New Roman" w:hAnsi="Times New Roman" w:cs="Times New Roman"/>
                <w:bCs/>
                <w:color w:val="000000"/>
                <w:sz w:val="22"/>
                <w:szCs w:val="22"/>
              </w:rPr>
              <w:t>Breusch-Godfrey Serial Correlation LM Test</w:t>
            </w:r>
          </w:p>
        </w:tc>
        <w:tc>
          <w:tcPr>
            <w:tcW w:w="1529" w:type="dxa"/>
            <w:shd w:val="clear" w:color="auto" w:fill="auto"/>
            <w:noWrap/>
            <w:tcMar>
              <w:top w:w="0" w:type="dxa"/>
              <w:left w:w="108" w:type="dxa"/>
              <w:bottom w:w="0" w:type="dxa"/>
              <w:right w:w="108" w:type="dxa"/>
            </w:tcMar>
            <w:vAlign w:val="bottom"/>
          </w:tcPr>
          <w:p w14:paraId="5BF2769F" w14:textId="77777777" w:rsidR="003B18E9" w:rsidRPr="00886270" w:rsidRDefault="003B18E9" w:rsidP="00886270">
            <w:pPr>
              <w:spacing w:after="0" w:line="360" w:lineRule="auto"/>
              <w:jc w:val="right"/>
              <w:rPr>
                <w:sz w:val="22"/>
                <w:szCs w:val="22"/>
              </w:rPr>
            </w:pPr>
            <w:r w:rsidRPr="00886270">
              <w:rPr>
                <w:rFonts w:ascii="Times New Roman" w:eastAsia="Times New Roman" w:hAnsi="Times New Roman" w:cs="Times New Roman"/>
                <w:bCs/>
                <w:color w:val="000000"/>
                <w:sz w:val="22"/>
                <w:szCs w:val="22"/>
              </w:rPr>
              <w:t>0.099</w:t>
            </w:r>
          </w:p>
        </w:tc>
      </w:tr>
      <w:tr w:rsidR="003B18E9" w:rsidRPr="00886270" w14:paraId="6EF53830" w14:textId="77777777" w:rsidTr="00556A80">
        <w:trPr>
          <w:trHeight w:val="310"/>
        </w:trPr>
        <w:tc>
          <w:tcPr>
            <w:tcW w:w="7497" w:type="dxa"/>
            <w:shd w:val="clear" w:color="auto" w:fill="auto"/>
            <w:noWrap/>
            <w:tcMar>
              <w:top w:w="0" w:type="dxa"/>
              <w:left w:w="108" w:type="dxa"/>
              <w:bottom w:w="0" w:type="dxa"/>
              <w:right w:w="108" w:type="dxa"/>
            </w:tcMar>
            <w:vAlign w:val="center"/>
          </w:tcPr>
          <w:p w14:paraId="29531A12" w14:textId="77777777" w:rsidR="003B18E9" w:rsidRPr="00886270" w:rsidRDefault="003B18E9" w:rsidP="00886270">
            <w:pPr>
              <w:spacing w:after="0" w:line="360" w:lineRule="auto"/>
              <w:rPr>
                <w:sz w:val="22"/>
                <w:szCs w:val="22"/>
              </w:rPr>
            </w:pPr>
            <w:r w:rsidRPr="00886270">
              <w:rPr>
                <w:rFonts w:ascii="Times New Roman" w:eastAsia="Times New Roman" w:hAnsi="Times New Roman" w:cs="Times New Roman"/>
                <w:bCs/>
                <w:color w:val="000000"/>
                <w:sz w:val="22"/>
                <w:szCs w:val="22"/>
              </w:rPr>
              <w:t>Heteroskedasticity Test: Breusch-Pagan-Godfrey</w:t>
            </w:r>
          </w:p>
        </w:tc>
        <w:tc>
          <w:tcPr>
            <w:tcW w:w="1529" w:type="dxa"/>
            <w:shd w:val="clear" w:color="auto" w:fill="auto"/>
            <w:noWrap/>
            <w:tcMar>
              <w:top w:w="0" w:type="dxa"/>
              <w:left w:w="108" w:type="dxa"/>
              <w:bottom w:w="0" w:type="dxa"/>
              <w:right w:w="108" w:type="dxa"/>
            </w:tcMar>
            <w:vAlign w:val="bottom"/>
          </w:tcPr>
          <w:p w14:paraId="741BF0E3" w14:textId="77777777" w:rsidR="003B18E9" w:rsidRPr="00886270" w:rsidRDefault="003B18E9" w:rsidP="00886270">
            <w:pPr>
              <w:spacing w:after="0" w:line="360" w:lineRule="auto"/>
              <w:jc w:val="right"/>
              <w:rPr>
                <w:sz w:val="22"/>
                <w:szCs w:val="22"/>
              </w:rPr>
            </w:pPr>
            <w:r w:rsidRPr="00886270">
              <w:rPr>
                <w:rFonts w:ascii="Times New Roman" w:eastAsia="Times New Roman" w:hAnsi="Times New Roman" w:cs="Times New Roman"/>
                <w:bCs/>
                <w:color w:val="000000"/>
                <w:sz w:val="22"/>
                <w:szCs w:val="22"/>
              </w:rPr>
              <w:t>0.2632</w:t>
            </w:r>
          </w:p>
        </w:tc>
      </w:tr>
      <w:tr w:rsidR="003B18E9" w:rsidRPr="00886270" w14:paraId="76A0481E" w14:textId="77777777" w:rsidTr="00556A80">
        <w:trPr>
          <w:trHeight w:val="310"/>
        </w:trPr>
        <w:tc>
          <w:tcPr>
            <w:tcW w:w="7497" w:type="dxa"/>
            <w:tcBorders>
              <w:bottom w:val="single" w:sz="4" w:space="0" w:color="000000"/>
            </w:tcBorders>
            <w:shd w:val="clear" w:color="auto" w:fill="auto"/>
            <w:noWrap/>
            <w:tcMar>
              <w:top w:w="0" w:type="dxa"/>
              <w:left w:w="108" w:type="dxa"/>
              <w:bottom w:w="0" w:type="dxa"/>
              <w:right w:w="108" w:type="dxa"/>
            </w:tcMar>
            <w:vAlign w:val="center"/>
          </w:tcPr>
          <w:p w14:paraId="50796FDD" w14:textId="77777777" w:rsidR="003B18E9" w:rsidRPr="00886270" w:rsidRDefault="003B18E9" w:rsidP="00886270">
            <w:pPr>
              <w:spacing w:after="0" w:line="360" w:lineRule="auto"/>
              <w:rPr>
                <w:rFonts w:ascii="Times New Roman" w:eastAsia="Times New Roman" w:hAnsi="Times New Roman" w:cs="Times New Roman"/>
                <w:bCs/>
                <w:color w:val="000000"/>
                <w:sz w:val="22"/>
                <w:szCs w:val="22"/>
              </w:rPr>
            </w:pPr>
            <w:proofErr w:type="spellStart"/>
            <w:r w:rsidRPr="00886270">
              <w:rPr>
                <w:rFonts w:ascii="Times New Roman" w:eastAsia="Times New Roman" w:hAnsi="Times New Roman" w:cs="Times New Roman"/>
                <w:bCs/>
                <w:color w:val="000000"/>
                <w:sz w:val="22"/>
                <w:szCs w:val="22"/>
              </w:rPr>
              <w:t>Jarque-Bera</w:t>
            </w:r>
            <w:proofErr w:type="spellEnd"/>
            <w:r w:rsidRPr="00886270">
              <w:rPr>
                <w:rFonts w:ascii="Times New Roman" w:eastAsia="Times New Roman" w:hAnsi="Times New Roman" w:cs="Times New Roman"/>
                <w:bCs/>
                <w:color w:val="000000"/>
                <w:sz w:val="22"/>
                <w:szCs w:val="22"/>
              </w:rPr>
              <w:t xml:space="preserve"> Normality Test</w:t>
            </w:r>
          </w:p>
        </w:tc>
        <w:tc>
          <w:tcPr>
            <w:tcW w:w="1529" w:type="dxa"/>
            <w:tcBorders>
              <w:bottom w:val="single" w:sz="4" w:space="0" w:color="000000"/>
            </w:tcBorders>
            <w:shd w:val="clear" w:color="auto" w:fill="auto"/>
            <w:noWrap/>
            <w:tcMar>
              <w:top w:w="0" w:type="dxa"/>
              <w:left w:w="108" w:type="dxa"/>
              <w:bottom w:w="0" w:type="dxa"/>
              <w:right w:w="108" w:type="dxa"/>
            </w:tcMar>
            <w:vAlign w:val="bottom"/>
          </w:tcPr>
          <w:p w14:paraId="5DC556D0" w14:textId="77777777" w:rsidR="003B18E9" w:rsidRPr="00886270" w:rsidRDefault="003B18E9" w:rsidP="00886270">
            <w:pPr>
              <w:spacing w:after="0" w:line="360" w:lineRule="auto"/>
              <w:jc w:val="right"/>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0.543402</w:t>
            </w:r>
          </w:p>
        </w:tc>
      </w:tr>
    </w:tbl>
    <w:p w14:paraId="3FB96BD3" w14:textId="77777777" w:rsidR="00D66679" w:rsidRPr="00CB2EEF" w:rsidRDefault="003B18E9" w:rsidP="00D66679">
      <w:pPr>
        <w:spacing w:line="360" w:lineRule="auto"/>
        <w:rPr>
          <w:b/>
          <w:bCs/>
          <w:sz w:val="22"/>
          <w:szCs w:val="22"/>
        </w:rPr>
      </w:pPr>
      <w:r w:rsidRPr="00886270">
        <w:rPr>
          <w:sz w:val="22"/>
          <w:szCs w:val="22"/>
        </w:rPr>
        <w:t xml:space="preserve">                  </w:t>
      </w:r>
      <w:r w:rsidR="00D66679" w:rsidRPr="00CB2EEF">
        <w:rPr>
          <w:b/>
          <w:bCs/>
          <w:sz w:val="22"/>
          <w:szCs w:val="22"/>
        </w:rPr>
        <w:t>Source: Researcher’s computation</w:t>
      </w:r>
    </w:p>
    <w:p w14:paraId="4C8810CC" w14:textId="33F9E736" w:rsidR="003B18E9" w:rsidRPr="00D66679" w:rsidRDefault="00D66679" w:rsidP="00D66679">
      <w:pPr>
        <w:spacing w:line="360" w:lineRule="auto"/>
        <w:jc w:val="both"/>
        <w:rPr>
          <w:sz w:val="22"/>
          <w:szCs w:val="22"/>
        </w:rPr>
      </w:pPr>
      <w:r>
        <w:rPr>
          <w:rFonts w:ascii="Times New Roman" w:hAnsi="Times New Roman" w:cs="Times New Roman"/>
          <w:bCs/>
          <w:color w:val="000000"/>
          <w:sz w:val="22"/>
          <w:szCs w:val="22"/>
        </w:rPr>
        <w:lastRenderedPageBreak/>
        <w:t>T</w:t>
      </w:r>
      <w:r w:rsidR="003B18E9" w:rsidRPr="00886270">
        <w:rPr>
          <w:rFonts w:ascii="Times New Roman" w:hAnsi="Times New Roman" w:cs="Times New Roman"/>
          <w:bCs/>
          <w:color w:val="000000"/>
          <w:sz w:val="22"/>
          <w:szCs w:val="22"/>
        </w:rPr>
        <w:t>he diagnostic test results are shown in Table, and all tests reveal that the model is stable, has no problem of autocorrelation and has a constant variance. The R</w:t>
      </w:r>
      <w:r w:rsidR="003B18E9" w:rsidRPr="00886270">
        <w:rPr>
          <w:rFonts w:ascii="Times New Roman" w:hAnsi="Times New Roman" w:cs="Times New Roman"/>
          <w:bCs/>
          <w:color w:val="000000"/>
          <w:sz w:val="22"/>
          <w:szCs w:val="22"/>
          <w:vertAlign w:val="superscript"/>
        </w:rPr>
        <w:t xml:space="preserve">2 </w:t>
      </w:r>
      <w:r w:rsidR="003B18E9" w:rsidRPr="00886270">
        <w:rPr>
          <w:rFonts w:ascii="Times New Roman" w:hAnsi="Times New Roman" w:cs="Times New Roman"/>
          <w:bCs/>
          <w:color w:val="000000"/>
          <w:sz w:val="22"/>
          <w:szCs w:val="22"/>
        </w:rPr>
        <w:t>result shows that the independent variables explain about 0.89% of the dependent variable.</w:t>
      </w:r>
      <w:bookmarkStart w:id="4" w:name="_Hlk173482041"/>
    </w:p>
    <w:bookmarkEnd w:id="4"/>
    <w:p w14:paraId="1AF93090" w14:textId="5082F504" w:rsidR="003B18E9" w:rsidRPr="00886270" w:rsidRDefault="00D66679" w:rsidP="00886270">
      <w:pPr>
        <w:spacing w:line="360" w:lineRule="auto"/>
        <w:jc w:val="both"/>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noProof/>
          <w:color w:val="000000"/>
          <w:sz w:val="22"/>
          <w:szCs w:val="22"/>
        </w:rPr>
        <w:drawing>
          <wp:anchor distT="0" distB="0" distL="114300" distR="114300" simplePos="0" relativeHeight="251660288" behindDoc="0" locked="0" layoutInCell="1" allowOverlap="1" wp14:anchorId="453AF446" wp14:editId="6C692FB8">
            <wp:simplePos x="0" y="0"/>
            <wp:positionH relativeFrom="column">
              <wp:posOffset>114300</wp:posOffset>
            </wp:positionH>
            <wp:positionV relativeFrom="paragraph">
              <wp:posOffset>509270</wp:posOffset>
            </wp:positionV>
            <wp:extent cx="5371465" cy="2200167"/>
            <wp:effectExtent l="19050" t="19050" r="19685" b="10160"/>
            <wp:wrapNone/>
            <wp:docPr id="2076674578" name="Objec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5407062" cy="2214747"/>
                    </a:xfrm>
                    <a:prstGeom prst="rect">
                      <a:avLst/>
                    </a:prstGeom>
                    <a:solidFill>
                      <a:srgbClr val="FFFFFF"/>
                    </a:solidFill>
                    <a:ln w="9528">
                      <a:solidFill>
                        <a:srgbClr val="000000"/>
                      </a:solidFill>
                      <a:prstDash val="solid"/>
                    </a:ln>
                  </pic:spPr>
                </pic:pic>
              </a:graphicData>
            </a:graphic>
            <wp14:sizeRelH relativeFrom="margin">
              <wp14:pctWidth>0</wp14:pctWidth>
            </wp14:sizeRelH>
            <wp14:sizeRelV relativeFrom="margin">
              <wp14:pctHeight>0</wp14:pctHeight>
            </wp14:sizeRelV>
          </wp:anchor>
        </w:drawing>
      </w:r>
      <w:r w:rsidR="003B18E9" w:rsidRPr="00886270">
        <w:rPr>
          <w:rFonts w:ascii="Times New Roman" w:eastAsia="Times New Roman" w:hAnsi="Times New Roman" w:cs="Times New Roman"/>
          <w:bCs/>
          <w:color w:val="000000"/>
          <w:sz w:val="22"/>
          <w:szCs w:val="22"/>
        </w:rPr>
        <w:t>The CUSUM and CUSUM OF SQUARE tests are employed to check how stable each residual is in model. The result is shown below</w:t>
      </w:r>
    </w:p>
    <w:p w14:paraId="6D31803B" w14:textId="7C793213" w:rsidR="003B18E9" w:rsidRPr="00886270" w:rsidRDefault="003B18E9" w:rsidP="00D66679">
      <w:pPr>
        <w:spacing w:line="360" w:lineRule="auto"/>
        <w:jc w:val="both"/>
        <w:rPr>
          <w:rFonts w:ascii="Times New Roman" w:eastAsia="Times New Roman" w:hAnsi="Times New Roman" w:cs="Times New Roman"/>
          <w:bCs/>
          <w:color w:val="000000"/>
          <w:sz w:val="22"/>
          <w:szCs w:val="22"/>
        </w:rPr>
      </w:pPr>
    </w:p>
    <w:p w14:paraId="1F11383E"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72A77012"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1C8362AB"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776D04F9"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xml:space="preserve">        </w:t>
      </w:r>
    </w:p>
    <w:p w14:paraId="2C64AFE8"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2DBD1D0A"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4B0FE698"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3C0E2684"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05E872DE"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418B6B1E"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 xml:space="preserve">    Figure: </w:t>
      </w:r>
      <w:proofErr w:type="gramStart"/>
      <w:r w:rsidRPr="00886270">
        <w:rPr>
          <w:rFonts w:ascii="Times New Roman" w:eastAsia="Times New Roman" w:hAnsi="Times New Roman" w:cs="Times New Roman"/>
          <w:bCs/>
          <w:color w:val="000000"/>
          <w:sz w:val="22"/>
          <w:szCs w:val="22"/>
        </w:rPr>
        <w:t>2  CUSUM</w:t>
      </w:r>
      <w:proofErr w:type="gramEnd"/>
      <w:r w:rsidRPr="00886270">
        <w:rPr>
          <w:rFonts w:ascii="Times New Roman" w:eastAsia="Times New Roman" w:hAnsi="Times New Roman" w:cs="Times New Roman"/>
          <w:bCs/>
          <w:color w:val="000000"/>
          <w:sz w:val="22"/>
          <w:szCs w:val="22"/>
        </w:rPr>
        <w:t xml:space="preserve"> GRAPH</w:t>
      </w:r>
    </w:p>
    <w:p w14:paraId="1C9927C8" w14:textId="77777777" w:rsidR="003B18E9" w:rsidRPr="00886270" w:rsidRDefault="003B18E9" w:rsidP="00886270">
      <w:pPr>
        <w:spacing w:after="0" w:line="360" w:lineRule="auto"/>
        <w:jc w:val="both"/>
        <w:rPr>
          <w:sz w:val="22"/>
          <w:szCs w:val="22"/>
        </w:rPr>
      </w:pPr>
      <w:r w:rsidRPr="00886270">
        <w:rPr>
          <w:noProof/>
          <w:sz w:val="22"/>
          <w:szCs w:val="22"/>
        </w:rPr>
        <w:drawing>
          <wp:anchor distT="0" distB="0" distL="114300" distR="114300" simplePos="0" relativeHeight="251659264" behindDoc="0" locked="0" layoutInCell="1" allowOverlap="1" wp14:anchorId="56AFDA53" wp14:editId="67721A10">
            <wp:simplePos x="0" y="0"/>
            <wp:positionH relativeFrom="margin">
              <wp:align>left</wp:align>
            </wp:positionH>
            <wp:positionV relativeFrom="paragraph">
              <wp:posOffset>212090</wp:posOffset>
            </wp:positionV>
            <wp:extent cx="6181090" cy="3171825"/>
            <wp:effectExtent l="19050" t="19050" r="10160" b="28575"/>
            <wp:wrapNone/>
            <wp:docPr id="120783464" name="Object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6181443" cy="3172006"/>
                    </a:xfrm>
                    <a:prstGeom prst="rect">
                      <a:avLst/>
                    </a:prstGeom>
                    <a:solidFill>
                      <a:srgbClr val="FFFFFF"/>
                    </a:solidFill>
                    <a:ln w="9528">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3A97DAE1"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6EB4BE8E"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26FF3F1B"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2924A97B"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7E868FC6"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0B4692B3"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2D768291"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367BCE97"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46B14F7F" w14:textId="77777777"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p>
    <w:p w14:paraId="7F742B18" w14:textId="77777777" w:rsidR="00CC335F" w:rsidRDefault="00CC335F" w:rsidP="00886270">
      <w:pPr>
        <w:spacing w:after="0" w:line="360" w:lineRule="auto"/>
        <w:jc w:val="both"/>
        <w:rPr>
          <w:rFonts w:ascii="Times New Roman" w:eastAsia="Times New Roman" w:hAnsi="Times New Roman" w:cs="Times New Roman"/>
          <w:bCs/>
          <w:color w:val="000000"/>
          <w:sz w:val="22"/>
          <w:szCs w:val="22"/>
        </w:rPr>
      </w:pPr>
      <w:bookmarkStart w:id="5" w:name="_Hlk173482117"/>
    </w:p>
    <w:p w14:paraId="4FEA7F6E" w14:textId="77777777" w:rsidR="00CC335F" w:rsidRDefault="00CC335F" w:rsidP="00886270">
      <w:pPr>
        <w:spacing w:after="0" w:line="360" w:lineRule="auto"/>
        <w:jc w:val="both"/>
        <w:rPr>
          <w:rFonts w:ascii="Times New Roman" w:eastAsia="Times New Roman" w:hAnsi="Times New Roman" w:cs="Times New Roman"/>
          <w:bCs/>
          <w:color w:val="000000"/>
          <w:sz w:val="22"/>
          <w:szCs w:val="22"/>
        </w:rPr>
      </w:pPr>
    </w:p>
    <w:p w14:paraId="729C5C40" w14:textId="77777777" w:rsidR="00CC335F" w:rsidRDefault="00CC335F" w:rsidP="00886270">
      <w:pPr>
        <w:spacing w:after="0" w:line="360" w:lineRule="auto"/>
        <w:jc w:val="both"/>
        <w:rPr>
          <w:rFonts w:ascii="Times New Roman" w:eastAsia="Times New Roman" w:hAnsi="Times New Roman" w:cs="Times New Roman"/>
          <w:bCs/>
          <w:color w:val="000000"/>
          <w:sz w:val="22"/>
          <w:szCs w:val="22"/>
        </w:rPr>
      </w:pPr>
    </w:p>
    <w:p w14:paraId="5AA46AF5" w14:textId="77777777" w:rsidR="00CC335F" w:rsidRDefault="00CC335F" w:rsidP="00886270">
      <w:pPr>
        <w:spacing w:after="0" w:line="360" w:lineRule="auto"/>
        <w:jc w:val="both"/>
        <w:rPr>
          <w:rFonts w:ascii="Times New Roman" w:eastAsia="Times New Roman" w:hAnsi="Times New Roman" w:cs="Times New Roman"/>
          <w:bCs/>
          <w:color w:val="000000"/>
          <w:sz w:val="22"/>
          <w:szCs w:val="22"/>
        </w:rPr>
      </w:pPr>
    </w:p>
    <w:p w14:paraId="7F938456" w14:textId="77777777" w:rsidR="00CC335F" w:rsidRDefault="00CC335F" w:rsidP="00886270">
      <w:pPr>
        <w:spacing w:after="0" w:line="360" w:lineRule="auto"/>
        <w:jc w:val="both"/>
        <w:rPr>
          <w:rFonts w:ascii="Times New Roman" w:eastAsia="Times New Roman" w:hAnsi="Times New Roman" w:cs="Times New Roman"/>
          <w:bCs/>
          <w:color w:val="000000"/>
          <w:sz w:val="22"/>
          <w:szCs w:val="22"/>
        </w:rPr>
      </w:pPr>
    </w:p>
    <w:p w14:paraId="1B439068" w14:textId="70A83203" w:rsidR="003B18E9" w:rsidRPr="00886270" w:rsidRDefault="003B18E9" w:rsidP="00886270">
      <w:pPr>
        <w:spacing w:after="0" w:line="360" w:lineRule="auto"/>
        <w:jc w:val="both"/>
        <w:rPr>
          <w:rFonts w:ascii="Times New Roman" w:eastAsia="Times New Roman" w:hAnsi="Times New Roman" w:cs="Times New Roman"/>
          <w:bCs/>
          <w:color w:val="000000"/>
          <w:sz w:val="22"/>
          <w:szCs w:val="22"/>
        </w:rPr>
      </w:pPr>
      <w:r w:rsidRPr="00886270">
        <w:rPr>
          <w:rFonts w:ascii="Times New Roman" w:eastAsia="Times New Roman" w:hAnsi="Times New Roman" w:cs="Times New Roman"/>
          <w:bCs/>
          <w:color w:val="000000"/>
          <w:sz w:val="22"/>
          <w:szCs w:val="22"/>
        </w:rPr>
        <w:t>Figure: 3 CUSUM of SQUARES GRAPH</w:t>
      </w:r>
    </w:p>
    <w:bookmarkEnd w:id="5"/>
    <w:p w14:paraId="63C1581D" w14:textId="6D57D781" w:rsidR="003B18E9" w:rsidRDefault="003B18E9" w:rsidP="00886270">
      <w:pPr>
        <w:spacing w:line="360" w:lineRule="auto"/>
        <w:jc w:val="both"/>
        <w:rPr>
          <w:rFonts w:ascii="Times New Roman" w:hAnsi="Times New Roman" w:cs="Times New Roman"/>
          <w:bCs/>
          <w:color w:val="000000"/>
          <w:sz w:val="22"/>
          <w:szCs w:val="22"/>
        </w:rPr>
      </w:pPr>
      <w:r w:rsidRPr="00886270">
        <w:rPr>
          <w:rFonts w:ascii="Times New Roman" w:hAnsi="Times New Roman" w:cs="Times New Roman"/>
          <w:bCs/>
          <w:color w:val="000000"/>
          <w:sz w:val="22"/>
          <w:szCs w:val="22"/>
        </w:rPr>
        <w:t xml:space="preserve">The CUSUM and CUSUM of squares tests indicated that the model's residual errors are within the acceptable range, suggesting the model's reliability. This implies that the short-term coefficient is stable and consistent with the long-run relationship. Additionally, the CUSUM and CUSUM-of-squares </w:t>
      </w:r>
      <w:r w:rsidRPr="00886270">
        <w:rPr>
          <w:rFonts w:ascii="Times New Roman" w:hAnsi="Times New Roman" w:cs="Times New Roman"/>
          <w:bCs/>
          <w:color w:val="000000"/>
          <w:sz w:val="22"/>
          <w:szCs w:val="22"/>
        </w:rPr>
        <w:lastRenderedPageBreak/>
        <w:t xml:space="preserve">statistics for the model remained within the 5% significance level, allowing the acceptance of the null hypothesis that all coefficients in the error correction model are stable. </w:t>
      </w:r>
    </w:p>
    <w:p w14:paraId="5DF35C83" w14:textId="02A33534" w:rsidR="00CC335F" w:rsidRDefault="00CC335F" w:rsidP="00CC335F">
      <w:pPr>
        <w:pStyle w:val="ListParagraph"/>
        <w:numPr>
          <w:ilvl w:val="0"/>
          <w:numId w:val="2"/>
        </w:numPr>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Findings</w:t>
      </w:r>
    </w:p>
    <w:p w14:paraId="1E71EF50" w14:textId="77777777" w:rsidR="00CC335F" w:rsidRDefault="00CC335F" w:rsidP="00CC335F">
      <w:pPr>
        <w:spacing w:before="100" w:after="100" w:line="360" w:lineRule="auto"/>
        <w:jc w:val="both"/>
        <w:rPr>
          <w:sz w:val="22"/>
          <w:szCs w:val="22"/>
        </w:rPr>
      </w:pPr>
      <w:r w:rsidRPr="00CC335F">
        <w:rPr>
          <w:rFonts w:ascii="Times New Roman" w:eastAsia="Times New Roman" w:hAnsi="Times New Roman" w:cs="Times New Roman"/>
          <w:kern w:val="0"/>
          <w:sz w:val="22"/>
          <w:szCs w:val="22"/>
        </w:rPr>
        <w:t>The consumption of Premium Motor Spirit and population growth have been found to be statistically significant factors that impact CO2 emissions in both the long-term and short-term. The positive coefficients associated with PMS consumption in both the short-term and long-term suggest that PMS consumption represents the most negatively influential variable in achieving environmental sustainability goals in Nigeria</w:t>
      </w:r>
      <w:r w:rsidRPr="00CC335F">
        <w:rPr>
          <w:rFonts w:ascii="Times New Roman" w:hAnsi="Times New Roman" w:cs="Times New Roman"/>
          <w:bCs/>
          <w:sz w:val="22"/>
          <w:szCs w:val="22"/>
        </w:rPr>
        <w:t>.</w:t>
      </w:r>
    </w:p>
    <w:p w14:paraId="569C6135" w14:textId="7D72213C" w:rsidR="00CC335F" w:rsidRPr="00CC335F" w:rsidRDefault="00CC335F" w:rsidP="00CC335F">
      <w:pPr>
        <w:spacing w:before="100" w:after="100" w:line="360" w:lineRule="auto"/>
        <w:jc w:val="both"/>
        <w:rPr>
          <w:sz w:val="22"/>
          <w:szCs w:val="22"/>
        </w:rPr>
      </w:pPr>
      <w:r w:rsidRPr="00CC335F">
        <w:rPr>
          <w:rFonts w:ascii="Times New Roman" w:hAnsi="Times New Roman" w:cs="Times New Roman"/>
          <w:bCs/>
          <w:color w:val="000000"/>
          <w:spacing w:val="2"/>
          <w:sz w:val="22"/>
          <w:szCs w:val="22"/>
          <w:shd w:val="clear" w:color="auto" w:fill="FFFFFF"/>
        </w:rPr>
        <w:t>This is synonymous with the pre-industrial and semi-industrial economy era of Environmental Kuznets Curve analysis characterized by abundant natural resources dwindling resources, growing industrial waste, and decreased ecosystem regeneration capacity, leading to higher ecological footprints and pollution, along with lax environmental regulations and limited conservation funding.</w:t>
      </w:r>
    </w:p>
    <w:p w14:paraId="484A1A3A" w14:textId="77777777" w:rsidR="00CC335F" w:rsidRPr="00CC335F" w:rsidRDefault="00CC335F" w:rsidP="00CC335F">
      <w:pPr>
        <w:spacing w:before="100" w:after="100" w:line="360" w:lineRule="auto"/>
        <w:jc w:val="both"/>
        <w:rPr>
          <w:sz w:val="22"/>
          <w:szCs w:val="22"/>
        </w:rPr>
      </w:pPr>
      <w:r w:rsidRPr="00CC335F">
        <w:rPr>
          <w:rFonts w:ascii="Times New Roman" w:eastAsia="Times New Roman" w:hAnsi="Times New Roman" w:cs="Times New Roman"/>
          <w:kern w:val="0"/>
          <w:sz w:val="22"/>
          <w:szCs w:val="22"/>
        </w:rPr>
        <w:t xml:space="preserve">The findings suggest that hydroelectricity, a form of renewable energy, has a statistically significant impact on CO2 emissions in Nigeria, both in the short and long term. Specifically, a 1% increase in hydroelectricity consumption is associated with a 4.7% reduction in CO2 emissions over time. This aligns with the research conducted by </w:t>
      </w:r>
      <w:proofErr w:type="spellStart"/>
      <w:r w:rsidRPr="00CC335F">
        <w:rPr>
          <w:rFonts w:ascii="Times New Roman" w:eastAsia="Times New Roman" w:hAnsi="Times New Roman" w:cs="Times New Roman"/>
          <w:kern w:val="0"/>
          <w:sz w:val="22"/>
          <w:szCs w:val="22"/>
        </w:rPr>
        <w:t>Opeyemi</w:t>
      </w:r>
      <w:proofErr w:type="spellEnd"/>
      <w:r w:rsidRPr="00CC335F">
        <w:rPr>
          <w:rFonts w:ascii="Times New Roman" w:eastAsia="Times New Roman" w:hAnsi="Times New Roman" w:cs="Times New Roman"/>
          <w:kern w:val="0"/>
          <w:sz w:val="22"/>
          <w:szCs w:val="22"/>
        </w:rPr>
        <w:t xml:space="preserve">, which indicates that the utilization of renewable energy can effectively mitigate environmental damage. Furthermore, the outcomes corroborate the findings of </w:t>
      </w:r>
      <w:proofErr w:type="spellStart"/>
      <w:r w:rsidRPr="00CC335F">
        <w:rPr>
          <w:rFonts w:ascii="Times New Roman" w:eastAsia="Times New Roman" w:hAnsi="Times New Roman" w:cs="Times New Roman"/>
          <w:kern w:val="0"/>
          <w:sz w:val="22"/>
          <w:szCs w:val="22"/>
        </w:rPr>
        <w:t>Somoye</w:t>
      </w:r>
      <w:proofErr w:type="spellEnd"/>
      <w:r w:rsidRPr="00CC335F">
        <w:rPr>
          <w:rFonts w:ascii="Times New Roman" w:eastAsia="Times New Roman" w:hAnsi="Times New Roman" w:cs="Times New Roman"/>
          <w:kern w:val="0"/>
          <w:sz w:val="22"/>
          <w:szCs w:val="22"/>
        </w:rPr>
        <w:t xml:space="preserve"> et al., demonstrating that renewable energy consumption protects the environment and preserves finite energy source</w:t>
      </w:r>
      <w:r w:rsidRPr="00CC335F">
        <w:rPr>
          <w:rFonts w:ascii="Times New Roman" w:hAnsi="Times New Roman" w:cs="Times New Roman"/>
          <w:bCs/>
          <w:sz w:val="22"/>
          <w:szCs w:val="22"/>
        </w:rPr>
        <w:t xml:space="preserve">. </w:t>
      </w:r>
    </w:p>
    <w:p w14:paraId="5DDCF318" w14:textId="77777777" w:rsidR="00CC335F" w:rsidRPr="00CC335F" w:rsidRDefault="00CC335F" w:rsidP="00CC335F">
      <w:pPr>
        <w:spacing w:line="360" w:lineRule="auto"/>
        <w:jc w:val="both"/>
        <w:rPr>
          <w:rFonts w:ascii="Times New Roman" w:hAnsi="Times New Roman" w:cs="Times New Roman"/>
          <w:bCs/>
          <w:color w:val="000000"/>
          <w:spacing w:val="2"/>
          <w:sz w:val="22"/>
          <w:szCs w:val="22"/>
          <w:shd w:val="clear" w:color="auto" w:fill="FFFFFF"/>
        </w:rPr>
      </w:pPr>
      <w:r w:rsidRPr="00CC335F">
        <w:rPr>
          <w:rFonts w:ascii="Times New Roman" w:hAnsi="Times New Roman" w:cs="Times New Roman"/>
          <w:bCs/>
          <w:color w:val="000000"/>
          <w:spacing w:val="2"/>
          <w:sz w:val="22"/>
          <w:szCs w:val="22"/>
          <w:shd w:val="clear" w:color="auto" w:fill="FFFFFF"/>
        </w:rPr>
        <w:t>This aligns with post-industrial economy of Environmental Kuznets Curve analysis characterized by structural shifts toward technology-intensive industries and services, coupled with stricter environmental regulations, resulting in reduced environmental deterioration (Zhang et al., 2022). This stage is marked by a shift in economic capacity to mitigate pollution through the adoption of clean technologies, increased societal awareness, and institutional enhancements driven by rising income levels.</w:t>
      </w:r>
    </w:p>
    <w:p w14:paraId="37E28728" w14:textId="231F0ABC" w:rsidR="003B18E9" w:rsidRPr="00EF7459" w:rsidRDefault="00CC335F" w:rsidP="00CC335F">
      <w:pPr>
        <w:pStyle w:val="ListParagraph"/>
        <w:numPr>
          <w:ilvl w:val="0"/>
          <w:numId w:val="2"/>
        </w:numPr>
        <w:spacing w:after="0" w:line="360" w:lineRule="auto"/>
        <w:rPr>
          <w:rFonts w:ascii="Times New Roman" w:eastAsia="Times New Roman" w:hAnsi="Times New Roman" w:cs="Times New Roman"/>
          <w:b/>
          <w:color w:val="000000"/>
          <w:sz w:val="22"/>
          <w:szCs w:val="22"/>
        </w:rPr>
      </w:pPr>
      <w:r w:rsidRPr="00EF7459">
        <w:rPr>
          <w:rFonts w:ascii="Times New Roman" w:eastAsia="Times New Roman" w:hAnsi="Times New Roman" w:cs="Times New Roman"/>
          <w:b/>
          <w:color w:val="000000"/>
          <w:sz w:val="22"/>
          <w:szCs w:val="22"/>
        </w:rPr>
        <w:t>Conclusion and Recommendations</w:t>
      </w:r>
    </w:p>
    <w:p w14:paraId="77176764" w14:textId="77777777" w:rsidR="003B18E9" w:rsidRPr="00886270" w:rsidRDefault="003B18E9" w:rsidP="00886270">
      <w:pPr>
        <w:spacing w:after="0" w:line="360" w:lineRule="auto"/>
        <w:jc w:val="both"/>
        <w:rPr>
          <w:rFonts w:ascii="Times New Roman" w:eastAsia="Times New Roman" w:hAnsi="Times New Roman" w:cs="Times New Roman"/>
          <w:bCs/>
          <w:sz w:val="22"/>
          <w:szCs w:val="22"/>
        </w:rPr>
      </w:pPr>
      <w:bookmarkStart w:id="6" w:name="_Toc478334051"/>
      <w:bookmarkStart w:id="7" w:name="_Toc478382248"/>
      <w:bookmarkStart w:id="8" w:name="_Hlk173482767"/>
      <w:r w:rsidRPr="00886270">
        <w:rPr>
          <w:rFonts w:ascii="Times New Roman" w:eastAsia="Times New Roman" w:hAnsi="Times New Roman" w:cs="Times New Roman"/>
          <w:bCs/>
          <w:sz w:val="22"/>
          <w:szCs w:val="22"/>
        </w:rPr>
        <w:t>Environmental sustainability has become a critical focus for multinational corporations and global organizations. Researchers across various disciplines have conducted extensive academic investigations to optimize the utilization of environmental resources. Nigeria, as a member of the international community, has participated in discussions and forums aimed at proposing solutions and recommendations to reduce CO2 emissions and enhance global environmental quality. This study examines the relationship between petroleum consumption, renewable energy consumption, population growth, and environmental sustainability in Nigeria. The findings reveal several policy recommendations:</w:t>
      </w:r>
    </w:p>
    <w:p w14:paraId="57E66582" w14:textId="77777777" w:rsidR="003B18E9" w:rsidRPr="00886270" w:rsidRDefault="003B18E9" w:rsidP="00886270">
      <w:pPr>
        <w:spacing w:after="0" w:line="360" w:lineRule="auto"/>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lastRenderedPageBreak/>
        <w:t>The research suggests that the consumption of Premium Motor Spirit is the most impactful factor hindering Nigeria's progress towards environmental sustainability. This indicates that the current PMS consumption pattern in Nigeria must be reversed to ensure progress towards the attainment of environmental sustainability goals. Therefore, the government should implement a comprehensive PMS consumption reduction policy to mitigate future emissions and safeguard the environment for present and future generations.</w:t>
      </w:r>
    </w:p>
    <w:p w14:paraId="3936139C" w14:textId="77777777" w:rsidR="003B18E9" w:rsidRPr="00886270" w:rsidRDefault="003B18E9" w:rsidP="00886270">
      <w:pPr>
        <w:spacing w:after="0" w:line="360" w:lineRule="auto"/>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t>Hydroelectricity consumption, which serves as a proxy for renewable energy consumption, was found to have a significant reducing impact on CO2 emissions. This suggests that Nigeria should consistently develop and review policies and programs that promote the rapid production and utilization of energy from renewable sources, aligned with the national goal of attaining environmental sustainability.</w:t>
      </w:r>
    </w:p>
    <w:p w14:paraId="6A9B0BC8" w14:textId="77777777" w:rsidR="003B18E9" w:rsidRPr="00886270" w:rsidRDefault="003B18E9" w:rsidP="00886270">
      <w:pPr>
        <w:spacing w:after="0" w:line="360" w:lineRule="auto"/>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t>In conclusion, this research revealed that the consumption of fossil fuels, such as PMS, and population growth deplete non-renewable resources, reduce environmental quality, and undermine the concept of environmental sustainability. Conversely, the consumption of energy from renewable sources, such as hydroelectricity, improves the quality of the environment in Nigeria. It is essential that Nigeria acquires new and cleaner technologies and channels the revenue from fossil fuels towards the production of renewable energy to further assist in attaining environmental sustainability.</w:t>
      </w:r>
    </w:p>
    <w:p w14:paraId="591FD5C4" w14:textId="77777777" w:rsidR="003B18E9" w:rsidRPr="00886270" w:rsidRDefault="003B18E9" w:rsidP="00886270">
      <w:pPr>
        <w:spacing w:after="0" w:line="360" w:lineRule="auto"/>
        <w:jc w:val="both"/>
        <w:rPr>
          <w:rFonts w:ascii="Times New Roman" w:eastAsia="Times New Roman" w:hAnsi="Times New Roman" w:cs="Times New Roman"/>
          <w:bCs/>
          <w:sz w:val="22"/>
          <w:szCs w:val="22"/>
        </w:rPr>
      </w:pPr>
    </w:p>
    <w:p w14:paraId="35589F70" w14:textId="77777777" w:rsidR="003B18E9" w:rsidRPr="00EF7459" w:rsidRDefault="003B18E9" w:rsidP="00886270">
      <w:pPr>
        <w:spacing w:after="0" w:line="360" w:lineRule="auto"/>
        <w:jc w:val="both"/>
        <w:rPr>
          <w:rFonts w:ascii="Times New Roman" w:eastAsia="Times New Roman" w:hAnsi="Times New Roman" w:cs="Times New Roman"/>
          <w:b/>
          <w:color w:val="000000"/>
          <w:sz w:val="22"/>
          <w:szCs w:val="22"/>
        </w:rPr>
      </w:pPr>
      <w:r w:rsidRPr="00EF7459">
        <w:rPr>
          <w:rFonts w:ascii="Times New Roman" w:eastAsia="Times New Roman" w:hAnsi="Times New Roman" w:cs="Times New Roman"/>
          <w:b/>
          <w:color w:val="000000"/>
          <w:sz w:val="22"/>
          <w:szCs w:val="22"/>
        </w:rPr>
        <w:t xml:space="preserve">Recommendations </w:t>
      </w:r>
      <w:bookmarkEnd w:id="6"/>
      <w:bookmarkEnd w:id="7"/>
    </w:p>
    <w:bookmarkEnd w:id="8"/>
    <w:p w14:paraId="23E9605C" w14:textId="77777777" w:rsidR="003B18E9" w:rsidRPr="00886270" w:rsidRDefault="003B18E9" w:rsidP="00886270">
      <w:pPr>
        <w:spacing w:line="360" w:lineRule="auto"/>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t>Based on the finding that increasing hydroelectric power consumption can reduce CO2 emissions by 4.3% in Nigeria, experts should explore advancements in hydroelectric technology that could further enhance efficiency and mitigate environmental impacts. Additionally, research should investigate the long-term sustainability of hydroelectric projects, considering factors such as climate change, water availability, and maintenance costs.</w:t>
      </w:r>
    </w:p>
    <w:p w14:paraId="4B2266A3" w14:textId="77777777" w:rsidR="003B18E9" w:rsidRPr="00886270" w:rsidRDefault="003B18E9" w:rsidP="00886270">
      <w:pPr>
        <w:spacing w:line="360" w:lineRule="auto"/>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t>Furthermore, the findings of this study indicate that population growth significantly impacts CO2 emissions in Nigeria. Future research should focus on identifying strategic population management approaches and examining the role of public behavior and lifestyle choices in CO2 emissions. This would provide a better understanding of how public awareness and behavior modification can contribute to sustainability efforts</w:t>
      </w:r>
    </w:p>
    <w:p w14:paraId="4390E281" w14:textId="77777777" w:rsidR="003B18E9" w:rsidRPr="00886270" w:rsidRDefault="003B18E9" w:rsidP="00886270">
      <w:pPr>
        <w:spacing w:line="360" w:lineRule="auto"/>
        <w:jc w:val="both"/>
        <w:rPr>
          <w:rFonts w:ascii="Times New Roman" w:eastAsia="Times New Roman" w:hAnsi="Times New Roman" w:cs="Times New Roman"/>
          <w:bCs/>
          <w:sz w:val="22"/>
          <w:szCs w:val="22"/>
        </w:rPr>
      </w:pPr>
    </w:p>
    <w:p w14:paraId="46C85B5F" w14:textId="07507462" w:rsidR="008B1CF7" w:rsidRPr="00EF7459" w:rsidRDefault="003B18E9" w:rsidP="00EF7459">
      <w:pPr>
        <w:spacing w:line="360" w:lineRule="auto"/>
        <w:jc w:val="both"/>
        <w:rPr>
          <w:rFonts w:ascii="Times New Roman" w:eastAsia="Times New Roman" w:hAnsi="Times New Roman" w:cs="Times New Roman"/>
          <w:b/>
          <w:sz w:val="22"/>
          <w:szCs w:val="22"/>
        </w:rPr>
      </w:pPr>
      <w:r w:rsidRPr="00EF7459">
        <w:rPr>
          <w:rFonts w:ascii="Times New Roman" w:eastAsia="Times New Roman" w:hAnsi="Times New Roman" w:cs="Times New Roman"/>
          <w:b/>
          <w:sz w:val="22"/>
          <w:szCs w:val="22"/>
        </w:rPr>
        <w:t>References</w:t>
      </w:r>
    </w:p>
    <w:p w14:paraId="0F6634F0" w14:textId="381D38C3" w:rsidR="008B1CF7" w:rsidRPr="00886270" w:rsidRDefault="008B1CF7" w:rsidP="00886270">
      <w:pPr>
        <w:spacing w:line="360" w:lineRule="auto"/>
        <w:ind w:left="851" w:hanging="851"/>
        <w:jc w:val="both"/>
        <w:rPr>
          <w:sz w:val="22"/>
          <w:szCs w:val="22"/>
        </w:rPr>
      </w:pPr>
      <w:proofErr w:type="spellStart"/>
      <w:r w:rsidRPr="00886270">
        <w:rPr>
          <w:rFonts w:ascii="Times New Roman" w:hAnsi="Times New Roman" w:cs="Times New Roman"/>
          <w:sz w:val="22"/>
          <w:szCs w:val="22"/>
        </w:rPr>
        <w:t>Achuo</w:t>
      </w:r>
      <w:proofErr w:type="spellEnd"/>
      <w:r w:rsidRPr="00886270">
        <w:rPr>
          <w:rFonts w:ascii="Times New Roman" w:hAnsi="Times New Roman" w:cs="Times New Roman"/>
          <w:sz w:val="22"/>
          <w:szCs w:val="22"/>
        </w:rPr>
        <w:t xml:space="preserve">, E.D., </w:t>
      </w:r>
      <w:proofErr w:type="spellStart"/>
      <w:r w:rsidRPr="00886270">
        <w:rPr>
          <w:rFonts w:ascii="Times New Roman" w:hAnsi="Times New Roman" w:cs="Times New Roman"/>
          <w:sz w:val="22"/>
          <w:szCs w:val="22"/>
        </w:rPr>
        <w:t>Miamo</w:t>
      </w:r>
      <w:proofErr w:type="spellEnd"/>
      <w:r w:rsidRPr="00886270">
        <w:rPr>
          <w:rFonts w:ascii="Times New Roman" w:hAnsi="Times New Roman" w:cs="Times New Roman"/>
          <w:sz w:val="22"/>
          <w:szCs w:val="22"/>
        </w:rPr>
        <w:t xml:space="preserve">, C.W. and </w:t>
      </w:r>
      <w:proofErr w:type="spellStart"/>
      <w:r w:rsidRPr="00886270">
        <w:rPr>
          <w:rFonts w:ascii="Times New Roman" w:hAnsi="Times New Roman" w:cs="Times New Roman"/>
          <w:sz w:val="22"/>
          <w:szCs w:val="22"/>
        </w:rPr>
        <w:t>Nchofoung</w:t>
      </w:r>
      <w:proofErr w:type="spellEnd"/>
      <w:r w:rsidRPr="00886270">
        <w:rPr>
          <w:rFonts w:ascii="Times New Roman" w:hAnsi="Times New Roman" w:cs="Times New Roman"/>
          <w:sz w:val="22"/>
          <w:szCs w:val="22"/>
        </w:rPr>
        <w:t>, T.N. (2022). Energy consumption and environmental sustainability: What lessons for posterity? Energy Reports, 8, 12491–12502.</w:t>
      </w:r>
      <w:hyperlink r:id="rId26" w:history="1">
        <w:r w:rsidRPr="00886270">
          <w:rPr>
            <w:rStyle w:val="Hyperlink"/>
            <w:rFonts w:ascii="Times New Roman" w:hAnsi="Times New Roman" w:cs="Times New Roman"/>
            <w:sz w:val="22"/>
            <w:szCs w:val="22"/>
          </w:rPr>
          <w:t>https://www.researchgate.net/publication/364100425_Energy_consumption_and_environmental_sustainability_What_lessons_for_posterity</w:t>
        </w:r>
      </w:hyperlink>
    </w:p>
    <w:p w14:paraId="5F09A477"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lastRenderedPageBreak/>
        <w:t xml:space="preserve"> Aliyu, Y. A., </w:t>
      </w:r>
      <w:proofErr w:type="spellStart"/>
      <w:r w:rsidRPr="00886270">
        <w:rPr>
          <w:rFonts w:ascii="Times New Roman" w:eastAsia="Times New Roman" w:hAnsi="Times New Roman" w:cs="Times New Roman"/>
          <w:bCs/>
          <w:sz w:val="22"/>
          <w:szCs w:val="22"/>
        </w:rPr>
        <w:t>Botai</w:t>
      </w:r>
      <w:proofErr w:type="spellEnd"/>
      <w:r w:rsidRPr="00886270">
        <w:rPr>
          <w:rFonts w:ascii="Times New Roman" w:eastAsia="Times New Roman" w:hAnsi="Times New Roman" w:cs="Times New Roman"/>
          <w:bCs/>
          <w:sz w:val="22"/>
          <w:szCs w:val="22"/>
        </w:rPr>
        <w:t xml:space="preserve">, J. O., Abubakar, A. Z., </w:t>
      </w:r>
      <w:proofErr w:type="spellStart"/>
      <w:r w:rsidRPr="00886270">
        <w:rPr>
          <w:rFonts w:ascii="Times New Roman" w:eastAsia="Times New Roman" w:hAnsi="Times New Roman" w:cs="Times New Roman"/>
          <w:bCs/>
          <w:sz w:val="22"/>
          <w:szCs w:val="22"/>
        </w:rPr>
        <w:t>Youngu</w:t>
      </w:r>
      <w:proofErr w:type="spellEnd"/>
      <w:r w:rsidRPr="00886270">
        <w:rPr>
          <w:rFonts w:ascii="Times New Roman" w:eastAsia="Times New Roman" w:hAnsi="Times New Roman" w:cs="Times New Roman"/>
          <w:bCs/>
          <w:sz w:val="22"/>
          <w:szCs w:val="22"/>
        </w:rPr>
        <w:t xml:space="preserve">, T. T., </w:t>
      </w:r>
      <w:proofErr w:type="spellStart"/>
      <w:r w:rsidRPr="00886270">
        <w:rPr>
          <w:rFonts w:ascii="Times New Roman" w:eastAsia="Times New Roman" w:hAnsi="Times New Roman" w:cs="Times New Roman"/>
          <w:bCs/>
          <w:sz w:val="22"/>
          <w:szCs w:val="22"/>
        </w:rPr>
        <w:t>Sule</w:t>
      </w:r>
      <w:proofErr w:type="spellEnd"/>
      <w:r w:rsidRPr="00886270">
        <w:rPr>
          <w:rFonts w:ascii="Times New Roman" w:eastAsia="Times New Roman" w:hAnsi="Times New Roman" w:cs="Times New Roman"/>
          <w:bCs/>
          <w:sz w:val="22"/>
          <w:szCs w:val="22"/>
        </w:rPr>
        <w:t xml:space="preserve">, J. O., </w:t>
      </w:r>
      <w:proofErr w:type="spellStart"/>
      <w:r w:rsidRPr="00886270">
        <w:rPr>
          <w:rFonts w:ascii="Times New Roman" w:eastAsia="Times New Roman" w:hAnsi="Times New Roman" w:cs="Times New Roman"/>
          <w:bCs/>
          <w:sz w:val="22"/>
          <w:szCs w:val="22"/>
        </w:rPr>
        <w:t>Shebe</w:t>
      </w:r>
      <w:proofErr w:type="spellEnd"/>
      <w:r w:rsidRPr="00886270">
        <w:rPr>
          <w:rFonts w:ascii="Times New Roman" w:eastAsia="Times New Roman" w:hAnsi="Times New Roman" w:cs="Times New Roman"/>
          <w:bCs/>
          <w:sz w:val="22"/>
          <w:szCs w:val="22"/>
        </w:rPr>
        <w:t xml:space="preserve">, M. W., &amp; </w:t>
      </w:r>
      <w:proofErr w:type="spellStart"/>
      <w:r w:rsidRPr="00886270">
        <w:rPr>
          <w:rFonts w:ascii="Times New Roman" w:eastAsia="Times New Roman" w:hAnsi="Times New Roman" w:cs="Times New Roman"/>
          <w:bCs/>
          <w:sz w:val="22"/>
          <w:szCs w:val="22"/>
        </w:rPr>
        <w:t>Bichi</w:t>
      </w:r>
      <w:proofErr w:type="spellEnd"/>
      <w:r w:rsidRPr="00886270">
        <w:rPr>
          <w:rFonts w:ascii="Times New Roman" w:eastAsia="Times New Roman" w:hAnsi="Times New Roman" w:cs="Times New Roman"/>
          <w:bCs/>
          <w:sz w:val="22"/>
          <w:szCs w:val="22"/>
        </w:rPr>
        <w:t xml:space="preserve">, M. A. (2020). Atmospheric Air Pollution in Nigeria: A Correlation between Vehicular Traffic and Criteria Pollutant Levels. In </w:t>
      </w:r>
      <w:proofErr w:type="spellStart"/>
      <w:r w:rsidRPr="00886270">
        <w:rPr>
          <w:rFonts w:ascii="Times New Roman" w:eastAsia="Times New Roman" w:hAnsi="Times New Roman" w:cs="Times New Roman"/>
          <w:bCs/>
          <w:sz w:val="22"/>
          <w:szCs w:val="22"/>
        </w:rPr>
        <w:t>IntechOpen</w:t>
      </w:r>
      <w:proofErr w:type="spellEnd"/>
      <w:r w:rsidRPr="00886270">
        <w:rPr>
          <w:rFonts w:ascii="Times New Roman" w:eastAsia="Times New Roman" w:hAnsi="Times New Roman" w:cs="Times New Roman"/>
          <w:bCs/>
          <w:sz w:val="22"/>
          <w:szCs w:val="22"/>
        </w:rPr>
        <w:t xml:space="preserve"> eBooks. </w:t>
      </w:r>
      <w:proofErr w:type="spellStart"/>
      <w:r w:rsidRPr="00886270">
        <w:rPr>
          <w:rFonts w:ascii="Times New Roman" w:eastAsia="Times New Roman" w:hAnsi="Times New Roman" w:cs="Times New Roman"/>
          <w:bCs/>
          <w:sz w:val="22"/>
          <w:szCs w:val="22"/>
        </w:rPr>
        <w:t>IntechOpen</w:t>
      </w:r>
      <w:proofErr w:type="spellEnd"/>
      <w:r w:rsidRPr="00886270">
        <w:rPr>
          <w:rFonts w:ascii="Times New Roman" w:eastAsia="Times New Roman" w:hAnsi="Times New Roman" w:cs="Times New Roman"/>
          <w:bCs/>
          <w:sz w:val="22"/>
          <w:szCs w:val="22"/>
        </w:rPr>
        <w:t xml:space="preserve">. </w:t>
      </w:r>
      <w:hyperlink r:id="rId27" w:history="1">
        <w:r w:rsidRPr="00886270">
          <w:rPr>
            <w:rStyle w:val="Hyperlink"/>
            <w:rFonts w:ascii="Times New Roman" w:eastAsia="Times New Roman" w:hAnsi="Times New Roman" w:cs="Times New Roman"/>
            <w:bCs/>
            <w:sz w:val="22"/>
            <w:szCs w:val="22"/>
          </w:rPr>
          <w:t>https://doi.org/10.5772/intechopen.86554</w:t>
        </w:r>
      </w:hyperlink>
    </w:p>
    <w:p w14:paraId="0FF75BCD" w14:textId="77777777" w:rsidR="008B1CF7" w:rsidRPr="00886270" w:rsidRDefault="008B1CF7" w:rsidP="00886270">
      <w:pPr>
        <w:spacing w:line="360" w:lineRule="auto"/>
        <w:ind w:left="851" w:hanging="851"/>
        <w:jc w:val="both"/>
        <w:rPr>
          <w:sz w:val="22"/>
          <w:szCs w:val="22"/>
        </w:rPr>
      </w:pPr>
      <w:proofErr w:type="spellStart"/>
      <w:r w:rsidRPr="00886270">
        <w:rPr>
          <w:rFonts w:ascii="Times New Roman" w:eastAsia="Times New Roman" w:hAnsi="Times New Roman" w:cs="Times New Roman"/>
          <w:bCs/>
          <w:sz w:val="22"/>
          <w:szCs w:val="22"/>
        </w:rPr>
        <w:t>Arize</w:t>
      </w:r>
      <w:proofErr w:type="spellEnd"/>
      <w:r w:rsidRPr="00886270">
        <w:rPr>
          <w:rFonts w:ascii="Times New Roman" w:eastAsia="Times New Roman" w:hAnsi="Times New Roman" w:cs="Times New Roman"/>
          <w:bCs/>
          <w:sz w:val="22"/>
          <w:szCs w:val="22"/>
        </w:rPr>
        <w:t xml:space="preserve">, A. C. (2017). A convenient method for the estimation of ARDL parameters and test statistics: USA trade balance and real effective exchange rate relation. In International Review of Economics &amp; Finance (Vol. 50, p. 75). Elsevier BV. </w:t>
      </w:r>
      <w:hyperlink r:id="rId28" w:history="1">
        <w:r w:rsidRPr="00886270">
          <w:rPr>
            <w:rStyle w:val="Hyperlink"/>
            <w:rFonts w:ascii="Times New Roman" w:eastAsia="Times New Roman" w:hAnsi="Times New Roman" w:cs="Times New Roman"/>
            <w:bCs/>
            <w:sz w:val="22"/>
            <w:szCs w:val="22"/>
          </w:rPr>
          <w:t>https://doi.org/10.1016/j.iref.2017.03.024</w:t>
        </w:r>
      </w:hyperlink>
    </w:p>
    <w:p w14:paraId="1F897089" w14:textId="77777777" w:rsidR="008B1CF7" w:rsidRPr="00886270" w:rsidRDefault="008B1CF7" w:rsidP="00886270">
      <w:pPr>
        <w:spacing w:line="360" w:lineRule="auto"/>
        <w:ind w:left="851" w:hanging="851"/>
        <w:jc w:val="both"/>
        <w:rPr>
          <w:sz w:val="22"/>
          <w:szCs w:val="22"/>
        </w:rPr>
      </w:pPr>
      <w:proofErr w:type="spellStart"/>
      <w:r w:rsidRPr="00886270">
        <w:rPr>
          <w:rFonts w:ascii="Times New Roman" w:hAnsi="Times New Roman" w:cs="Times New Roman"/>
          <w:sz w:val="22"/>
          <w:szCs w:val="22"/>
        </w:rPr>
        <w:t>Asongu</w:t>
      </w:r>
      <w:proofErr w:type="spellEnd"/>
      <w:r w:rsidRPr="00886270">
        <w:rPr>
          <w:rFonts w:ascii="Times New Roman" w:hAnsi="Times New Roman" w:cs="Times New Roman"/>
          <w:sz w:val="22"/>
          <w:szCs w:val="22"/>
        </w:rPr>
        <w:t>, S. A., </w:t>
      </w:r>
      <w:proofErr w:type="spellStart"/>
      <w:r w:rsidRPr="00886270">
        <w:rPr>
          <w:rFonts w:ascii="Times New Roman" w:hAnsi="Times New Roman" w:cs="Times New Roman"/>
          <w:sz w:val="22"/>
          <w:szCs w:val="22"/>
        </w:rPr>
        <w:t>Agboola</w:t>
      </w:r>
      <w:proofErr w:type="spellEnd"/>
      <w:r w:rsidRPr="00886270">
        <w:rPr>
          <w:rFonts w:ascii="Times New Roman" w:hAnsi="Times New Roman" w:cs="Times New Roman"/>
          <w:sz w:val="22"/>
          <w:szCs w:val="22"/>
        </w:rPr>
        <w:t xml:space="preserve">, M. O., </w:t>
      </w:r>
      <w:proofErr w:type="spellStart"/>
      <w:r w:rsidRPr="00886270">
        <w:rPr>
          <w:rFonts w:ascii="Times New Roman" w:hAnsi="Times New Roman" w:cs="Times New Roman"/>
          <w:sz w:val="22"/>
          <w:szCs w:val="22"/>
        </w:rPr>
        <w:t>Alola</w:t>
      </w:r>
      <w:proofErr w:type="spellEnd"/>
      <w:r w:rsidRPr="00886270">
        <w:rPr>
          <w:rFonts w:ascii="Times New Roman" w:hAnsi="Times New Roman" w:cs="Times New Roman"/>
          <w:sz w:val="22"/>
          <w:szCs w:val="22"/>
        </w:rPr>
        <w:t xml:space="preserve">, A. A. and </w:t>
      </w:r>
      <w:proofErr w:type="spellStart"/>
      <w:r w:rsidRPr="00886270">
        <w:rPr>
          <w:rFonts w:ascii="Times New Roman" w:hAnsi="Times New Roman" w:cs="Times New Roman"/>
          <w:sz w:val="22"/>
          <w:szCs w:val="22"/>
        </w:rPr>
        <w:t>Bekun</w:t>
      </w:r>
      <w:proofErr w:type="spellEnd"/>
      <w:r w:rsidRPr="00886270">
        <w:rPr>
          <w:rFonts w:ascii="Times New Roman" w:hAnsi="Times New Roman" w:cs="Times New Roman"/>
          <w:sz w:val="22"/>
          <w:szCs w:val="22"/>
        </w:rPr>
        <w:t xml:space="preserve">, F. V. (2020). The Criticality of Growth, Urbanization, Electricity and Fossil Fuel Consumption to Environment Sustainability in Africa. </w:t>
      </w:r>
      <w:hyperlink r:id="rId29" w:tooltip="Go to Science of The Total Environment on ScienceDirect" w:history="1">
        <w:r w:rsidRPr="00886270">
          <w:rPr>
            <w:rFonts w:ascii="Times New Roman" w:hAnsi="Times New Roman" w:cs="Times New Roman"/>
            <w:sz w:val="22"/>
            <w:szCs w:val="22"/>
          </w:rPr>
          <w:t>Science of the Total Environment</w:t>
        </w:r>
      </w:hyperlink>
      <w:r w:rsidRPr="00886270">
        <w:rPr>
          <w:rFonts w:ascii="Times New Roman" w:hAnsi="Times New Roman" w:cs="Times New Roman"/>
          <w:sz w:val="22"/>
          <w:szCs w:val="22"/>
        </w:rPr>
        <w:t xml:space="preserve"> </w:t>
      </w:r>
      <w:hyperlink r:id="rId30" w:tooltip="Go to table of contents for this volume/issue" w:history="1">
        <w:r w:rsidRPr="00886270">
          <w:rPr>
            <w:rFonts w:ascii="Times New Roman" w:hAnsi="Times New Roman" w:cs="Times New Roman"/>
            <w:sz w:val="22"/>
            <w:szCs w:val="22"/>
          </w:rPr>
          <w:t>Volume 712</w:t>
        </w:r>
      </w:hyperlink>
      <w:r w:rsidRPr="00886270">
        <w:rPr>
          <w:rFonts w:ascii="Times New Roman" w:hAnsi="Times New Roman" w:cs="Times New Roman"/>
          <w:sz w:val="22"/>
          <w:szCs w:val="22"/>
        </w:rPr>
        <w:t xml:space="preserve">, 136376. </w:t>
      </w:r>
      <w:hyperlink r:id="rId31" w:history="1">
        <w:r w:rsidRPr="00886270">
          <w:rPr>
            <w:rStyle w:val="Hyperlink"/>
            <w:rFonts w:ascii="Times New Roman" w:hAnsi="Times New Roman" w:cs="Times New Roman"/>
            <w:sz w:val="22"/>
            <w:szCs w:val="22"/>
          </w:rPr>
          <w:t>https://www.sciencedirect.com/science/article/abs/pii/S0048969719363727</w:t>
        </w:r>
      </w:hyperlink>
    </w:p>
    <w:p w14:paraId="76AEFFEC" w14:textId="77777777" w:rsidR="008B1CF7" w:rsidRPr="00886270" w:rsidRDefault="00DB56EF" w:rsidP="00886270">
      <w:pPr>
        <w:spacing w:line="360" w:lineRule="auto"/>
        <w:ind w:left="851" w:hanging="851"/>
        <w:jc w:val="both"/>
        <w:rPr>
          <w:sz w:val="22"/>
          <w:szCs w:val="22"/>
        </w:rPr>
      </w:pPr>
      <w:hyperlink r:id="rId32" w:history="1">
        <w:r w:rsidR="008B1CF7" w:rsidRPr="00886270">
          <w:rPr>
            <w:rStyle w:val="Hyperlink"/>
            <w:rFonts w:ascii="Times New Roman" w:hAnsi="Times New Roman" w:cs="Times New Roman"/>
            <w:color w:val="auto"/>
            <w:sz w:val="22"/>
            <w:szCs w:val="22"/>
            <w:u w:val="none"/>
          </w:rPr>
          <w:t>Bernard</w:t>
        </w:r>
      </w:hyperlink>
      <w:r w:rsidR="008B1CF7" w:rsidRPr="00886270">
        <w:rPr>
          <w:rFonts w:ascii="Times New Roman" w:hAnsi="Times New Roman" w:cs="Times New Roman"/>
          <w:sz w:val="22"/>
          <w:szCs w:val="22"/>
        </w:rPr>
        <w:t xml:space="preserve">, A. O., </w:t>
      </w:r>
      <w:hyperlink r:id="rId33" w:history="1">
        <w:r w:rsidR="008B1CF7" w:rsidRPr="00886270">
          <w:rPr>
            <w:rStyle w:val="Hyperlink"/>
            <w:rFonts w:ascii="Times New Roman" w:hAnsi="Times New Roman" w:cs="Times New Roman"/>
            <w:color w:val="auto"/>
            <w:sz w:val="22"/>
            <w:szCs w:val="22"/>
            <w:u w:val="none"/>
          </w:rPr>
          <w:t xml:space="preserve"> Ezenekwe</w:t>
        </w:r>
      </w:hyperlink>
      <w:r w:rsidR="008B1CF7" w:rsidRPr="00886270">
        <w:rPr>
          <w:rFonts w:ascii="Times New Roman" w:hAnsi="Times New Roman" w:cs="Times New Roman"/>
          <w:sz w:val="22"/>
          <w:szCs w:val="22"/>
        </w:rPr>
        <w:t>, U. R. and</w:t>
      </w:r>
      <w:hyperlink r:id="rId34" w:history="1">
        <w:r w:rsidR="008B1CF7" w:rsidRPr="00886270">
          <w:rPr>
            <w:rStyle w:val="Hyperlink"/>
            <w:rFonts w:ascii="Times New Roman" w:hAnsi="Times New Roman" w:cs="Times New Roman"/>
            <w:color w:val="auto"/>
            <w:sz w:val="22"/>
            <w:szCs w:val="22"/>
            <w:u w:val="none"/>
          </w:rPr>
          <w:t xml:space="preserve"> Uzonwanne</w:t>
        </w:r>
      </w:hyperlink>
      <w:r w:rsidR="008B1CF7" w:rsidRPr="00886270">
        <w:rPr>
          <w:rFonts w:ascii="Times New Roman" w:hAnsi="Times New Roman" w:cs="Times New Roman"/>
          <w:sz w:val="22"/>
          <w:szCs w:val="22"/>
        </w:rPr>
        <w:t xml:space="preserve">, C. (2018). Analysis of the Effect of Energy Consumption, CO2 Emission on Economic Growth in Nigeria. </w:t>
      </w:r>
      <w:r w:rsidR="008B1CF7" w:rsidRPr="00886270">
        <w:rPr>
          <w:rFonts w:ascii="Times New Roman" w:hAnsi="Times New Roman" w:cs="Times New Roman"/>
          <w:color w:val="000000"/>
          <w:sz w:val="22"/>
          <w:szCs w:val="22"/>
          <w:shd w:val="clear" w:color="auto" w:fill="FFFFFF"/>
        </w:rPr>
        <w:t xml:space="preserve">Journal of Social Sciences and Education, Volume 1, Issue Number 1, June 2018. </w:t>
      </w:r>
      <w:hyperlink r:id="rId35" w:history="1">
        <w:r w:rsidR="008B1CF7" w:rsidRPr="00886270">
          <w:rPr>
            <w:rStyle w:val="Hyperlink"/>
            <w:rFonts w:ascii="Times New Roman" w:hAnsi="Times New Roman" w:cs="Times New Roman"/>
            <w:sz w:val="22"/>
            <w:szCs w:val="22"/>
          </w:rPr>
          <w:t>https://www.researchgate.net/publication/341103417_ANALYSIS_OF_THE_EFFECT_OF_ENERGY_CONSUMPTION_CO_2_EMISSION_ON_ECONOMIC_GROWTH_IN_NIGERIA</w:t>
        </w:r>
      </w:hyperlink>
    </w:p>
    <w:p w14:paraId="329CFDDE"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Bertinelli</w:t>
      </w:r>
      <w:proofErr w:type="spellEnd"/>
      <w:r w:rsidRPr="00886270">
        <w:rPr>
          <w:rFonts w:ascii="Times New Roman" w:eastAsia="Times New Roman" w:hAnsi="Times New Roman" w:cs="Times New Roman"/>
          <w:bCs/>
          <w:sz w:val="22"/>
          <w:szCs w:val="22"/>
        </w:rPr>
        <w:t xml:space="preserve">, L., Strobl, E., &amp; Zou, B. (2011). Sustainable economic development and the environment: Theory and evidence. In Energy Economics (Vol. 34, Issue 4, p. 1105). Elsevier BV. </w:t>
      </w:r>
      <w:hyperlink r:id="rId36" w:history="1">
        <w:r w:rsidRPr="00886270">
          <w:rPr>
            <w:rStyle w:val="Hyperlink"/>
            <w:rFonts w:ascii="Times New Roman" w:eastAsia="Times New Roman" w:hAnsi="Times New Roman" w:cs="Times New Roman"/>
            <w:bCs/>
            <w:sz w:val="22"/>
            <w:szCs w:val="22"/>
          </w:rPr>
          <w:t>https://doi.org/10.1016/j.eneco.2011.09.007</w:t>
        </w:r>
      </w:hyperlink>
    </w:p>
    <w:p w14:paraId="4BC3EE50"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Carson, R. T. (2009). The Environmental Kuznets Curve: Seeking Empirical Regularity and Theoretical Structure. In Review of Environmental Economics and Policy (Vol. 4, Issue 1, p. 3). University of Chicago Press. </w:t>
      </w:r>
      <w:hyperlink r:id="rId37" w:history="1">
        <w:r w:rsidRPr="00886270">
          <w:rPr>
            <w:rStyle w:val="Hyperlink"/>
            <w:rFonts w:ascii="Times New Roman" w:eastAsia="Times New Roman" w:hAnsi="Times New Roman" w:cs="Times New Roman"/>
            <w:bCs/>
            <w:sz w:val="22"/>
            <w:szCs w:val="22"/>
          </w:rPr>
          <w:t>https://doi.org/10.1093/reep/rep021</w:t>
        </w:r>
      </w:hyperlink>
    </w:p>
    <w:p w14:paraId="369A4389" w14:textId="77777777" w:rsidR="008B1CF7" w:rsidRPr="00886270" w:rsidRDefault="008B1CF7" w:rsidP="00886270">
      <w:pPr>
        <w:spacing w:line="360" w:lineRule="auto"/>
        <w:ind w:left="851" w:hanging="851"/>
        <w:jc w:val="both"/>
        <w:rPr>
          <w:rFonts w:ascii="Times New Roman" w:eastAsia="Times New Roman" w:hAnsi="Times New Roman" w:cs="Times New Roman"/>
          <w:bCs/>
          <w:sz w:val="22"/>
          <w:szCs w:val="22"/>
        </w:rPr>
      </w:pPr>
      <w:r w:rsidRPr="00886270">
        <w:rPr>
          <w:rFonts w:ascii="Times New Roman" w:eastAsia="Times New Roman" w:hAnsi="Times New Roman" w:cs="Times New Roman"/>
          <w:bCs/>
          <w:sz w:val="22"/>
          <w:szCs w:val="22"/>
        </w:rPr>
        <w:t xml:space="preserve">Das, H., Lin, Y., </w:t>
      </w:r>
      <w:proofErr w:type="spellStart"/>
      <w:r w:rsidRPr="00886270">
        <w:rPr>
          <w:rFonts w:ascii="Times New Roman" w:eastAsia="Times New Roman" w:hAnsi="Times New Roman" w:cs="Times New Roman"/>
          <w:bCs/>
          <w:sz w:val="22"/>
          <w:szCs w:val="22"/>
        </w:rPr>
        <w:t>Agwan</w:t>
      </w:r>
      <w:proofErr w:type="spellEnd"/>
      <w:r w:rsidRPr="00886270">
        <w:rPr>
          <w:rFonts w:ascii="Times New Roman" w:eastAsia="Times New Roman" w:hAnsi="Times New Roman" w:cs="Times New Roman"/>
          <w:bCs/>
          <w:sz w:val="22"/>
          <w:szCs w:val="22"/>
        </w:rPr>
        <w:t xml:space="preserve">, U., </w:t>
      </w:r>
      <w:proofErr w:type="spellStart"/>
      <w:r w:rsidRPr="00886270">
        <w:rPr>
          <w:rFonts w:ascii="Times New Roman" w:eastAsia="Times New Roman" w:hAnsi="Times New Roman" w:cs="Times New Roman"/>
          <w:bCs/>
          <w:sz w:val="22"/>
          <w:szCs w:val="22"/>
        </w:rPr>
        <w:t>Spangher</w:t>
      </w:r>
      <w:proofErr w:type="spellEnd"/>
      <w:r w:rsidRPr="00886270">
        <w:rPr>
          <w:rFonts w:ascii="Times New Roman" w:eastAsia="Times New Roman" w:hAnsi="Times New Roman" w:cs="Times New Roman"/>
          <w:bCs/>
          <w:sz w:val="22"/>
          <w:szCs w:val="22"/>
        </w:rPr>
        <w:t xml:space="preserve">, L., Devonport, A., Yang, Y., </w:t>
      </w:r>
      <w:proofErr w:type="spellStart"/>
      <w:r w:rsidRPr="00886270">
        <w:rPr>
          <w:rFonts w:ascii="Times New Roman" w:eastAsia="Times New Roman" w:hAnsi="Times New Roman" w:cs="Times New Roman"/>
          <w:bCs/>
          <w:sz w:val="22"/>
          <w:szCs w:val="22"/>
        </w:rPr>
        <w:t>Drgoňa</w:t>
      </w:r>
      <w:proofErr w:type="spellEnd"/>
      <w:r w:rsidRPr="00886270">
        <w:rPr>
          <w:rFonts w:ascii="Times New Roman" w:eastAsia="Times New Roman" w:hAnsi="Times New Roman" w:cs="Times New Roman"/>
          <w:bCs/>
          <w:sz w:val="22"/>
          <w:szCs w:val="22"/>
        </w:rPr>
        <w:t xml:space="preserve">, J., Chong, A., Schiavon, S., &amp; Spanos, C. J. (2022). Machine Learning for Smart and Energy-Efficient Buildings. In </w:t>
      </w:r>
      <w:proofErr w:type="spellStart"/>
      <w:r w:rsidRPr="00886270">
        <w:rPr>
          <w:rFonts w:ascii="Times New Roman" w:eastAsia="Times New Roman" w:hAnsi="Times New Roman" w:cs="Times New Roman"/>
          <w:bCs/>
          <w:sz w:val="22"/>
          <w:szCs w:val="22"/>
        </w:rPr>
        <w:t>arXiv</w:t>
      </w:r>
      <w:proofErr w:type="spellEnd"/>
      <w:r w:rsidRPr="00886270">
        <w:rPr>
          <w:rFonts w:ascii="Times New Roman" w:eastAsia="Times New Roman" w:hAnsi="Times New Roman" w:cs="Times New Roman"/>
          <w:bCs/>
          <w:sz w:val="22"/>
          <w:szCs w:val="22"/>
        </w:rPr>
        <w:t xml:space="preserve"> (Cornell University). Cornell University. </w:t>
      </w:r>
      <w:hyperlink r:id="rId38" w:history="1">
        <w:r w:rsidRPr="00886270">
          <w:rPr>
            <w:rStyle w:val="Hyperlink"/>
            <w:rFonts w:ascii="Times New Roman" w:eastAsia="Times New Roman" w:hAnsi="Times New Roman" w:cs="Times New Roman"/>
            <w:bCs/>
            <w:sz w:val="22"/>
            <w:szCs w:val="22"/>
          </w:rPr>
          <w:t>https://doi.org/10.48550/arXiv.2211</w:t>
        </w:r>
      </w:hyperlink>
      <w:r w:rsidRPr="00886270">
        <w:rPr>
          <w:rFonts w:ascii="Times New Roman" w:eastAsia="Times New Roman" w:hAnsi="Times New Roman" w:cs="Times New Roman"/>
          <w:bCs/>
          <w:sz w:val="22"/>
          <w:szCs w:val="22"/>
        </w:rPr>
        <w:t>.</w:t>
      </w:r>
    </w:p>
    <w:p w14:paraId="571DBBC1"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Ficko</w:t>
      </w:r>
      <w:proofErr w:type="spellEnd"/>
      <w:r w:rsidRPr="00886270">
        <w:rPr>
          <w:rFonts w:ascii="Times New Roman" w:eastAsia="Times New Roman" w:hAnsi="Times New Roman" w:cs="Times New Roman"/>
          <w:bCs/>
          <w:sz w:val="22"/>
          <w:szCs w:val="22"/>
        </w:rPr>
        <w:t xml:space="preserve">, A., &amp; </w:t>
      </w:r>
      <w:proofErr w:type="spellStart"/>
      <w:r w:rsidRPr="00886270">
        <w:rPr>
          <w:rFonts w:ascii="Times New Roman" w:eastAsia="Times New Roman" w:hAnsi="Times New Roman" w:cs="Times New Roman"/>
          <w:bCs/>
          <w:sz w:val="22"/>
          <w:szCs w:val="22"/>
        </w:rPr>
        <w:t>Bončina</w:t>
      </w:r>
      <w:proofErr w:type="spellEnd"/>
      <w:r w:rsidRPr="00886270">
        <w:rPr>
          <w:rFonts w:ascii="Times New Roman" w:eastAsia="Times New Roman" w:hAnsi="Times New Roman" w:cs="Times New Roman"/>
          <w:bCs/>
          <w:sz w:val="22"/>
          <w:szCs w:val="22"/>
        </w:rPr>
        <w:t xml:space="preserve">, A. (2018). Public attitudes toward environmental protection in the most developed countries: The Environmental Concern Kuznets Curve theory. In Journal of Environmental Management (Vol. 231, p. 968). Elsevier BV. </w:t>
      </w:r>
      <w:hyperlink r:id="rId39" w:history="1">
        <w:r w:rsidRPr="00886270">
          <w:rPr>
            <w:rStyle w:val="Hyperlink"/>
            <w:rFonts w:ascii="Times New Roman" w:eastAsia="Times New Roman" w:hAnsi="Times New Roman" w:cs="Times New Roman"/>
            <w:bCs/>
            <w:sz w:val="22"/>
            <w:szCs w:val="22"/>
          </w:rPr>
          <w:t>https://doi.org/10.1016/j.jenvman.2018.10.087</w:t>
        </w:r>
      </w:hyperlink>
    </w:p>
    <w:p w14:paraId="2AB8C4EA"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Hassan, I., Kalin, R. M., </w:t>
      </w:r>
      <w:proofErr w:type="spellStart"/>
      <w:r w:rsidRPr="00886270">
        <w:rPr>
          <w:rFonts w:ascii="Times New Roman" w:eastAsia="Times New Roman" w:hAnsi="Times New Roman" w:cs="Times New Roman"/>
          <w:bCs/>
          <w:sz w:val="22"/>
          <w:szCs w:val="22"/>
        </w:rPr>
        <w:t>Aladejana</w:t>
      </w:r>
      <w:proofErr w:type="spellEnd"/>
      <w:r w:rsidRPr="00886270">
        <w:rPr>
          <w:rFonts w:ascii="Times New Roman" w:eastAsia="Times New Roman" w:hAnsi="Times New Roman" w:cs="Times New Roman"/>
          <w:bCs/>
          <w:sz w:val="22"/>
          <w:szCs w:val="22"/>
        </w:rPr>
        <w:t xml:space="preserve">, J. A., &amp; White, C. J. (2020). Potential Impacts of Climate Change on Extreme Weather Events in the Niger Delta Part of Nigeria. In Hydrology (Vol. 7, Issue 1, </w:t>
      </w:r>
      <w:r w:rsidRPr="00886270">
        <w:rPr>
          <w:rFonts w:ascii="Times New Roman" w:eastAsia="Times New Roman" w:hAnsi="Times New Roman" w:cs="Times New Roman"/>
          <w:bCs/>
          <w:sz w:val="22"/>
          <w:szCs w:val="22"/>
        </w:rPr>
        <w:lastRenderedPageBreak/>
        <w:t xml:space="preserve">p. 19). Multidisciplinary Digital Publishing Institute. </w:t>
      </w:r>
      <w:hyperlink r:id="rId40" w:history="1">
        <w:r w:rsidRPr="00886270">
          <w:rPr>
            <w:rStyle w:val="Hyperlink"/>
            <w:rFonts w:ascii="Times New Roman" w:eastAsia="Times New Roman" w:hAnsi="Times New Roman" w:cs="Times New Roman"/>
            <w:bCs/>
            <w:sz w:val="22"/>
            <w:szCs w:val="22"/>
          </w:rPr>
          <w:t>https://doi.org/10.3390/hydrology7010019</w:t>
        </w:r>
      </w:hyperlink>
      <w:r w:rsidRPr="00886270">
        <w:rPr>
          <w:sz w:val="22"/>
          <w:szCs w:val="22"/>
        </w:rPr>
        <w:t>.</w:t>
      </w:r>
    </w:p>
    <w:p w14:paraId="0D670AC5" w14:textId="77777777" w:rsidR="008B1CF7" w:rsidRPr="00886270" w:rsidRDefault="008B1CF7" w:rsidP="00886270">
      <w:pPr>
        <w:spacing w:line="360" w:lineRule="auto"/>
        <w:ind w:left="851" w:hanging="851"/>
        <w:jc w:val="both"/>
        <w:rPr>
          <w:sz w:val="22"/>
          <w:szCs w:val="22"/>
        </w:rPr>
      </w:pPr>
      <w:proofErr w:type="spellStart"/>
      <w:r w:rsidRPr="00886270">
        <w:rPr>
          <w:rFonts w:ascii="Times New Roman" w:eastAsia="Times New Roman" w:hAnsi="Times New Roman" w:cs="Times New Roman"/>
          <w:bCs/>
          <w:sz w:val="22"/>
          <w:szCs w:val="22"/>
        </w:rPr>
        <w:t>Kalagbor</w:t>
      </w:r>
      <w:proofErr w:type="spellEnd"/>
      <w:r w:rsidRPr="00886270">
        <w:rPr>
          <w:rFonts w:ascii="Times New Roman" w:eastAsia="Times New Roman" w:hAnsi="Times New Roman" w:cs="Times New Roman"/>
          <w:bCs/>
          <w:sz w:val="22"/>
          <w:szCs w:val="22"/>
        </w:rPr>
        <w:t xml:space="preserve">, A. N., Idowu, S. Ο., &amp; </w:t>
      </w:r>
      <w:proofErr w:type="spellStart"/>
      <w:r w:rsidRPr="00886270">
        <w:rPr>
          <w:rFonts w:ascii="Times New Roman" w:eastAsia="Times New Roman" w:hAnsi="Times New Roman" w:cs="Times New Roman"/>
          <w:bCs/>
          <w:sz w:val="22"/>
          <w:szCs w:val="22"/>
        </w:rPr>
        <w:t>Weldmeskel</w:t>
      </w:r>
      <w:proofErr w:type="spellEnd"/>
      <w:r w:rsidRPr="00886270">
        <w:rPr>
          <w:rFonts w:ascii="Times New Roman" w:eastAsia="Times New Roman" w:hAnsi="Times New Roman" w:cs="Times New Roman"/>
          <w:bCs/>
          <w:sz w:val="22"/>
          <w:szCs w:val="22"/>
        </w:rPr>
        <w:t xml:space="preserve">, E. M. (2022). Corporate Social Responsibility (CSR), Service Failures and Recovery Strategies for Sustainable Business: The Case of Nigeria. In Economic Insights – Trends and Challenges (Vol. 2022, Issue 1, p. 1). Oil &amp; Gas University of </w:t>
      </w:r>
      <w:proofErr w:type="spellStart"/>
      <w:r w:rsidRPr="00886270">
        <w:rPr>
          <w:rFonts w:ascii="Times New Roman" w:eastAsia="Times New Roman" w:hAnsi="Times New Roman" w:cs="Times New Roman"/>
          <w:bCs/>
          <w:sz w:val="22"/>
          <w:szCs w:val="22"/>
        </w:rPr>
        <w:t>Ploiești</w:t>
      </w:r>
      <w:proofErr w:type="spellEnd"/>
      <w:r w:rsidRPr="00886270">
        <w:rPr>
          <w:rFonts w:ascii="Times New Roman" w:eastAsia="Times New Roman" w:hAnsi="Times New Roman" w:cs="Times New Roman"/>
          <w:bCs/>
          <w:sz w:val="22"/>
          <w:szCs w:val="22"/>
        </w:rPr>
        <w:t xml:space="preserve">. </w:t>
      </w:r>
      <w:hyperlink r:id="rId41" w:history="1">
        <w:r w:rsidRPr="00886270">
          <w:rPr>
            <w:rStyle w:val="Hyperlink"/>
            <w:rFonts w:ascii="Times New Roman" w:eastAsia="Times New Roman" w:hAnsi="Times New Roman" w:cs="Times New Roman"/>
            <w:bCs/>
            <w:sz w:val="22"/>
            <w:szCs w:val="22"/>
          </w:rPr>
          <w:t>https://doi.org/10.51865/eitc.2022.01.01</w:t>
        </w:r>
      </w:hyperlink>
    </w:p>
    <w:p w14:paraId="4514DF2A" w14:textId="77777777" w:rsidR="008B1CF7" w:rsidRPr="00886270" w:rsidRDefault="008B1CF7" w:rsidP="00886270">
      <w:pPr>
        <w:spacing w:line="360" w:lineRule="auto"/>
        <w:ind w:left="851" w:hanging="851"/>
        <w:jc w:val="both"/>
        <w:rPr>
          <w:sz w:val="22"/>
          <w:szCs w:val="22"/>
        </w:rPr>
      </w:pPr>
      <w:r w:rsidRPr="00886270">
        <w:rPr>
          <w:rFonts w:ascii="Times New Roman" w:hAnsi="Times New Roman" w:cs="Times New Roman"/>
          <w:sz w:val="22"/>
          <w:szCs w:val="22"/>
        </w:rPr>
        <w:t>Kelly, A. M. &amp; </w:t>
      </w:r>
      <w:proofErr w:type="spellStart"/>
      <w:r w:rsidRPr="00886270">
        <w:rPr>
          <w:rFonts w:ascii="Times New Roman" w:hAnsi="Times New Roman" w:cs="Times New Roman"/>
          <w:sz w:val="22"/>
          <w:szCs w:val="22"/>
        </w:rPr>
        <w:t>Radler</w:t>
      </w:r>
      <w:proofErr w:type="spellEnd"/>
      <w:r w:rsidRPr="00886270">
        <w:rPr>
          <w:rFonts w:ascii="Times New Roman" w:hAnsi="Times New Roman" w:cs="Times New Roman"/>
          <w:sz w:val="22"/>
          <w:szCs w:val="22"/>
        </w:rPr>
        <w:t xml:space="preserve">, R. D. N. (2024). Does Energy Consumption Matter for Climate Change in Africa? New Insights from Panel Data Analysis. </w:t>
      </w:r>
      <w:hyperlink r:id="rId42" w:tooltip="Go to Innovation and Green Development on ScienceDirect" w:history="1">
        <w:r w:rsidRPr="00886270">
          <w:rPr>
            <w:rFonts w:ascii="Times New Roman" w:hAnsi="Times New Roman" w:cs="Times New Roman"/>
            <w:sz w:val="22"/>
            <w:szCs w:val="22"/>
          </w:rPr>
          <w:t>Innovation and Green Development</w:t>
        </w:r>
      </w:hyperlink>
      <w:r w:rsidRPr="00886270">
        <w:rPr>
          <w:rFonts w:ascii="Times New Roman" w:hAnsi="Times New Roman" w:cs="Times New Roman"/>
          <w:sz w:val="22"/>
          <w:szCs w:val="22"/>
        </w:rPr>
        <w:t xml:space="preserve"> Volume 3, Issues 3, 100132</w:t>
      </w:r>
      <w:hyperlink r:id="rId43" w:history="1">
        <w:r w:rsidRPr="00886270">
          <w:rPr>
            <w:rStyle w:val="Hyperlink"/>
            <w:rFonts w:ascii="Times New Roman" w:hAnsi="Times New Roman" w:cs="Times New Roman"/>
            <w:sz w:val="22"/>
            <w:szCs w:val="22"/>
          </w:rPr>
          <w:t>https://www.sciencedirect.com/science/article/pii/S2949753124000092</w:t>
        </w:r>
      </w:hyperlink>
    </w:p>
    <w:p w14:paraId="4CC21F8E"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Kim, Y. G., Gupta, U., </w:t>
      </w:r>
      <w:proofErr w:type="spellStart"/>
      <w:r w:rsidRPr="00886270">
        <w:rPr>
          <w:rFonts w:ascii="Times New Roman" w:eastAsia="Times New Roman" w:hAnsi="Times New Roman" w:cs="Times New Roman"/>
          <w:bCs/>
          <w:sz w:val="22"/>
          <w:szCs w:val="22"/>
        </w:rPr>
        <w:t>McCrabb</w:t>
      </w:r>
      <w:proofErr w:type="spellEnd"/>
      <w:r w:rsidRPr="00886270">
        <w:rPr>
          <w:rFonts w:ascii="Times New Roman" w:eastAsia="Times New Roman" w:hAnsi="Times New Roman" w:cs="Times New Roman"/>
          <w:bCs/>
          <w:sz w:val="22"/>
          <w:szCs w:val="22"/>
        </w:rPr>
        <w:t xml:space="preserve">, A., Son, Y., </w:t>
      </w:r>
      <w:proofErr w:type="spellStart"/>
      <w:r w:rsidRPr="00886270">
        <w:rPr>
          <w:rFonts w:ascii="Times New Roman" w:eastAsia="Times New Roman" w:hAnsi="Times New Roman" w:cs="Times New Roman"/>
          <w:bCs/>
          <w:sz w:val="22"/>
          <w:szCs w:val="22"/>
        </w:rPr>
        <w:t>Bertacco</w:t>
      </w:r>
      <w:proofErr w:type="spellEnd"/>
      <w:r w:rsidRPr="00886270">
        <w:rPr>
          <w:rFonts w:ascii="Times New Roman" w:eastAsia="Times New Roman" w:hAnsi="Times New Roman" w:cs="Times New Roman"/>
          <w:bCs/>
          <w:sz w:val="22"/>
          <w:szCs w:val="22"/>
        </w:rPr>
        <w:t xml:space="preserve">, V., Brooks, D. J., &amp; Wu, C.-J. (2023). </w:t>
      </w:r>
      <w:proofErr w:type="spellStart"/>
      <w:r w:rsidRPr="00886270">
        <w:rPr>
          <w:rFonts w:ascii="Times New Roman" w:eastAsia="Times New Roman" w:hAnsi="Times New Roman" w:cs="Times New Roman"/>
          <w:bCs/>
          <w:sz w:val="22"/>
          <w:szCs w:val="22"/>
        </w:rPr>
        <w:t>GreenScale</w:t>
      </w:r>
      <w:proofErr w:type="spellEnd"/>
      <w:r w:rsidRPr="00886270">
        <w:rPr>
          <w:rFonts w:ascii="Times New Roman" w:eastAsia="Times New Roman" w:hAnsi="Times New Roman" w:cs="Times New Roman"/>
          <w:bCs/>
          <w:sz w:val="22"/>
          <w:szCs w:val="22"/>
        </w:rPr>
        <w:t xml:space="preserve">: Carbon-Aware Systems for Edge Computing. In </w:t>
      </w:r>
      <w:proofErr w:type="spellStart"/>
      <w:r w:rsidRPr="00886270">
        <w:rPr>
          <w:rFonts w:ascii="Times New Roman" w:eastAsia="Times New Roman" w:hAnsi="Times New Roman" w:cs="Times New Roman"/>
          <w:bCs/>
          <w:sz w:val="22"/>
          <w:szCs w:val="22"/>
        </w:rPr>
        <w:t>arXiv</w:t>
      </w:r>
      <w:proofErr w:type="spellEnd"/>
      <w:r w:rsidRPr="00886270">
        <w:rPr>
          <w:rFonts w:ascii="Times New Roman" w:eastAsia="Times New Roman" w:hAnsi="Times New Roman" w:cs="Times New Roman"/>
          <w:bCs/>
          <w:sz w:val="22"/>
          <w:szCs w:val="22"/>
        </w:rPr>
        <w:t xml:space="preserve"> (Cornell University). Cornell University. </w:t>
      </w:r>
      <w:hyperlink r:id="rId44" w:history="1">
        <w:r w:rsidRPr="00886270">
          <w:rPr>
            <w:rStyle w:val="Hyperlink"/>
            <w:rFonts w:ascii="Times New Roman" w:eastAsia="Times New Roman" w:hAnsi="Times New Roman" w:cs="Times New Roman"/>
            <w:bCs/>
            <w:sz w:val="22"/>
            <w:szCs w:val="22"/>
          </w:rPr>
          <w:t>https://doi.org/10.48550/arXiv.2304</w:t>
        </w:r>
      </w:hyperlink>
      <w:r w:rsidRPr="00886270">
        <w:rPr>
          <w:rFonts w:ascii="Times New Roman" w:eastAsia="Times New Roman" w:hAnsi="Times New Roman" w:cs="Times New Roman"/>
          <w:bCs/>
          <w:sz w:val="22"/>
          <w:szCs w:val="22"/>
        </w:rPr>
        <w:t>.</w:t>
      </w:r>
    </w:p>
    <w:p w14:paraId="4E41677F" w14:textId="77777777" w:rsidR="008B1CF7" w:rsidRPr="00886270" w:rsidRDefault="008B1CF7" w:rsidP="00886270">
      <w:pPr>
        <w:spacing w:line="360" w:lineRule="auto"/>
        <w:ind w:left="851" w:hanging="851"/>
        <w:jc w:val="both"/>
        <w:rPr>
          <w:sz w:val="22"/>
          <w:szCs w:val="22"/>
        </w:rPr>
      </w:pPr>
      <w:r w:rsidRPr="00886270">
        <w:rPr>
          <w:rFonts w:ascii="Times New Roman" w:hAnsi="Times New Roman" w:cs="Times New Roman"/>
          <w:sz w:val="22"/>
          <w:szCs w:val="22"/>
        </w:rPr>
        <w:t xml:space="preserve">Lau, C. K., </w:t>
      </w:r>
      <w:proofErr w:type="spellStart"/>
      <w:r w:rsidRPr="00886270">
        <w:rPr>
          <w:rFonts w:ascii="Times New Roman" w:hAnsi="Times New Roman" w:cs="Times New Roman"/>
          <w:sz w:val="22"/>
          <w:szCs w:val="22"/>
        </w:rPr>
        <w:t>Mahalik</w:t>
      </w:r>
      <w:proofErr w:type="spellEnd"/>
      <w:r w:rsidRPr="00886270">
        <w:rPr>
          <w:rFonts w:ascii="Times New Roman" w:hAnsi="Times New Roman" w:cs="Times New Roman"/>
          <w:sz w:val="22"/>
          <w:szCs w:val="22"/>
        </w:rPr>
        <w:t>, M. K., Rather, K. N. &amp; </w:t>
      </w:r>
      <w:proofErr w:type="spellStart"/>
      <w:r w:rsidRPr="00886270">
        <w:rPr>
          <w:rFonts w:ascii="Times New Roman" w:hAnsi="Times New Roman" w:cs="Times New Roman"/>
          <w:sz w:val="22"/>
          <w:szCs w:val="22"/>
        </w:rPr>
        <w:t>Gozgor</w:t>
      </w:r>
      <w:proofErr w:type="spellEnd"/>
      <w:r w:rsidRPr="00886270">
        <w:rPr>
          <w:rFonts w:ascii="Times New Roman" w:hAnsi="Times New Roman" w:cs="Times New Roman"/>
          <w:sz w:val="22"/>
          <w:szCs w:val="22"/>
        </w:rPr>
        <w:t xml:space="preserve">, G. (2023). The Impact of Green Quality of the Energy Consumption on Carbon Emissions in The United States. </w:t>
      </w:r>
      <w:hyperlink r:id="rId45" w:tooltip="Go to Economic Analysis and Policy on ScienceDirect" w:history="1">
        <w:r w:rsidRPr="00886270">
          <w:rPr>
            <w:rStyle w:val="anchor-text"/>
            <w:rFonts w:ascii="Times New Roman" w:eastAsia="Times New Roman" w:hAnsi="Times New Roman" w:cs="Times New Roman"/>
            <w:color w:val="1F1F1F"/>
            <w:sz w:val="22"/>
            <w:szCs w:val="22"/>
          </w:rPr>
          <w:t>Economic Analysis and Policy</w:t>
        </w:r>
      </w:hyperlink>
      <w:r w:rsidRPr="00886270">
        <w:rPr>
          <w:rFonts w:ascii="Times New Roman" w:hAnsi="Times New Roman" w:cs="Times New Roman"/>
          <w:sz w:val="22"/>
          <w:szCs w:val="22"/>
        </w:rPr>
        <w:t xml:space="preserve">. Volume 80, pages 850-860 </w:t>
      </w:r>
      <w:hyperlink r:id="rId46" w:history="1">
        <w:r w:rsidRPr="00886270">
          <w:rPr>
            <w:rStyle w:val="Hyperlink"/>
            <w:rFonts w:ascii="Times New Roman" w:hAnsi="Times New Roman" w:cs="Times New Roman"/>
            <w:sz w:val="22"/>
            <w:szCs w:val="22"/>
          </w:rPr>
          <w:t>https://www.sciencedirect.com/science/article/pii/S0313592623002333</w:t>
        </w:r>
      </w:hyperlink>
    </w:p>
    <w:p w14:paraId="3E2C55F8"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Li, J., Liu, S., Qin, Y., Zhang, Y., Wang, N., &amp; Liu, H. (2020). High-order radiomics features based on T2 FLAIR MRI predict multiple glioma immunohistochemical features: A more precise and personalized gliomas management. In </w:t>
      </w:r>
      <w:proofErr w:type="spellStart"/>
      <w:r w:rsidRPr="00886270">
        <w:rPr>
          <w:rFonts w:ascii="Times New Roman" w:eastAsia="Times New Roman" w:hAnsi="Times New Roman" w:cs="Times New Roman"/>
          <w:bCs/>
          <w:sz w:val="22"/>
          <w:szCs w:val="22"/>
        </w:rPr>
        <w:t>PLoS</w:t>
      </w:r>
      <w:proofErr w:type="spellEnd"/>
      <w:r w:rsidRPr="00886270">
        <w:rPr>
          <w:rFonts w:ascii="Times New Roman" w:eastAsia="Times New Roman" w:hAnsi="Times New Roman" w:cs="Times New Roman"/>
          <w:bCs/>
          <w:sz w:val="22"/>
          <w:szCs w:val="22"/>
        </w:rPr>
        <w:t xml:space="preserve"> ONE (Vol. 15, Issue 1). Public Library of Science. </w:t>
      </w:r>
      <w:hyperlink r:id="rId47" w:history="1">
        <w:r w:rsidRPr="00886270">
          <w:rPr>
            <w:rStyle w:val="Hyperlink"/>
            <w:rFonts w:ascii="Times New Roman" w:eastAsia="Times New Roman" w:hAnsi="Times New Roman" w:cs="Times New Roman"/>
            <w:bCs/>
            <w:sz w:val="22"/>
            <w:szCs w:val="22"/>
          </w:rPr>
          <w:t>https://doi.org/10.1371/journal.pone.0227703</w:t>
        </w:r>
      </w:hyperlink>
    </w:p>
    <w:p w14:paraId="45EAD4F9"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Liu, S., Hou, S., He, K., &amp; Yang, W. (2017). L-Kurtosis and its application for fault detection of rolling element bearings. In Measurement (Vol. 116, p. 523). Elsevier BV. </w:t>
      </w:r>
      <w:hyperlink r:id="rId48" w:history="1">
        <w:r w:rsidRPr="00886270">
          <w:rPr>
            <w:rStyle w:val="Hyperlink"/>
            <w:rFonts w:ascii="Times New Roman" w:eastAsia="Times New Roman" w:hAnsi="Times New Roman" w:cs="Times New Roman"/>
            <w:bCs/>
            <w:sz w:val="22"/>
            <w:szCs w:val="22"/>
          </w:rPr>
          <w:t>https://doi.org/10.1016/j.measurement.2017.11.049</w:t>
        </w:r>
      </w:hyperlink>
    </w:p>
    <w:p w14:paraId="5CF9320B"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Merwe, S. van der. (2021). On Determining the Distribution of a Goodness-of-Fit Test Statistic. In </w:t>
      </w:r>
      <w:proofErr w:type="spellStart"/>
      <w:r w:rsidRPr="00886270">
        <w:rPr>
          <w:rFonts w:ascii="Times New Roman" w:eastAsia="Times New Roman" w:hAnsi="Times New Roman" w:cs="Times New Roman"/>
          <w:bCs/>
          <w:sz w:val="22"/>
          <w:szCs w:val="22"/>
        </w:rPr>
        <w:t>arXiv</w:t>
      </w:r>
      <w:proofErr w:type="spellEnd"/>
      <w:r w:rsidRPr="00886270">
        <w:rPr>
          <w:rFonts w:ascii="Times New Roman" w:eastAsia="Times New Roman" w:hAnsi="Times New Roman" w:cs="Times New Roman"/>
          <w:bCs/>
          <w:sz w:val="22"/>
          <w:szCs w:val="22"/>
        </w:rPr>
        <w:t xml:space="preserve"> (Cornell University). Cornell University. </w:t>
      </w:r>
      <w:hyperlink r:id="rId49" w:history="1">
        <w:r w:rsidRPr="00886270">
          <w:rPr>
            <w:rStyle w:val="Hyperlink"/>
            <w:rFonts w:ascii="Times New Roman" w:eastAsia="Times New Roman" w:hAnsi="Times New Roman" w:cs="Times New Roman"/>
            <w:bCs/>
            <w:sz w:val="22"/>
            <w:szCs w:val="22"/>
          </w:rPr>
          <w:t>https://doi.org/10.48550/arXiv.2104</w:t>
        </w:r>
      </w:hyperlink>
      <w:r w:rsidRPr="00886270">
        <w:rPr>
          <w:rFonts w:ascii="Times New Roman" w:eastAsia="Times New Roman" w:hAnsi="Times New Roman" w:cs="Times New Roman"/>
          <w:bCs/>
          <w:sz w:val="22"/>
          <w:szCs w:val="22"/>
        </w:rPr>
        <w:t xml:space="preserve">. </w:t>
      </w:r>
    </w:p>
    <w:p w14:paraId="72EB437B" w14:textId="77777777" w:rsidR="008B1CF7" w:rsidRPr="00886270" w:rsidRDefault="008B1CF7" w:rsidP="00886270">
      <w:pPr>
        <w:spacing w:line="360" w:lineRule="auto"/>
        <w:ind w:left="851" w:hanging="851"/>
        <w:jc w:val="both"/>
        <w:rPr>
          <w:rFonts w:ascii="Times New Roman" w:hAnsi="Times New Roman" w:cs="Times New Roman"/>
          <w:sz w:val="22"/>
          <w:szCs w:val="22"/>
        </w:rPr>
      </w:pPr>
    </w:p>
    <w:p w14:paraId="5F01A4D0" w14:textId="40E6D7A2" w:rsidR="008B1CF7" w:rsidRPr="00886270" w:rsidRDefault="008B1CF7" w:rsidP="00886270">
      <w:pPr>
        <w:spacing w:line="360" w:lineRule="auto"/>
        <w:ind w:left="851" w:hanging="851"/>
        <w:jc w:val="both"/>
        <w:rPr>
          <w:sz w:val="22"/>
          <w:szCs w:val="22"/>
        </w:rPr>
      </w:pPr>
      <w:proofErr w:type="spellStart"/>
      <w:r w:rsidRPr="00886270">
        <w:rPr>
          <w:rFonts w:ascii="Times New Roman" w:hAnsi="Times New Roman" w:cs="Times New Roman"/>
          <w:sz w:val="22"/>
          <w:szCs w:val="22"/>
        </w:rPr>
        <w:t>Mesagan</w:t>
      </w:r>
      <w:proofErr w:type="spellEnd"/>
      <w:r w:rsidRPr="00886270">
        <w:rPr>
          <w:rFonts w:ascii="Times New Roman" w:hAnsi="Times New Roman" w:cs="Times New Roman"/>
          <w:sz w:val="22"/>
          <w:szCs w:val="22"/>
        </w:rPr>
        <w:t xml:space="preserve">, P. E., </w:t>
      </w:r>
      <w:proofErr w:type="spellStart"/>
      <w:r w:rsidRPr="00886270">
        <w:rPr>
          <w:rFonts w:ascii="Times New Roman" w:hAnsi="Times New Roman" w:cs="Times New Roman"/>
          <w:sz w:val="22"/>
          <w:szCs w:val="22"/>
        </w:rPr>
        <w:t>Alimi</w:t>
      </w:r>
      <w:proofErr w:type="spellEnd"/>
      <w:r w:rsidRPr="00886270">
        <w:rPr>
          <w:rFonts w:ascii="Times New Roman" w:hAnsi="Times New Roman" w:cs="Times New Roman"/>
          <w:sz w:val="22"/>
          <w:szCs w:val="22"/>
        </w:rPr>
        <w:t>, O. Y. and Adebiyi, K. A. (2018). Population Growth, Energy Use, Crude Oil Price, and the Nigerian Economy. Economic Studies (</w:t>
      </w:r>
      <w:proofErr w:type="spellStart"/>
      <w:r w:rsidRPr="00886270">
        <w:rPr>
          <w:rFonts w:ascii="Times New Roman" w:hAnsi="Times New Roman" w:cs="Times New Roman"/>
          <w:sz w:val="22"/>
          <w:szCs w:val="22"/>
        </w:rPr>
        <w:t>Ikonomicheski</w:t>
      </w:r>
      <w:proofErr w:type="spellEnd"/>
      <w:r w:rsidRPr="00886270">
        <w:rPr>
          <w:rFonts w:ascii="Times New Roman" w:hAnsi="Times New Roman" w:cs="Times New Roman"/>
          <w:sz w:val="22"/>
          <w:szCs w:val="22"/>
        </w:rPr>
        <w:t xml:space="preserve"> </w:t>
      </w:r>
      <w:proofErr w:type="spellStart"/>
      <w:r w:rsidRPr="00886270">
        <w:rPr>
          <w:rFonts w:ascii="Times New Roman" w:hAnsi="Times New Roman" w:cs="Times New Roman"/>
          <w:sz w:val="22"/>
          <w:szCs w:val="22"/>
        </w:rPr>
        <w:t>Izsledvania</w:t>
      </w:r>
      <w:proofErr w:type="spellEnd"/>
      <w:r w:rsidRPr="00886270">
        <w:rPr>
          <w:rFonts w:ascii="Times New Roman" w:hAnsi="Times New Roman" w:cs="Times New Roman"/>
          <w:sz w:val="22"/>
          <w:szCs w:val="22"/>
        </w:rPr>
        <w:t>), 27 (2), p. 115-132.</w:t>
      </w:r>
      <w:hyperlink r:id="rId50" w:history="1">
        <w:r w:rsidRPr="00886270">
          <w:rPr>
            <w:rStyle w:val="Hyperlink"/>
            <w:rFonts w:ascii="Times New Roman" w:hAnsi="Times New Roman" w:cs="Times New Roman"/>
            <w:spacing w:val="2"/>
            <w:sz w:val="22"/>
            <w:szCs w:val="22"/>
            <w:shd w:val="clear" w:color="auto" w:fill="FFFFFF"/>
          </w:rPr>
          <w:t>https://www.iki.bas.bg/Journals/EconomicStudies/2018/2018-2/7_Nigeria-3_f-f.pdf</w:t>
        </w:r>
      </w:hyperlink>
    </w:p>
    <w:p w14:paraId="5D1CB114" w14:textId="77777777" w:rsidR="008B1CF7" w:rsidRPr="00886270" w:rsidRDefault="008B1CF7" w:rsidP="00886270">
      <w:pPr>
        <w:spacing w:line="360" w:lineRule="auto"/>
        <w:ind w:left="851" w:hanging="851"/>
        <w:jc w:val="both"/>
        <w:rPr>
          <w:sz w:val="22"/>
          <w:szCs w:val="22"/>
        </w:rPr>
      </w:pPr>
      <w:r w:rsidRPr="00886270">
        <w:rPr>
          <w:rFonts w:ascii="Times New Roman" w:hAnsi="Times New Roman" w:cs="Times New Roman"/>
          <w:sz w:val="22"/>
          <w:szCs w:val="22"/>
        </w:rPr>
        <w:t>Nguyen, T. T. H., Tu, Y., Diep, G. L., Tran, T. K., Nguyen Hoang Tien, N. H., &amp; </w:t>
      </w:r>
      <w:proofErr w:type="spellStart"/>
      <w:r w:rsidRPr="00886270">
        <w:rPr>
          <w:rFonts w:ascii="Times New Roman" w:hAnsi="Times New Roman" w:cs="Times New Roman"/>
          <w:sz w:val="22"/>
          <w:szCs w:val="22"/>
        </w:rPr>
        <w:t>Chien</w:t>
      </w:r>
      <w:proofErr w:type="spellEnd"/>
      <w:r w:rsidRPr="00886270">
        <w:rPr>
          <w:rFonts w:ascii="Times New Roman" w:hAnsi="Times New Roman" w:cs="Times New Roman"/>
          <w:sz w:val="22"/>
          <w:szCs w:val="22"/>
        </w:rPr>
        <w:t xml:space="preserve">, F. (2023). Impact of Natural Resources Extraction and Energy Consumption on The Environmental </w:t>
      </w:r>
      <w:r w:rsidRPr="00886270">
        <w:rPr>
          <w:rFonts w:ascii="Times New Roman" w:hAnsi="Times New Roman" w:cs="Times New Roman"/>
          <w:sz w:val="22"/>
          <w:szCs w:val="22"/>
        </w:rPr>
        <w:lastRenderedPageBreak/>
        <w:t xml:space="preserve">Sustainability in ASEAN Countries. Resource Policy, Volume 85, Part A, 103713. </w:t>
      </w:r>
      <w:hyperlink r:id="rId51" w:history="1">
        <w:r w:rsidRPr="00886270">
          <w:rPr>
            <w:rStyle w:val="Hyperlink"/>
            <w:rFonts w:ascii="Times New Roman" w:hAnsi="Times New Roman" w:cs="Times New Roman"/>
            <w:sz w:val="22"/>
            <w:szCs w:val="22"/>
          </w:rPr>
          <w:t>https://www.sciencedirect.com/science/article/abs/pii/S0301420723004245</w:t>
        </w:r>
      </w:hyperlink>
    </w:p>
    <w:p w14:paraId="30C22D39"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Nsoke</w:t>
      </w:r>
      <w:proofErr w:type="spellEnd"/>
      <w:r w:rsidRPr="00886270">
        <w:rPr>
          <w:rFonts w:ascii="Times New Roman" w:eastAsia="Times New Roman" w:hAnsi="Times New Roman" w:cs="Times New Roman"/>
          <w:bCs/>
          <w:sz w:val="22"/>
          <w:szCs w:val="22"/>
        </w:rPr>
        <w:t xml:space="preserve">, U. P., </w:t>
      </w:r>
      <w:proofErr w:type="spellStart"/>
      <w:r w:rsidRPr="00886270">
        <w:rPr>
          <w:rFonts w:ascii="Times New Roman" w:eastAsia="Times New Roman" w:hAnsi="Times New Roman" w:cs="Times New Roman"/>
          <w:bCs/>
          <w:sz w:val="22"/>
          <w:szCs w:val="22"/>
        </w:rPr>
        <w:t>Ndu</w:t>
      </w:r>
      <w:proofErr w:type="spellEnd"/>
      <w:r w:rsidRPr="00886270">
        <w:rPr>
          <w:rFonts w:ascii="Times New Roman" w:eastAsia="Times New Roman" w:hAnsi="Times New Roman" w:cs="Times New Roman"/>
          <w:bCs/>
          <w:sz w:val="22"/>
          <w:szCs w:val="22"/>
        </w:rPr>
        <w:t xml:space="preserve">, O. M., &amp; </w:t>
      </w:r>
      <w:proofErr w:type="spellStart"/>
      <w:r w:rsidRPr="00886270">
        <w:rPr>
          <w:rFonts w:ascii="Times New Roman" w:eastAsia="Times New Roman" w:hAnsi="Times New Roman" w:cs="Times New Roman"/>
          <w:bCs/>
          <w:sz w:val="22"/>
          <w:szCs w:val="22"/>
        </w:rPr>
        <w:t>Ofoegbu</w:t>
      </w:r>
      <w:proofErr w:type="spellEnd"/>
      <w:r w:rsidRPr="00886270">
        <w:rPr>
          <w:rFonts w:ascii="Times New Roman" w:eastAsia="Times New Roman" w:hAnsi="Times New Roman" w:cs="Times New Roman"/>
          <w:bCs/>
          <w:sz w:val="22"/>
          <w:szCs w:val="22"/>
        </w:rPr>
        <w:t xml:space="preserve">, G. N. (2021). Accounting Practices and Its Effects on the Growth of Micro and </w:t>
      </w:r>
      <w:proofErr w:type="gramStart"/>
      <w:r w:rsidRPr="00886270">
        <w:rPr>
          <w:rFonts w:ascii="Times New Roman" w:eastAsia="Times New Roman" w:hAnsi="Times New Roman" w:cs="Times New Roman"/>
          <w:bCs/>
          <w:sz w:val="22"/>
          <w:szCs w:val="22"/>
        </w:rPr>
        <w:t>Small Scale</w:t>
      </w:r>
      <w:proofErr w:type="gramEnd"/>
      <w:r w:rsidRPr="00886270">
        <w:rPr>
          <w:rFonts w:ascii="Times New Roman" w:eastAsia="Times New Roman" w:hAnsi="Times New Roman" w:cs="Times New Roman"/>
          <w:bCs/>
          <w:sz w:val="22"/>
          <w:szCs w:val="22"/>
        </w:rPr>
        <w:t xml:space="preserve"> Enterprises: Analysis from Nigeria. In Universal Journal of Accounting and Finance (Vol. 9, Issue 4, p. 574). </w:t>
      </w:r>
      <w:hyperlink r:id="rId52" w:history="1">
        <w:r w:rsidRPr="00886270">
          <w:rPr>
            <w:rStyle w:val="Hyperlink"/>
            <w:rFonts w:ascii="Times New Roman" w:eastAsia="Times New Roman" w:hAnsi="Times New Roman" w:cs="Times New Roman"/>
            <w:bCs/>
            <w:sz w:val="22"/>
            <w:szCs w:val="22"/>
          </w:rPr>
          <w:t>https://doi.org/10.13189/ujaf.2021.090405</w:t>
        </w:r>
      </w:hyperlink>
    </w:p>
    <w:p w14:paraId="244DBF32" w14:textId="77777777" w:rsidR="008B1CF7" w:rsidRPr="00886270" w:rsidRDefault="008B1CF7" w:rsidP="00886270">
      <w:pPr>
        <w:spacing w:line="360" w:lineRule="auto"/>
        <w:ind w:left="851" w:hanging="851"/>
        <w:jc w:val="both"/>
        <w:rPr>
          <w:sz w:val="22"/>
          <w:szCs w:val="22"/>
        </w:rPr>
      </w:pPr>
      <w:proofErr w:type="spellStart"/>
      <w:r w:rsidRPr="00886270">
        <w:rPr>
          <w:rFonts w:ascii="Times New Roman" w:eastAsia="Times New Roman" w:hAnsi="Times New Roman" w:cs="Times New Roman"/>
          <w:bCs/>
          <w:sz w:val="22"/>
          <w:szCs w:val="22"/>
        </w:rPr>
        <w:t>Nwozor</w:t>
      </w:r>
      <w:proofErr w:type="spellEnd"/>
      <w:r w:rsidRPr="00886270">
        <w:rPr>
          <w:rFonts w:ascii="Times New Roman" w:eastAsia="Times New Roman" w:hAnsi="Times New Roman" w:cs="Times New Roman"/>
          <w:bCs/>
          <w:sz w:val="22"/>
          <w:szCs w:val="22"/>
        </w:rPr>
        <w:t xml:space="preserve">, A., </w:t>
      </w:r>
      <w:proofErr w:type="spellStart"/>
      <w:r w:rsidRPr="00886270">
        <w:rPr>
          <w:rFonts w:ascii="Times New Roman" w:eastAsia="Times New Roman" w:hAnsi="Times New Roman" w:cs="Times New Roman"/>
          <w:bCs/>
          <w:sz w:val="22"/>
          <w:szCs w:val="22"/>
        </w:rPr>
        <w:t>Oshewolo</w:t>
      </w:r>
      <w:proofErr w:type="spellEnd"/>
      <w:r w:rsidRPr="00886270">
        <w:rPr>
          <w:rFonts w:ascii="Times New Roman" w:eastAsia="Times New Roman" w:hAnsi="Times New Roman" w:cs="Times New Roman"/>
          <w:bCs/>
          <w:sz w:val="22"/>
          <w:szCs w:val="22"/>
        </w:rPr>
        <w:t xml:space="preserve">, S., &amp; </w:t>
      </w:r>
      <w:proofErr w:type="spellStart"/>
      <w:r w:rsidRPr="00886270">
        <w:rPr>
          <w:rFonts w:ascii="Times New Roman" w:eastAsia="Times New Roman" w:hAnsi="Times New Roman" w:cs="Times New Roman"/>
          <w:bCs/>
          <w:sz w:val="22"/>
          <w:szCs w:val="22"/>
        </w:rPr>
        <w:t>Ogundele</w:t>
      </w:r>
      <w:proofErr w:type="spellEnd"/>
      <w:r w:rsidRPr="00886270">
        <w:rPr>
          <w:rFonts w:ascii="Times New Roman" w:eastAsia="Times New Roman" w:hAnsi="Times New Roman" w:cs="Times New Roman"/>
          <w:bCs/>
          <w:sz w:val="22"/>
          <w:szCs w:val="22"/>
        </w:rPr>
        <w:t xml:space="preserve">, O. (2019). Energy poverty and environmental sustainability in Nigeria: an exploratory assessment. In IOP Conference Series Earth and Environmental Science (Vol. 331, Issue 1, p. 12033). IOP Publishing. </w:t>
      </w:r>
      <w:hyperlink r:id="rId53" w:history="1">
        <w:r w:rsidRPr="00886270">
          <w:rPr>
            <w:rStyle w:val="Hyperlink"/>
            <w:rFonts w:ascii="Times New Roman" w:eastAsia="Times New Roman" w:hAnsi="Times New Roman" w:cs="Times New Roman"/>
            <w:bCs/>
            <w:sz w:val="22"/>
            <w:szCs w:val="22"/>
          </w:rPr>
          <w:t>https://doi.org/10.1088/1755-1315/331/1/012033</w:t>
        </w:r>
      </w:hyperlink>
    </w:p>
    <w:p w14:paraId="55ACB2AF"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Ogunbiyi</w:t>
      </w:r>
      <w:proofErr w:type="spellEnd"/>
      <w:r w:rsidRPr="00886270">
        <w:rPr>
          <w:rFonts w:ascii="Times New Roman" w:eastAsia="Times New Roman" w:hAnsi="Times New Roman" w:cs="Times New Roman"/>
          <w:bCs/>
          <w:sz w:val="22"/>
          <w:szCs w:val="22"/>
        </w:rPr>
        <w:t xml:space="preserve">, M. E., </w:t>
      </w:r>
      <w:proofErr w:type="spellStart"/>
      <w:r w:rsidRPr="00886270">
        <w:rPr>
          <w:rFonts w:ascii="Times New Roman" w:eastAsia="Times New Roman" w:hAnsi="Times New Roman" w:cs="Times New Roman"/>
          <w:bCs/>
          <w:sz w:val="22"/>
          <w:szCs w:val="22"/>
        </w:rPr>
        <w:t>Onifade</w:t>
      </w:r>
      <w:proofErr w:type="spellEnd"/>
      <w:r w:rsidRPr="00886270">
        <w:rPr>
          <w:rFonts w:ascii="Times New Roman" w:eastAsia="Times New Roman" w:hAnsi="Times New Roman" w:cs="Times New Roman"/>
          <w:bCs/>
          <w:sz w:val="22"/>
          <w:szCs w:val="22"/>
        </w:rPr>
        <w:t xml:space="preserve">, M. K., Afolabi, O. J., &amp; </w:t>
      </w:r>
      <w:proofErr w:type="spellStart"/>
      <w:r w:rsidRPr="00886270">
        <w:rPr>
          <w:rFonts w:ascii="Times New Roman" w:eastAsia="Times New Roman" w:hAnsi="Times New Roman" w:cs="Times New Roman"/>
          <w:bCs/>
          <w:sz w:val="22"/>
          <w:szCs w:val="22"/>
        </w:rPr>
        <w:t>Oroye</w:t>
      </w:r>
      <w:proofErr w:type="spellEnd"/>
      <w:r w:rsidRPr="00886270">
        <w:rPr>
          <w:rFonts w:ascii="Times New Roman" w:eastAsia="Times New Roman" w:hAnsi="Times New Roman" w:cs="Times New Roman"/>
          <w:bCs/>
          <w:sz w:val="22"/>
          <w:szCs w:val="22"/>
        </w:rPr>
        <w:t>, O. A. (2020). An Assessment of Solid Waste Transportation in Ado-</w:t>
      </w:r>
      <w:proofErr w:type="spellStart"/>
      <w:r w:rsidRPr="00886270">
        <w:rPr>
          <w:rFonts w:ascii="Times New Roman" w:eastAsia="Times New Roman" w:hAnsi="Times New Roman" w:cs="Times New Roman"/>
          <w:bCs/>
          <w:sz w:val="22"/>
          <w:szCs w:val="22"/>
        </w:rPr>
        <w:t>Odo</w:t>
      </w:r>
      <w:proofErr w:type="spellEnd"/>
      <w:r w:rsidRPr="00886270">
        <w:rPr>
          <w:rFonts w:ascii="Times New Roman" w:eastAsia="Times New Roman" w:hAnsi="Times New Roman" w:cs="Times New Roman"/>
          <w:bCs/>
          <w:sz w:val="22"/>
          <w:szCs w:val="22"/>
        </w:rPr>
        <w:t xml:space="preserve">/Ota Local Government Area, Ogun State, Nigeria. In Transport and Communications (Vol. 8, Issue 2, p. 23). University of Zulia. </w:t>
      </w:r>
      <w:hyperlink r:id="rId54" w:history="1">
        <w:r w:rsidRPr="00886270">
          <w:rPr>
            <w:rStyle w:val="Hyperlink"/>
            <w:rFonts w:ascii="Times New Roman" w:eastAsia="Times New Roman" w:hAnsi="Times New Roman" w:cs="Times New Roman"/>
            <w:bCs/>
            <w:sz w:val="22"/>
            <w:szCs w:val="22"/>
          </w:rPr>
          <w:t>https://doi.org/10.26552/tac.c.2020.2.3</w:t>
        </w:r>
      </w:hyperlink>
      <w:r w:rsidRPr="00886270">
        <w:rPr>
          <w:rFonts w:ascii="Times New Roman" w:eastAsia="Times New Roman" w:hAnsi="Times New Roman" w:cs="Times New Roman"/>
          <w:bCs/>
          <w:sz w:val="22"/>
          <w:szCs w:val="22"/>
        </w:rPr>
        <w:t xml:space="preserve"> </w:t>
      </w:r>
    </w:p>
    <w:p w14:paraId="5D4FD564" w14:textId="315102E3"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Pham, N.-T., </w:t>
      </w:r>
      <w:proofErr w:type="spellStart"/>
      <w:r w:rsidRPr="00886270">
        <w:rPr>
          <w:rFonts w:ascii="Times New Roman" w:eastAsia="Times New Roman" w:hAnsi="Times New Roman" w:cs="Times New Roman"/>
          <w:bCs/>
          <w:sz w:val="22"/>
          <w:szCs w:val="22"/>
        </w:rPr>
        <w:t>Trung-Kien</w:t>
      </w:r>
      <w:proofErr w:type="spellEnd"/>
      <w:r w:rsidRPr="00886270">
        <w:rPr>
          <w:rFonts w:ascii="Times New Roman" w:eastAsia="Times New Roman" w:hAnsi="Times New Roman" w:cs="Times New Roman"/>
          <w:bCs/>
          <w:sz w:val="22"/>
          <w:szCs w:val="22"/>
        </w:rPr>
        <w:t xml:space="preserve">, P., Cao, V. H., Tran, H. G., &amp; Vo, X. V. (2020). The Impact of International Trade on Environmental Quality: Implications for Law. In Asian Journal of Law and Economics (Vol. 11, Issue 1). De Gruyter. </w:t>
      </w:r>
      <w:hyperlink r:id="rId55" w:history="1">
        <w:r w:rsidRPr="00886270">
          <w:rPr>
            <w:rStyle w:val="Hyperlink"/>
            <w:rFonts w:ascii="Times New Roman" w:eastAsia="Times New Roman" w:hAnsi="Times New Roman" w:cs="Times New Roman"/>
            <w:bCs/>
            <w:sz w:val="22"/>
            <w:szCs w:val="22"/>
          </w:rPr>
          <w:t>https://doi.org/10.1515/ajle-2020-0001</w:t>
        </w:r>
      </w:hyperlink>
    </w:p>
    <w:p w14:paraId="5ABA33CB"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Pooladsanj</w:t>
      </w:r>
      <w:proofErr w:type="spellEnd"/>
      <w:r w:rsidRPr="00886270">
        <w:rPr>
          <w:rFonts w:ascii="Times New Roman" w:eastAsia="Times New Roman" w:hAnsi="Times New Roman" w:cs="Times New Roman"/>
          <w:bCs/>
          <w:sz w:val="22"/>
          <w:szCs w:val="22"/>
        </w:rPr>
        <w:t xml:space="preserve">, M., </w:t>
      </w:r>
      <w:proofErr w:type="spellStart"/>
      <w:r w:rsidRPr="00886270">
        <w:rPr>
          <w:rFonts w:ascii="Times New Roman" w:eastAsia="Times New Roman" w:hAnsi="Times New Roman" w:cs="Times New Roman"/>
          <w:bCs/>
          <w:sz w:val="22"/>
          <w:szCs w:val="22"/>
        </w:rPr>
        <w:t>Savla</w:t>
      </w:r>
      <w:proofErr w:type="spellEnd"/>
      <w:r w:rsidRPr="00886270">
        <w:rPr>
          <w:rFonts w:ascii="Times New Roman" w:eastAsia="Times New Roman" w:hAnsi="Times New Roman" w:cs="Times New Roman"/>
          <w:bCs/>
          <w:sz w:val="22"/>
          <w:szCs w:val="22"/>
        </w:rPr>
        <w:t xml:space="preserve">, K., &amp; </w:t>
      </w:r>
      <w:proofErr w:type="spellStart"/>
      <w:r w:rsidRPr="00886270">
        <w:rPr>
          <w:rFonts w:ascii="Times New Roman" w:eastAsia="Times New Roman" w:hAnsi="Times New Roman" w:cs="Times New Roman"/>
          <w:bCs/>
          <w:sz w:val="22"/>
          <w:szCs w:val="22"/>
        </w:rPr>
        <w:t>Ιωάννου</w:t>
      </w:r>
      <w:proofErr w:type="spellEnd"/>
      <w:r w:rsidRPr="00886270">
        <w:rPr>
          <w:rFonts w:ascii="Times New Roman" w:eastAsia="Times New Roman" w:hAnsi="Times New Roman" w:cs="Times New Roman"/>
          <w:bCs/>
          <w:sz w:val="22"/>
          <w:szCs w:val="22"/>
        </w:rPr>
        <w:t xml:space="preserve">, Π. (2023). Ramp metering to maximize freeway throughput under vehicle safety constraints. In Transportation Research Part C Emerging Technologies (Vol. 154, p. 104267). Elsevier BV. </w:t>
      </w:r>
      <w:hyperlink r:id="rId56" w:history="1">
        <w:r w:rsidRPr="00886270">
          <w:rPr>
            <w:rStyle w:val="Hyperlink"/>
            <w:rFonts w:ascii="Times New Roman" w:eastAsia="Times New Roman" w:hAnsi="Times New Roman" w:cs="Times New Roman"/>
            <w:bCs/>
            <w:sz w:val="22"/>
            <w:szCs w:val="22"/>
          </w:rPr>
          <w:t>https://doi.org/10.1016/j.trc.2023.104267</w:t>
        </w:r>
      </w:hyperlink>
    </w:p>
    <w:p w14:paraId="3461E41D"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Rashid, A. (2024). Untitled. https://doi.org/10.55277/researchhub.vq5dnd6h </w:t>
      </w:r>
      <w:r w:rsidRPr="00886270">
        <w:rPr>
          <w:rFonts w:ascii="Times New Roman" w:eastAsia="Times New Roman" w:hAnsi="Times New Roman" w:cs="Times New Roman"/>
          <w:bCs/>
          <w:sz w:val="22"/>
          <w:szCs w:val="22"/>
        </w:rPr>
        <w:br/>
        <w:t xml:space="preserve">Stern, D. I. (2014). The Environmental Kuznets Curve: A Primer. In </w:t>
      </w:r>
      <w:proofErr w:type="spellStart"/>
      <w:r w:rsidRPr="00886270">
        <w:rPr>
          <w:rFonts w:ascii="Times New Roman" w:eastAsia="Times New Roman" w:hAnsi="Times New Roman" w:cs="Times New Roman"/>
          <w:bCs/>
          <w:sz w:val="22"/>
          <w:szCs w:val="22"/>
        </w:rPr>
        <w:t>RePEc</w:t>
      </w:r>
      <w:proofErr w:type="spellEnd"/>
      <w:r w:rsidRPr="00886270">
        <w:rPr>
          <w:rFonts w:ascii="Times New Roman" w:eastAsia="Times New Roman" w:hAnsi="Times New Roman" w:cs="Times New Roman"/>
          <w:bCs/>
          <w:sz w:val="22"/>
          <w:szCs w:val="22"/>
        </w:rPr>
        <w:t xml:space="preserve">: Research Papers in Economics. Federal Reserve Bank of St. Louis. </w:t>
      </w:r>
      <w:hyperlink r:id="rId57" w:history="1">
        <w:r w:rsidRPr="00886270">
          <w:rPr>
            <w:rStyle w:val="Hyperlink"/>
            <w:rFonts w:ascii="Times New Roman" w:eastAsia="Times New Roman" w:hAnsi="Times New Roman" w:cs="Times New Roman"/>
            <w:bCs/>
            <w:sz w:val="22"/>
            <w:szCs w:val="22"/>
          </w:rPr>
          <w:t>https://doi.org/10.22004/ag.econ.249424</w:t>
        </w:r>
      </w:hyperlink>
      <w:r w:rsidRPr="00886270">
        <w:rPr>
          <w:rFonts w:ascii="Times New Roman" w:eastAsia="Times New Roman" w:hAnsi="Times New Roman" w:cs="Times New Roman"/>
          <w:bCs/>
          <w:sz w:val="22"/>
          <w:szCs w:val="22"/>
        </w:rPr>
        <w:t xml:space="preserve"> </w:t>
      </w:r>
    </w:p>
    <w:p w14:paraId="2A78FF8F" w14:textId="77777777" w:rsidR="008B1CF7" w:rsidRPr="00886270" w:rsidRDefault="008B1CF7" w:rsidP="00886270">
      <w:pPr>
        <w:spacing w:line="360" w:lineRule="auto"/>
        <w:ind w:left="851" w:hanging="851"/>
        <w:jc w:val="both"/>
        <w:rPr>
          <w:sz w:val="22"/>
          <w:szCs w:val="22"/>
        </w:rPr>
      </w:pPr>
      <w:r w:rsidRPr="00886270">
        <w:rPr>
          <w:rFonts w:ascii="Times New Roman" w:hAnsi="Times New Roman" w:cs="Times New Roman"/>
          <w:sz w:val="22"/>
          <w:szCs w:val="22"/>
        </w:rPr>
        <w:t xml:space="preserve">Schneider, N. (2021). Population growth, electricity demand and environmental sustainability in Nigeria: insights from a vector auto-regressive approach. International Journal of Environmental Studies. </w:t>
      </w:r>
      <w:hyperlink r:id="rId58" w:history="1">
        <w:r w:rsidRPr="00886270">
          <w:rPr>
            <w:rFonts w:ascii="Times New Roman" w:hAnsi="Times New Roman" w:cs="Times New Roman"/>
            <w:color w:val="0563C1"/>
            <w:sz w:val="22"/>
            <w:szCs w:val="22"/>
            <w:u w:val="single"/>
          </w:rPr>
          <w:t>(PDF) Population Growth, Electricity Demand and Environmental Sustainability in Nigeria: Insights from a Vector Auto-Regressive Approach (researchgate.net)</w:t>
        </w:r>
      </w:hyperlink>
    </w:p>
    <w:p w14:paraId="7EF0CE50"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Şentürk</w:t>
      </w:r>
      <w:proofErr w:type="spellEnd"/>
      <w:r w:rsidRPr="00886270">
        <w:rPr>
          <w:rFonts w:ascii="Times New Roman" w:eastAsia="Times New Roman" w:hAnsi="Times New Roman" w:cs="Times New Roman"/>
          <w:bCs/>
          <w:sz w:val="22"/>
          <w:szCs w:val="22"/>
        </w:rPr>
        <w:t xml:space="preserve">, H., </w:t>
      </w:r>
      <w:proofErr w:type="spellStart"/>
      <w:r w:rsidRPr="00886270">
        <w:rPr>
          <w:rFonts w:ascii="Times New Roman" w:eastAsia="Times New Roman" w:hAnsi="Times New Roman" w:cs="Times New Roman"/>
          <w:bCs/>
          <w:sz w:val="22"/>
          <w:szCs w:val="22"/>
        </w:rPr>
        <w:t>Omay</w:t>
      </w:r>
      <w:proofErr w:type="spellEnd"/>
      <w:r w:rsidRPr="00886270">
        <w:rPr>
          <w:rFonts w:ascii="Times New Roman" w:eastAsia="Times New Roman" w:hAnsi="Times New Roman" w:cs="Times New Roman"/>
          <w:bCs/>
          <w:sz w:val="22"/>
          <w:szCs w:val="22"/>
        </w:rPr>
        <w:t xml:space="preserve">, T., </w:t>
      </w:r>
      <w:proofErr w:type="spellStart"/>
      <w:r w:rsidRPr="00886270">
        <w:rPr>
          <w:rFonts w:ascii="Times New Roman" w:eastAsia="Times New Roman" w:hAnsi="Times New Roman" w:cs="Times New Roman"/>
          <w:bCs/>
          <w:sz w:val="22"/>
          <w:szCs w:val="22"/>
        </w:rPr>
        <w:t>Yıldırım</w:t>
      </w:r>
      <w:proofErr w:type="spellEnd"/>
      <w:r w:rsidRPr="00886270">
        <w:rPr>
          <w:rFonts w:ascii="Times New Roman" w:eastAsia="Times New Roman" w:hAnsi="Times New Roman" w:cs="Times New Roman"/>
          <w:bCs/>
          <w:sz w:val="22"/>
          <w:szCs w:val="22"/>
        </w:rPr>
        <w:t xml:space="preserve">, J., &amp; </w:t>
      </w:r>
      <w:proofErr w:type="spellStart"/>
      <w:r w:rsidRPr="00886270">
        <w:rPr>
          <w:rFonts w:ascii="Times New Roman" w:eastAsia="Times New Roman" w:hAnsi="Times New Roman" w:cs="Times New Roman"/>
          <w:bCs/>
          <w:sz w:val="22"/>
          <w:szCs w:val="22"/>
        </w:rPr>
        <w:t>Köse</w:t>
      </w:r>
      <w:proofErr w:type="spellEnd"/>
      <w:r w:rsidRPr="00886270">
        <w:rPr>
          <w:rFonts w:ascii="Times New Roman" w:eastAsia="Times New Roman" w:hAnsi="Times New Roman" w:cs="Times New Roman"/>
          <w:bCs/>
          <w:sz w:val="22"/>
          <w:szCs w:val="22"/>
        </w:rPr>
        <w:t xml:space="preserve">, N. (2020). Environmental Kuznets Curve: Non-Linear Panel Regression Analysis. In Environmental Modeling &amp; Assessment (Vol. 25, Issue 5, p. 633). Springer </w:t>
      </w:r>
      <w:proofErr w:type="spellStart"/>
      <w:r w:rsidRPr="00886270">
        <w:rPr>
          <w:rFonts w:ascii="Times New Roman" w:eastAsia="Times New Roman" w:hAnsi="Times New Roman" w:cs="Times New Roman"/>
          <w:bCs/>
          <w:sz w:val="22"/>
          <w:szCs w:val="22"/>
        </w:rPr>
        <w:t>Science+Business</w:t>
      </w:r>
      <w:proofErr w:type="spellEnd"/>
      <w:r w:rsidRPr="00886270">
        <w:rPr>
          <w:rFonts w:ascii="Times New Roman" w:eastAsia="Times New Roman" w:hAnsi="Times New Roman" w:cs="Times New Roman"/>
          <w:bCs/>
          <w:sz w:val="22"/>
          <w:szCs w:val="22"/>
        </w:rPr>
        <w:t xml:space="preserve"> Media. </w:t>
      </w:r>
      <w:hyperlink r:id="rId59" w:history="1">
        <w:r w:rsidRPr="00886270">
          <w:rPr>
            <w:rStyle w:val="Hyperlink"/>
            <w:rFonts w:ascii="Times New Roman" w:eastAsia="Times New Roman" w:hAnsi="Times New Roman" w:cs="Times New Roman"/>
            <w:bCs/>
            <w:sz w:val="22"/>
            <w:szCs w:val="22"/>
          </w:rPr>
          <w:t>https://doi.org/10.1007/s10666-020-09702-0</w:t>
        </w:r>
      </w:hyperlink>
    </w:p>
    <w:p w14:paraId="21F06B56" w14:textId="77777777" w:rsidR="008B1CF7" w:rsidRPr="00886270" w:rsidRDefault="008B1CF7" w:rsidP="00886270">
      <w:pPr>
        <w:spacing w:line="360" w:lineRule="auto"/>
        <w:ind w:left="851" w:hanging="851"/>
        <w:jc w:val="both"/>
        <w:rPr>
          <w:rFonts w:ascii="Times New Roman" w:eastAsia="Times New Roman" w:hAnsi="Times New Roman" w:cs="Times New Roman"/>
          <w:bCs/>
          <w:sz w:val="22"/>
          <w:szCs w:val="22"/>
        </w:rPr>
      </w:pPr>
    </w:p>
    <w:p w14:paraId="7727CA32" w14:textId="746A028A" w:rsidR="008B1CF7" w:rsidRPr="00886270" w:rsidRDefault="008B1CF7" w:rsidP="00886270">
      <w:pPr>
        <w:spacing w:line="360" w:lineRule="auto"/>
        <w:ind w:left="851" w:hanging="851"/>
        <w:jc w:val="both"/>
        <w:rPr>
          <w:sz w:val="22"/>
          <w:szCs w:val="22"/>
        </w:rPr>
      </w:pPr>
      <w:proofErr w:type="spellStart"/>
      <w:r w:rsidRPr="00886270">
        <w:rPr>
          <w:rFonts w:ascii="Times New Roman" w:eastAsia="Times New Roman" w:hAnsi="Times New Roman" w:cs="Times New Roman"/>
          <w:bCs/>
          <w:sz w:val="22"/>
          <w:szCs w:val="22"/>
        </w:rPr>
        <w:t>Thadewald</w:t>
      </w:r>
      <w:proofErr w:type="spellEnd"/>
      <w:r w:rsidRPr="00886270">
        <w:rPr>
          <w:rFonts w:ascii="Times New Roman" w:eastAsia="Times New Roman" w:hAnsi="Times New Roman" w:cs="Times New Roman"/>
          <w:bCs/>
          <w:sz w:val="22"/>
          <w:szCs w:val="22"/>
        </w:rPr>
        <w:t xml:space="preserve">, T., &amp; </w:t>
      </w:r>
      <w:proofErr w:type="spellStart"/>
      <w:r w:rsidRPr="00886270">
        <w:rPr>
          <w:rFonts w:ascii="Times New Roman" w:eastAsia="Times New Roman" w:hAnsi="Times New Roman" w:cs="Times New Roman"/>
          <w:bCs/>
          <w:sz w:val="22"/>
          <w:szCs w:val="22"/>
        </w:rPr>
        <w:t>Büning</w:t>
      </w:r>
      <w:proofErr w:type="spellEnd"/>
      <w:r w:rsidRPr="00886270">
        <w:rPr>
          <w:rFonts w:ascii="Times New Roman" w:eastAsia="Times New Roman" w:hAnsi="Times New Roman" w:cs="Times New Roman"/>
          <w:bCs/>
          <w:sz w:val="22"/>
          <w:szCs w:val="22"/>
        </w:rPr>
        <w:t xml:space="preserve">, H. (2024). </w:t>
      </w:r>
      <w:proofErr w:type="spellStart"/>
      <w:r w:rsidRPr="00886270">
        <w:rPr>
          <w:rFonts w:ascii="Times New Roman" w:eastAsia="Times New Roman" w:hAnsi="Times New Roman" w:cs="Times New Roman"/>
          <w:bCs/>
          <w:sz w:val="22"/>
          <w:szCs w:val="22"/>
        </w:rPr>
        <w:t>Jarque-Bera</w:t>
      </w:r>
      <w:proofErr w:type="spellEnd"/>
      <w:r w:rsidRPr="00886270">
        <w:rPr>
          <w:rFonts w:ascii="Times New Roman" w:eastAsia="Times New Roman" w:hAnsi="Times New Roman" w:cs="Times New Roman"/>
          <w:bCs/>
          <w:sz w:val="22"/>
          <w:szCs w:val="22"/>
        </w:rPr>
        <w:t xml:space="preserve"> test and its competitors for testing normality: A power comparison. </w:t>
      </w:r>
      <w:hyperlink r:id="rId60" w:history="1">
        <w:r w:rsidRPr="00886270">
          <w:rPr>
            <w:rStyle w:val="Hyperlink"/>
            <w:rFonts w:ascii="Times New Roman" w:eastAsia="Times New Roman" w:hAnsi="Times New Roman" w:cs="Times New Roman"/>
            <w:bCs/>
            <w:sz w:val="22"/>
            <w:szCs w:val="22"/>
          </w:rPr>
          <w:t>https://www.econstor.eu/bitstream/10419/49919/1/668828234.pdf</w:t>
        </w:r>
      </w:hyperlink>
    </w:p>
    <w:p w14:paraId="39CB61E5" w14:textId="77777777" w:rsidR="008B1CF7" w:rsidRPr="00886270" w:rsidRDefault="008B1CF7" w:rsidP="00886270">
      <w:pPr>
        <w:spacing w:line="360" w:lineRule="auto"/>
        <w:ind w:left="851" w:hanging="851"/>
        <w:jc w:val="both"/>
        <w:rPr>
          <w:rFonts w:ascii="Times New Roman" w:eastAsia="Times New Roman" w:hAnsi="Times New Roman" w:cs="Times New Roman"/>
          <w:bCs/>
          <w:sz w:val="22"/>
          <w:szCs w:val="22"/>
        </w:rPr>
      </w:pPr>
    </w:p>
    <w:p w14:paraId="4C84D92C" w14:textId="1F5277D1" w:rsidR="008B1CF7" w:rsidRPr="00886270" w:rsidRDefault="008B1CF7" w:rsidP="00886270">
      <w:pPr>
        <w:spacing w:line="360" w:lineRule="auto"/>
        <w:ind w:left="851" w:hanging="851"/>
        <w:jc w:val="both"/>
        <w:rPr>
          <w:sz w:val="22"/>
          <w:szCs w:val="22"/>
        </w:rPr>
      </w:pPr>
      <w:proofErr w:type="spellStart"/>
      <w:r w:rsidRPr="00886270">
        <w:rPr>
          <w:rFonts w:ascii="Times New Roman" w:eastAsia="Times New Roman" w:hAnsi="Times New Roman" w:cs="Times New Roman"/>
          <w:bCs/>
          <w:sz w:val="22"/>
          <w:szCs w:val="22"/>
        </w:rPr>
        <w:t>Villar</w:t>
      </w:r>
      <w:proofErr w:type="spellEnd"/>
      <w:r w:rsidRPr="00886270">
        <w:rPr>
          <w:rFonts w:ascii="Times New Roman" w:eastAsia="Times New Roman" w:hAnsi="Times New Roman" w:cs="Times New Roman"/>
          <w:bCs/>
          <w:sz w:val="22"/>
          <w:szCs w:val="22"/>
        </w:rPr>
        <w:t xml:space="preserve">, L. (2023). Country Analysis Brief. </w:t>
      </w:r>
      <w:hyperlink r:id="rId61" w:history="1">
        <w:r w:rsidRPr="00886270">
          <w:rPr>
            <w:rStyle w:val="Hyperlink"/>
            <w:rFonts w:ascii="Times New Roman" w:eastAsia="Times New Roman" w:hAnsi="Times New Roman" w:cs="Times New Roman"/>
            <w:bCs/>
            <w:sz w:val="22"/>
            <w:szCs w:val="22"/>
          </w:rPr>
          <w:t>https://www.eia.gov/international/content/analysis/countries_long/Nigeria/nigeria.pdf</w:t>
        </w:r>
      </w:hyperlink>
    </w:p>
    <w:p w14:paraId="1F8C5450"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Wang, L., Ding, X., &amp; Wu, X. (2014). Environmental Kuznets curve for pollutants emissions in China’s textile industry: an empirical investigation. In International Journal of Environmental Technology and Management (Vol. 17, Issue 1, p. 14). </w:t>
      </w:r>
      <w:proofErr w:type="spellStart"/>
      <w:r w:rsidRPr="00886270">
        <w:rPr>
          <w:rFonts w:ascii="Times New Roman" w:eastAsia="Times New Roman" w:hAnsi="Times New Roman" w:cs="Times New Roman"/>
          <w:bCs/>
          <w:sz w:val="22"/>
          <w:szCs w:val="22"/>
        </w:rPr>
        <w:t>Inderscience</w:t>
      </w:r>
      <w:proofErr w:type="spellEnd"/>
      <w:r w:rsidRPr="00886270">
        <w:rPr>
          <w:rFonts w:ascii="Times New Roman" w:eastAsia="Times New Roman" w:hAnsi="Times New Roman" w:cs="Times New Roman"/>
          <w:bCs/>
          <w:sz w:val="22"/>
          <w:szCs w:val="22"/>
        </w:rPr>
        <w:t xml:space="preserve"> Publishers. </w:t>
      </w:r>
      <w:hyperlink r:id="rId62" w:history="1">
        <w:r w:rsidRPr="00886270">
          <w:rPr>
            <w:rStyle w:val="Hyperlink"/>
            <w:rFonts w:ascii="Times New Roman" w:eastAsia="Times New Roman" w:hAnsi="Times New Roman" w:cs="Times New Roman"/>
            <w:bCs/>
            <w:sz w:val="22"/>
            <w:szCs w:val="22"/>
          </w:rPr>
          <w:t>https://doi.org/10.1504/ijetm.2014.059457</w:t>
        </w:r>
      </w:hyperlink>
      <w:r w:rsidRPr="00886270">
        <w:rPr>
          <w:rFonts w:ascii="Times New Roman" w:eastAsia="Times New Roman" w:hAnsi="Times New Roman" w:cs="Times New Roman"/>
          <w:bCs/>
          <w:sz w:val="22"/>
          <w:szCs w:val="22"/>
        </w:rPr>
        <w:t xml:space="preserve"> </w:t>
      </w:r>
    </w:p>
    <w:p w14:paraId="658B470B"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Zhang, L., Xu, M., Chen, H., Li, Y., &amp; Chen, S. (2022). Globalization, Green Economy and Environmental Challenges: State of the Art Review for Practical Implications. In Frontiers in Environmental Science (Vol. 10). Frontiers Media. </w:t>
      </w:r>
      <w:hyperlink r:id="rId63" w:history="1">
        <w:r w:rsidRPr="00886270">
          <w:rPr>
            <w:rStyle w:val="Hyperlink"/>
            <w:rFonts w:ascii="Times New Roman" w:eastAsia="Times New Roman" w:hAnsi="Times New Roman" w:cs="Times New Roman"/>
            <w:bCs/>
            <w:sz w:val="22"/>
            <w:szCs w:val="22"/>
          </w:rPr>
          <w:t>https://doi.org/10.3389/fenvs.2022.870271</w:t>
        </w:r>
      </w:hyperlink>
    </w:p>
    <w:p w14:paraId="2B3163DD"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Zhi</w:t>
      </w:r>
      <w:proofErr w:type="spellEnd"/>
      <w:r w:rsidRPr="00886270">
        <w:rPr>
          <w:rFonts w:ascii="Times New Roman" w:eastAsia="Times New Roman" w:hAnsi="Times New Roman" w:cs="Times New Roman"/>
          <w:bCs/>
          <w:sz w:val="22"/>
          <w:szCs w:val="22"/>
        </w:rPr>
        <w:t xml:space="preserve">, Z., Ding, Z., </w:t>
      </w:r>
      <w:proofErr w:type="spellStart"/>
      <w:r w:rsidRPr="00886270">
        <w:rPr>
          <w:rFonts w:ascii="Times New Roman" w:eastAsia="Times New Roman" w:hAnsi="Times New Roman" w:cs="Times New Roman"/>
          <w:bCs/>
          <w:sz w:val="22"/>
          <w:szCs w:val="22"/>
        </w:rPr>
        <w:t>Geng</w:t>
      </w:r>
      <w:proofErr w:type="spellEnd"/>
      <w:r w:rsidRPr="00886270">
        <w:rPr>
          <w:rFonts w:ascii="Times New Roman" w:eastAsia="Times New Roman" w:hAnsi="Times New Roman" w:cs="Times New Roman"/>
          <w:bCs/>
          <w:sz w:val="22"/>
          <w:szCs w:val="22"/>
        </w:rPr>
        <w:t xml:space="preserve">, Y., Pan, L., &amp; Wang, C. (2023). The impact of digital economy on environmental quality: Evidence from China. In Frontiers in Environmental Science (Vol. 11). Frontiers Media. </w:t>
      </w:r>
      <w:hyperlink r:id="rId64" w:history="1">
        <w:r w:rsidRPr="00886270">
          <w:rPr>
            <w:rStyle w:val="Hyperlink"/>
            <w:rFonts w:ascii="Times New Roman" w:eastAsia="Times New Roman" w:hAnsi="Times New Roman" w:cs="Times New Roman"/>
            <w:bCs/>
            <w:sz w:val="22"/>
            <w:szCs w:val="22"/>
          </w:rPr>
          <w:t>https://doi.org/10.3389/fenvs.2023.1120953</w:t>
        </w:r>
      </w:hyperlink>
    </w:p>
    <w:p w14:paraId="20D0DA39" w14:textId="77777777" w:rsidR="008B1CF7" w:rsidRPr="00886270" w:rsidRDefault="008B1CF7" w:rsidP="00886270">
      <w:pPr>
        <w:spacing w:line="360" w:lineRule="auto"/>
        <w:ind w:left="851" w:hanging="851"/>
        <w:jc w:val="both"/>
        <w:rPr>
          <w:sz w:val="22"/>
          <w:szCs w:val="22"/>
        </w:rPr>
      </w:pPr>
      <w:r w:rsidRPr="00886270">
        <w:rPr>
          <w:rFonts w:ascii="Times New Roman" w:eastAsia="Times New Roman" w:hAnsi="Times New Roman" w:cs="Times New Roman"/>
          <w:bCs/>
          <w:sz w:val="22"/>
          <w:szCs w:val="22"/>
        </w:rPr>
        <w:t xml:space="preserve"> </w:t>
      </w:r>
      <w:proofErr w:type="spellStart"/>
      <w:r w:rsidRPr="00886270">
        <w:rPr>
          <w:rFonts w:ascii="Times New Roman" w:eastAsia="Times New Roman" w:hAnsi="Times New Roman" w:cs="Times New Roman"/>
          <w:bCs/>
          <w:sz w:val="22"/>
          <w:szCs w:val="22"/>
        </w:rPr>
        <w:t>Zhi</w:t>
      </w:r>
      <w:proofErr w:type="spellEnd"/>
      <w:r w:rsidRPr="00886270">
        <w:rPr>
          <w:rFonts w:ascii="Times New Roman" w:eastAsia="Times New Roman" w:hAnsi="Times New Roman" w:cs="Times New Roman"/>
          <w:bCs/>
          <w:sz w:val="22"/>
          <w:szCs w:val="22"/>
        </w:rPr>
        <w:t xml:space="preserve">, Z., Ding, Z., </w:t>
      </w:r>
      <w:proofErr w:type="spellStart"/>
      <w:r w:rsidRPr="00886270">
        <w:rPr>
          <w:rFonts w:ascii="Times New Roman" w:eastAsia="Times New Roman" w:hAnsi="Times New Roman" w:cs="Times New Roman"/>
          <w:bCs/>
          <w:sz w:val="22"/>
          <w:szCs w:val="22"/>
        </w:rPr>
        <w:t>Geng</w:t>
      </w:r>
      <w:proofErr w:type="spellEnd"/>
      <w:r w:rsidRPr="00886270">
        <w:rPr>
          <w:rFonts w:ascii="Times New Roman" w:eastAsia="Times New Roman" w:hAnsi="Times New Roman" w:cs="Times New Roman"/>
          <w:bCs/>
          <w:sz w:val="22"/>
          <w:szCs w:val="22"/>
        </w:rPr>
        <w:t xml:space="preserve">, Y., Pan, L., &amp; Wang, C. (2023). The impact of digital economy on environmental quality: Evidence from China. In Frontiers in Environmental Science (Vol. 11). Frontiers Media. </w:t>
      </w:r>
      <w:hyperlink r:id="rId65" w:history="1">
        <w:r w:rsidRPr="00886270">
          <w:rPr>
            <w:rStyle w:val="Hyperlink"/>
            <w:rFonts w:ascii="Times New Roman" w:eastAsia="Times New Roman" w:hAnsi="Times New Roman" w:cs="Times New Roman"/>
            <w:bCs/>
            <w:sz w:val="22"/>
            <w:szCs w:val="22"/>
          </w:rPr>
          <w:t>https://doi.org/10.3389/fenvs.2023.1120953</w:t>
        </w:r>
      </w:hyperlink>
    </w:p>
    <w:p w14:paraId="4A27F8CB" w14:textId="77777777" w:rsidR="003B18E9" w:rsidRPr="00886270" w:rsidRDefault="003B18E9" w:rsidP="00886270">
      <w:pPr>
        <w:spacing w:line="360" w:lineRule="auto"/>
        <w:rPr>
          <w:sz w:val="22"/>
          <w:szCs w:val="22"/>
        </w:rPr>
      </w:pPr>
    </w:p>
    <w:sectPr w:rsidR="003B18E9" w:rsidRPr="00886270">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EB4B" w14:textId="77777777" w:rsidR="00DB56EF" w:rsidRDefault="00DB56EF" w:rsidP="0070639F">
      <w:pPr>
        <w:spacing w:after="0" w:line="240" w:lineRule="auto"/>
      </w:pPr>
      <w:r>
        <w:separator/>
      </w:r>
    </w:p>
  </w:endnote>
  <w:endnote w:type="continuationSeparator" w:id="0">
    <w:p w14:paraId="41973194" w14:textId="77777777" w:rsidR="00DB56EF" w:rsidRDefault="00DB56EF" w:rsidP="0070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DF1E" w14:textId="77777777" w:rsidR="0070639F" w:rsidRDefault="0070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48D74" w14:textId="77777777" w:rsidR="0070639F" w:rsidRDefault="00706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4DC4" w14:textId="77777777" w:rsidR="0070639F" w:rsidRDefault="0070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454C" w14:textId="77777777" w:rsidR="00DB56EF" w:rsidRDefault="00DB56EF" w:rsidP="0070639F">
      <w:pPr>
        <w:spacing w:after="0" w:line="240" w:lineRule="auto"/>
      </w:pPr>
      <w:r>
        <w:separator/>
      </w:r>
    </w:p>
  </w:footnote>
  <w:footnote w:type="continuationSeparator" w:id="0">
    <w:p w14:paraId="35B20530" w14:textId="77777777" w:rsidR="00DB56EF" w:rsidRDefault="00DB56EF" w:rsidP="0070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C85D" w14:textId="342716DC" w:rsidR="0070639F" w:rsidRDefault="0070639F">
    <w:pPr>
      <w:pStyle w:val="Header"/>
    </w:pPr>
    <w:r>
      <w:rPr>
        <w:noProof/>
      </w:rPr>
      <w:pict w14:anchorId="3BEAA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6065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0E99" w14:textId="162B4077" w:rsidR="0070639F" w:rsidRDefault="0070639F">
    <w:pPr>
      <w:pStyle w:val="Header"/>
    </w:pPr>
    <w:r>
      <w:rPr>
        <w:noProof/>
      </w:rPr>
      <w:pict w14:anchorId="32558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6065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6568" w14:textId="718AD576" w:rsidR="0070639F" w:rsidRDefault="0070639F">
    <w:pPr>
      <w:pStyle w:val="Header"/>
    </w:pPr>
    <w:r>
      <w:rPr>
        <w:noProof/>
      </w:rPr>
      <w:pict w14:anchorId="17A6B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6065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71FC4"/>
    <w:multiLevelType w:val="hybridMultilevel"/>
    <w:tmpl w:val="3E6E5166"/>
    <w:lvl w:ilvl="0" w:tplc="57523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43ED8"/>
    <w:multiLevelType w:val="multilevel"/>
    <w:tmpl w:val="6182326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E9"/>
    <w:rsid w:val="00010F1C"/>
    <w:rsid w:val="00072E65"/>
    <w:rsid w:val="00087F42"/>
    <w:rsid w:val="002427A6"/>
    <w:rsid w:val="003422C2"/>
    <w:rsid w:val="00360FFD"/>
    <w:rsid w:val="003B18E9"/>
    <w:rsid w:val="003D34E3"/>
    <w:rsid w:val="0044481D"/>
    <w:rsid w:val="00491204"/>
    <w:rsid w:val="004B451B"/>
    <w:rsid w:val="004D0039"/>
    <w:rsid w:val="005174C3"/>
    <w:rsid w:val="00647DBA"/>
    <w:rsid w:val="006D2DDF"/>
    <w:rsid w:val="0070639F"/>
    <w:rsid w:val="00712BB2"/>
    <w:rsid w:val="007E701F"/>
    <w:rsid w:val="00825994"/>
    <w:rsid w:val="00837AC0"/>
    <w:rsid w:val="00886270"/>
    <w:rsid w:val="008974FE"/>
    <w:rsid w:val="008A5BEF"/>
    <w:rsid w:val="008B1CF7"/>
    <w:rsid w:val="008D2B9F"/>
    <w:rsid w:val="008D61E0"/>
    <w:rsid w:val="00A64C7A"/>
    <w:rsid w:val="00AA25C9"/>
    <w:rsid w:val="00AC5D9B"/>
    <w:rsid w:val="00B81AA2"/>
    <w:rsid w:val="00C10A36"/>
    <w:rsid w:val="00CB2EEF"/>
    <w:rsid w:val="00CC335F"/>
    <w:rsid w:val="00D66679"/>
    <w:rsid w:val="00DB56EF"/>
    <w:rsid w:val="00DF5FBD"/>
    <w:rsid w:val="00E770FC"/>
    <w:rsid w:val="00E80264"/>
    <w:rsid w:val="00E95551"/>
    <w:rsid w:val="00EB4740"/>
    <w:rsid w:val="00EF7459"/>
    <w:rsid w:val="00F14F9E"/>
    <w:rsid w:val="00F2746F"/>
    <w:rsid w:val="00F27B31"/>
    <w:rsid w:val="00FC3CDE"/>
    <w:rsid w:val="00FE1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614B25"/>
  <w15:chartTrackingRefBased/>
  <w15:docId w15:val="{6BE3E82E-E7DE-442F-A9D7-18D63EFB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3B18E9"/>
    <w:pPr>
      <w:suppressAutoHyphens/>
      <w:autoSpaceDN w:val="0"/>
      <w:spacing w:line="276" w:lineRule="auto"/>
    </w:pPr>
    <w:rPr>
      <w:rFonts w:ascii="Aptos" w:eastAsia="Aptos" w:hAnsi="Aptos" w:cs="Arial"/>
      <w:kern w:val="3"/>
      <w14:ligatures w14:val="none"/>
    </w:rPr>
  </w:style>
  <w:style w:type="paragraph" w:styleId="Heading1">
    <w:name w:val="heading 1"/>
    <w:basedOn w:val="Normal"/>
    <w:next w:val="Normal"/>
    <w:link w:val="Heading1Char"/>
    <w:uiPriority w:val="9"/>
    <w:qFormat/>
    <w:rsid w:val="003B1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B1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3B1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B1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B1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B1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B18E9"/>
    <w:rPr>
      <w:rFonts w:eastAsiaTheme="majorEastAsia" w:cstheme="majorBidi"/>
      <w:i/>
      <w:iCs/>
      <w:color w:val="0F4761" w:themeColor="accent1" w:themeShade="BF"/>
    </w:rPr>
  </w:style>
  <w:style w:type="character" w:customStyle="1" w:styleId="Heading5Char">
    <w:name w:val="Heading 5 Char"/>
    <w:basedOn w:val="DefaultParagraphFont"/>
    <w:link w:val="Heading5"/>
    <w:rsid w:val="003B18E9"/>
    <w:rPr>
      <w:rFonts w:eastAsiaTheme="majorEastAsia" w:cstheme="majorBidi"/>
      <w:color w:val="0F4761" w:themeColor="accent1" w:themeShade="BF"/>
    </w:rPr>
  </w:style>
  <w:style w:type="character" w:customStyle="1" w:styleId="Heading6Char">
    <w:name w:val="Heading 6 Char"/>
    <w:basedOn w:val="DefaultParagraphFont"/>
    <w:link w:val="Heading6"/>
    <w:rsid w:val="003B18E9"/>
    <w:rPr>
      <w:rFonts w:eastAsiaTheme="majorEastAsia" w:cstheme="majorBidi"/>
      <w:i/>
      <w:iCs/>
      <w:color w:val="595959" w:themeColor="text1" w:themeTint="A6"/>
    </w:rPr>
  </w:style>
  <w:style w:type="character" w:customStyle="1" w:styleId="Heading7Char">
    <w:name w:val="Heading 7 Char"/>
    <w:basedOn w:val="DefaultParagraphFont"/>
    <w:link w:val="Heading7"/>
    <w:rsid w:val="003B18E9"/>
    <w:rPr>
      <w:rFonts w:eastAsiaTheme="majorEastAsia" w:cstheme="majorBidi"/>
      <w:color w:val="595959" w:themeColor="text1" w:themeTint="A6"/>
    </w:rPr>
  </w:style>
  <w:style w:type="character" w:customStyle="1" w:styleId="Heading8Char">
    <w:name w:val="Heading 8 Char"/>
    <w:basedOn w:val="DefaultParagraphFont"/>
    <w:link w:val="Heading8"/>
    <w:rsid w:val="003B18E9"/>
    <w:rPr>
      <w:rFonts w:eastAsiaTheme="majorEastAsia" w:cstheme="majorBidi"/>
      <w:i/>
      <w:iCs/>
      <w:color w:val="272727" w:themeColor="text1" w:themeTint="D8"/>
    </w:rPr>
  </w:style>
  <w:style w:type="character" w:customStyle="1" w:styleId="Heading9Char">
    <w:name w:val="Heading 9 Char"/>
    <w:basedOn w:val="DefaultParagraphFont"/>
    <w:link w:val="Heading9"/>
    <w:rsid w:val="003B18E9"/>
    <w:rPr>
      <w:rFonts w:eastAsiaTheme="majorEastAsia" w:cstheme="majorBidi"/>
      <w:color w:val="272727" w:themeColor="text1" w:themeTint="D8"/>
    </w:rPr>
  </w:style>
  <w:style w:type="paragraph" w:styleId="Title">
    <w:name w:val="Title"/>
    <w:basedOn w:val="Normal"/>
    <w:next w:val="Normal"/>
    <w:link w:val="TitleChar"/>
    <w:uiPriority w:val="10"/>
    <w:qFormat/>
    <w:rsid w:val="003B1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1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B18E9"/>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3B18E9"/>
    <w:pPr>
      <w:spacing w:before="160"/>
      <w:jc w:val="center"/>
    </w:pPr>
    <w:rPr>
      <w:i/>
      <w:iCs/>
      <w:color w:val="404040" w:themeColor="text1" w:themeTint="BF"/>
    </w:rPr>
  </w:style>
  <w:style w:type="character" w:customStyle="1" w:styleId="QuoteChar">
    <w:name w:val="Quote Char"/>
    <w:basedOn w:val="DefaultParagraphFont"/>
    <w:link w:val="Quote"/>
    <w:rsid w:val="003B18E9"/>
    <w:rPr>
      <w:i/>
      <w:iCs/>
      <w:color w:val="404040" w:themeColor="text1" w:themeTint="BF"/>
    </w:rPr>
  </w:style>
  <w:style w:type="paragraph" w:styleId="ListParagraph">
    <w:name w:val="List Paragraph"/>
    <w:basedOn w:val="Normal"/>
    <w:qFormat/>
    <w:rsid w:val="003B18E9"/>
    <w:pPr>
      <w:ind w:left="720"/>
      <w:contextualSpacing/>
    </w:pPr>
  </w:style>
  <w:style w:type="character" w:styleId="IntenseEmphasis">
    <w:name w:val="Intense Emphasis"/>
    <w:basedOn w:val="DefaultParagraphFont"/>
    <w:qFormat/>
    <w:rsid w:val="003B18E9"/>
    <w:rPr>
      <w:i/>
      <w:iCs/>
      <w:color w:val="0F4761" w:themeColor="accent1" w:themeShade="BF"/>
    </w:rPr>
  </w:style>
  <w:style w:type="paragraph" w:styleId="IntenseQuote">
    <w:name w:val="Intense Quote"/>
    <w:basedOn w:val="Normal"/>
    <w:next w:val="Normal"/>
    <w:link w:val="IntenseQuoteChar"/>
    <w:qFormat/>
    <w:rsid w:val="003B1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3B18E9"/>
    <w:rPr>
      <w:i/>
      <w:iCs/>
      <w:color w:val="0F4761" w:themeColor="accent1" w:themeShade="BF"/>
    </w:rPr>
  </w:style>
  <w:style w:type="character" w:styleId="IntenseReference">
    <w:name w:val="Intense Reference"/>
    <w:basedOn w:val="DefaultParagraphFont"/>
    <w:qFormat/>
    <w:rsid w:val="003B18E9"/>
    <w:rPr>
      <w:b/>
      <w:bCs/>
      <w:smallCaps/>
      <w:color w:val="0F4761" w:themeColor="accent1" w:themeShade="BF"/>
      <w:spacing w:val="5"/>
    </w:rPr>
  </w:style>
  <w:style w:type="character" w:styleId="Hyperlink">
    <w:name w:val="Hyperlink"/>
    <w:basedOn w:val="DefaultParagraphFont"/>
    <w:rsid w:val="003B18E9"/>
    <w:rPr>
      <w:color w:val="467886"/>
      <w:u w:val="single"/>
    </w:rPr>
  </w:style>
  <w:style w:type="character" w:styleId="UnresolvedMention">
    <w:name w:val="Unresolved Mention"/>
    <w:basedOn w:val="DefaultParagraphFont"/>
    <w:rsid w:val="003B18E9"/>
    <w:rPr>
      <w:color w:val="605E5C"/>
      <w:shd w:val="clear" w:color="auto" w:fill="E1DFDD"/>
    </w:rPr>
  </w:style>
  <w:style w:type="paragraph" w:styleId="NormalWeb">
    <w:name w:val="Normal (Web)"/>
    <w:basedOn w:val="Normal"/>
    <w:rsid w:val="003B18E9"/>
    <w:rPr>
      <w:rFonts w:ascii="Times New Roman" w:hAnsi="Times New Roman" w:cs="Times New Roman"/>
    </w:rPr>
  </w:style>
  <w:style w:type="character" w:customStyle="1" w:styleId="anchor-text">
    <w:name w:val="anchor-text"/>
    <w:basedOn w:val="DefaultParagraphFont"/>
    <w:rsid w:val="003B18E9"/>
  </w:style>
  <w:style w:type="paragraph" w:styleId="Header">
    <w:name w:val="header"/>
    <w:basedOn w:val="Normal"/>
    <w:link w:val="HeaderChar"/>
    <w:uiPriority w:val="99"/>
    <w:unhideWhenUsed/>
    <w:rsid w:val="00706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9F"/>
    <w:rPr>
      <w:rFonts w:ascii="Aptos" w:eastAsia="Aptos" w:hAnsi="Aptos" w:cs="Arial"/>
      <w:kern w:val="3"/>
      <w14:ligatures w14:val="none"/>
    </w:rPr>
  </w:style>
  <w:style w:type="paragraph" w:styleId="Footer">
    <w:name w:val="footer"/>
    <w:basedOn w:val="Normal"/>
    <w:link w:val="FooterChar"/>
    <w:uiPriority w:val="99"/>
    <w:unhideWhenUsed/>
    <w:rsid w:val="00706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9F"/>
    <w:rPr>
      <w:rFonts w:ascii="Aptos" w:eastAsia="Aptos" w:hAnsi="Aptos" w:cs="Arial"/>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64100425_Energy_consumption_and_environmental_sustainability_What_lessons_for_posterity" TargetMode="External"/><Relationship Id="rId21" Type="http://schemas.openxmlformats.org/officeDocument/2006/relationships/oleObject" Target="embeddings/oleObject7.bin"/><Relationship Id="rId42" Type="http://schemas.openxmlformats.org/officeDocument/2006/relationships/hyperlink" Target="https://www.sciencedirect.com/journal/innovation-and-green-development" TargetMode="External"/><Relationship Id="rId47" Type="http://schemas.openxmlformats.org/officeDocument/2006/relationships/hyperlink" Target="https://doi.org/10.1371/journal.pone.0227703" TargetMode="External"/><Relationship Id="rId63" Type="http://schemas.openxmlformats.org/officeDocument/2006/relationships/hyperlink" Target="https://doi.org/10.3389/fenvs.2022.870271"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https://www.sciencedirect.com/journal/science-of-the-total-environment" TargetMode="Externa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hyperlink" Target="https://www.researchgate.net/profile/Anthony-Bernard-6?_tp=eyJjb250ZXh0Ijp7ImZpcnN0UGFnZSI6InB1YmxpY2F0aW9uIiwicGFnZSI6InB1YmxpY2F0aW9uIn19" TargetMode="External"/><Relationship Id="rId37" Type="http://schemas.openxmlformats.org/officeDocument/2006/relationships/hyperlink" Target="https://doi.org/10.1093/reep/rep021" TargetMode="External"/><Relationship Id="rId40" Type="http://schemas.openxmlformats.org/officeDocument/2006/relationships/hyperlink" Target="https://doi.org/10.3390/hydrology7010019" TargetMode="External"/><Relationship Id="rId45" Type="http://schemas.openxmlformats.org/officeDocument/2006/relationships/hyperlink" Target="https://www.sciencedirect.com/journal/economic-analysis-and-policy" TargetMode="External"/><Relationship Id="rId53" Type="http://schemas.openxmlformats.org/officeDocument/2006/relationships/hyperlink" Target="https://doi.org/10.1088/1755-1315/331/1/012033" TargetMode="External"/><Relationship Id="rId58" Type="http://schemas.openxmlformats.org/officeDocument/2006/relationships/hyperlink" Target="https://www.researchgate.net/publication/350859109_Population_Growth_Electricity_Demand_and_Environmental_Sustainability_in_Nigeria_Insights_from_a_Vector_Auto-Regressive_Approach"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eia.gov/international/content/analysis/countries_long/Nigeria/nigeria.pdf" TargetMode="Externa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yperlink" Target="https://doi.org/10.5772/intechopen.86554" TargetMode="External"/><Relationship Id="rId30" Type="http://schemas.openxmlformats.org/officeDocument/2006/relationships/hyperlink" Target="https://www.sciencedirect.com/journal/science-of-the-total-environment/vol/712/suppl/C" TargetMode="External"/><Relationship Id="rId35" Type="http://schemas.openxmlformats.org/officeDocument/2006/relationships/hyperlink" Target="https://www.researchgate.net/publication/341103417_ANALYSIS_OF_THE_EFFECT_OF_ENERGY_CONSUMPTION_CO_2_EMISSION_ON_ECONOMIC_GROWTH_IN_NIGERIA" TargetMode="External"/><Relationship Id="rId43" Type="http://schemas.openxmlformats.org/officeDocument/2006/relationships/hyperlink" Target="https://www.sciencedirect.com/science/article/pii/S2949753124000092" TargetMode="External"/><Relationship Id="rId48" Type="http://schemas.openxmlformats.org/officeDocument/2006/relationships/hyperlink" Target="https://doi.org/10.1016/j.measurement.2017.11.049" TargetMode="External"/><Relationship Id="rId56" Type="http://schemas.openxmlformats.org/officeDocument/2006/relationships/hyperlink" Target="https://doi.org/10.1016/j.trc.2023.104267" TargetMode="External"/><Relationship Id="rId64" Type="http://schemas.openxmlformats.org/officeDocument/2006/relationships/hyperlink" Target="https://doi.org/10.3389/fenvs.2023.1120953" TargetMode="External"/><Relationship Id="rId69"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hyperlink" Target="https://www.sciencedirect.com/science/article/abs/pii/S030142072300424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emf"/><Relationship Id="rId33" Type="http://schemas.openxmlformats.org/officeDocument/2006/relationships/hyperlink" Target="https://www.researchgate.net/profile/Uju-Ezenekwe?_tp=eyJjb250ZXh0Ijp7ImZpcnN0UGFnZSI6InB1YmxpY2F0aW9uIiwicGFnZSI6InB1YmxpY2F0aW9uIn19" TargetMode="External"/><Relationship Id="rId38" Type="http://schemas.openxmlformats.org/officeDocument/2006/relationships/hyperlink" Target="https://doi.org/10.48550/arXiv.2211" TargetMode="External"/><Relationship Id="rId46" Type="http://schemas.openxmlformats.org/officeDocument/2006/relationships/hyperlink" Target="https://www.sciencedirect.com/science/article/pii/S0313592623002333" TargetMode="External"/><Relationship Id="rId59" Type="http://schemas.openxmlformats.org/officeDocument/2006/relationships/hyperlink" Target="https://doi.org/10.1007/s10666-020-09702-0" TargetMode="External"/><Relationship Id="rId67"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hyperlink" Target="https://doi.org/10.51865/eitc.2022.01.01" TargetMode="External"/><Relationship Id="rId54" Type="http://schemas.openxmlformats.org/officeDocument/2006/relationships/hyperlink" Target="https://doi.org/10.26552/tac.c.2020.2.3" TargetMode="External"/><Relationship Id="rId62" Type="http://schemas.openxmlformats.org/officeDocument/2006/relationships/hyperlink" Target="https://doi.org/10.1504/ijetm.2014.059457"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s://doi.org/10.1016/j.iref.2017.03.024" TargetMode="External"/><Relationship Id="rId36" Type="http://schemas.openxmlformats.org/officeDocument/2006/relationships/hyperlink" Target="https://doi.org/10.1016/j.eneco.2011.09.007" TargetMode="External"/><Relationship Id="rId49" Type="http://schemas.openxmlformats.org/officeDocument/2006/relationships/hyperlink" Target="https://doi.org/10.48550/arXiv.2104" TargetMode="External"/><Relationship Id="rId57" Type="http://schemas.openxmlformats.org/officeDocument/2006/relationships/hyperlink" Target="https://doi.org/10.22004/ag.econ.249424" TargetMode="External"/><Relationship Id="rId10" Type="http://schemas.openxmlformats.org/officeDocument/2006/relationships/image" Target="media/image3.wmf"/><Relationship Id="rId31" Type="http://schemas.openxmlformats.org/officeDocument/2006/relationships/hyperlink" Target="https://www.sciencedirect.com/science/article/abs/pii/S0048969719363727" TargetMode="External"/><Relationship Id="rId44" Type="http://schemas.openxmlformats.org/officeDocument/2006/relationships/hyperlink" Target="https://doi.org/10.48550/arXiv.2304" TargetMode="External"/><Relationship Id="rId52" Type="http://schemas.openxmlformats.org/officeDocument/2006/relationships/hyperlink" Target="https://doi.org/10.13189/ujaf.2021.090405" TargetMode="External"/><Relationship Id="rId60" Type="http://schemas.openxmlformats.org/officeDocument/2006/relationships/hyperlink" Target="https://www.econstor.eu/bitstream/10419/49919/1/668828234.pdf" TargetMode="External"/><Relationship Id="rId65" Type="http://schemas.openxmlformats.org/officeDocument/2006/relationships/hyperlink" Target="https://doi.org/10.3389/fenvs.2023.1120953"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hyperlink" Target="https://doi.org/10.1016/j.jenvman.2018.10.087" TargetMode="External"/><Relationship Id="rId34" Type="http://schemas.openxmlformats.org/officeDocument/2006/relationships/hyperlink" Target="https://www.researchgate.net/profile/Chinecherem-Uzonwanne?_tp=eyJjb250ZXh0Ijp7ImZpcnN0UGFnZSI6InB1YmxpY2F0aW9uIiwicGFnZSI6InB1YmxpY2F0aW9uIn19" TargetMode="External"/><Relationship Id="rId50" Type="http://schemas.openxmlformats.org/officeDocument/2006/relationships/hyperlink" Target="https://www.iki.bas.bg/Journals/EconomicStudies/2018/2018-2/7_Nigeria-3_f-f.pdf" TargetMode="External"/><Relationship Id="rId55" Type="http://schemas.openxmlformats.org/officeDocument/2006/relationships/hyperlink" Target="https://doi.org/10.1515/ajle-2020-0001" TargetMode="External"/><Relationship Id="rId7" Type="http://schemas.openxmlformats.org/officeDocument/2006/relationships/image" Target="media/image1.pn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7183</Words>
  <Characters>40944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D. Ishaya</dc:creator>
  <cp:keywords/>
  <dc:description/>
  <cp:lastModifiedBy>SDI 1084</cp:lastModifiedBy>
  <cp:revision>17</cp:revision>
  <dcterms:created xsi:type="dcterms:W3CDTF">2025-02-14T08:05:00Z</dcterms:created>
  <dcterms:modified xsi:type="dcterms:W3CDTF">2025-02-18T05:24:00Z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2025-02-12T13:02:33Z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f33b4718-ae5d-4e71-822a-7329fb094148</vt:lpwstr>
  </property>
  <property fmtid="{D5CDD505-2E9C-101B-9397-08002B2CF9AE}" pid="7" name="MSIP_Label_defa4170-0d19-0005-0004-bc88714345d2_ActionId">
    <vt:lpwstr>fb314570-c06c-409d-9eff-3d6a0ca4dcba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