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69A2" w14:textId="77777777" w:rsidR="0091698C" w:rsidRDefault="005704CE">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Effect of Foliar Plus on some Physiological Growth Attributes of Cucumber (</w:t>
      </w:r>
      <w:r>
        <w:rPr>
          <w:rFonts w:ascii="Times New Roman" w:eastAsia="Times New Roman" w:hAnsi="Times New Roman" w:cs="Times New Roman"/>
          <w:b/>
          <w:i/>
          <w:sz w:val="26"/>
          <w:szCs w:val="26"/>
        </w:rPr>
        <w:t xml:space="preserve">Cucumis sativus) </w:t>
      </w:r>
      <w:r>
        <w:rPr>
          <w:rFonts w:ascii="Times New Roman" w:eastAsia="Times New Roman" w:hAnsi="Times New Roman" w:cs="Times New Roman"/>
          <w:b/>
          <w:sz w:val="26"/>
          <w:szCs w:val="26"/>
        </w:rPr>
        <w:t>in Owerri, South East, Nigeria.</w:t>
      </w:r>
    </w:p>
    <w:p w14:paraId="352BE4BD" w14:textId="574E6116" w:rsidR="0091698C" w:rsidRDefault="0091698C">
      <w:pPr>
        <w:spacing w:after="0" w:line="240" w:lineRule="auto"/>
        <w:jc w:val="center"/>
        <w:rPr>
          <w:rFonts w:ascii="Times New Roman" w:eastAsia="Times New Roman" w:hAnsi="Times New Roman" w:cs="Times New Roman"/>
          <w:b/>
          <w:sz w:val="24"/>
          <w:szCs w:val="24"/>
        </w:rPr>
      </w:pPr>
    </w:p>
    <w:p w14:paraId="74EF727D" w14:textId="77777777" w:rsidR="009E2702" w:rsidRDefault="009E2702">
      <w:pPr>
        <w:spacing w:after="0" w:line="240" w:lineRule="auto"/>
        <w:jc w:val="center"/>
        <w:rPr>
          <w:rFonts w:ascii="Times New Roman" w:eastAsia="Times New Roman" w:hAnsi="Times New Roman" w:cs="Times New Roman"/>
          <w:b/>
          <w:sz w:val="24"/>
          <w:szCs w:val="24"/>
        </w:rPr>
      </w:pPr>
    </w:p>
    <w:p w14:paraId="6FF2F7E1" w14:textId="77777777" w:rsidR="0091698C" w:rsidRDefault="005704CE">
      <w:pPr>
        <w:spacing w:after="0" w:line="240" w:lineRule="auto"/>
        <w:ind w:left="3600"/>
        <w:rPr>
          <w:rFonts w:ascii="Times New Roman" w:eastAsia="Times New Roman" w:hAnsi="Times New Roman" w:cs="Times New Roman"/>
          <w:b/>
        </w:rPr>
      </w:pPr>
      <w:r>
        <w:rPr>
          <w:rFonts w:ascii="Times New Roman" w:eastAsia="Times New Roman" w:hAnsi="Times New Roman" w:cs="Times New Roman"/>
          <w:b/>
        </w:rPr>
        <w:t>ABSTRACT</w:t>
      </w:r>
    </w:p>
    <w:p w14:paraId="571C6F0B" w14:textId="77777777" w:rsidR="0091698C" w:rsidRDefault="005704CE">
      <w:pPr>
        <w:spacing w:before="240" w:line="360" w:lineRule="auto"/>
        <w:rPr>
          <w:rFonts w:ascii="Times New Roman" w:eastAsia="Times New Roman" w:hAnsi="Times New Roman" w:cs="Times New Roman"/>
        </w:rPr>
      </w:pPr>
      <w:r>
        <w:rPr>
          <w:rFonts w:ascii="Times New Roman" w:eastAsia="Times New Roman" w:hAnsi="Times New Roman" w:cs="Times New Roman"/>
        </w:rPr>
        <w:t>Soil applied fertilizers are associated with problems leaching, environmental degradation, pathogens, slow nutrient release etc, which lead to general low performance of cr</w:t>
      </w:r>
      <w:r>
        <w:rPr>
          <w:rFonts w:ascii="Times New Roman" w:eastAsia="Times New Roman" w:hAnsi="Times New Roman" w:cs="Times New Roman"/>
        </w:rPr>
        <w:t>ops. As another quick and environmentally safe means of nutrient supply to crops, the study sought to evaluate the effect of Foliar Plus on the Physiological growth of Cucumber (</w:t>
      </w:r>
      <w:r>
        <w:rPr>
          <w:rFonts w:ascii="Times New Roman" w:eastAsia="Times New Roman" w:hAnsi="Times New Roman" w:cs="Times New Roman"/>
          <w:i/>
        </w:rPr>
        <w:t>Cucumis sativus)</w:t>
      </w:r>
      <w:r>
        <w:rPr>
          <w:rFonts w:ascii="Times New Roman" w:eastAsia="Times New Roman" w:hAnsi="Times New Roman" w:cs="Times New Roman"/>
          <w:b/>
          <w:i/>
        </w:rPr>
        <w:t xml:space="preserve"> </w:t>
      </w:r>
      <w:r>
        <w:rPr>
          <w:rFonts w:ascii="Times New Roman" w:eastAsia="Times New Roman" w:hAnsi="Times New Roman" w:cs="Times New Roman"/>
        </w:rPr>
        <w:t>in Owerri. Experimental site (96m</w:t>
      </w:r>
      <w:r>
        <w:rPr>
          <w:rFonts w:ascii="Times New Roman" w:eastAsia="Times New Roman" w:hAnsi="Times New Roman" w:cs="Times New Roman"/>
          <w:vertAlign w:val="superscript"/>
        </w:rPr>
        <w:t>2</w:t>
      </w:r>
      <w:r>
        <w:rPr>
          <w:rFonts w:ascii="Times New Roman" w:eastAsia="Times New Roman" w:hAnsi="Times New Roman" w:cs="Times New Roman"/>
        </w:rPr>
        <w:t>) was prepared where cucumb</w:t>
      </w:r>
      <w:r>
        <w:rPr>
          <w:rFonts w:ascii="Times New Roman" w:eastAsia="Times New Roman" w:hAnsi="Times New Roman" w:cs="Times New Roman"/>
        </w:rPr>
        <w:t>er seeds were planted. Randomized Complete Block Design (RCBD) was used with 3 replications. Foliar Plus (FP) was sprayed on the cucumber plant at 1week interval with different doses (0ml [control], 120ml, 140ml and 160ml) each in 15L of water and coded as</w:t>
      </w:r>
      <w:r>
        <w:rPr>
          <w:rFonts w:ascii="Times New Roman" w:eastAsia="Times New Roman" w:hAnsi="Times New Roman" w:cs="Times New Roman"/>
        </w:rPr>
        <w:t xml:space="preserve"> 0mlFP/15Lwater, 120mlFP/15Lwater, 140mlFP/15Lwater and 160mlFP/15Lwater respectively. Evaluations of physiological growth were done at different growth stages of development and at harvest also. Result indicated that Foliar Plus impacted significantly (p≤</w:t>
      </w:r>
      <w:r>
        <w:rPr>
          <w:rFonts w:ascii="Times New Roman" w:eastAsia="Times New Roman" w:hAnsi="Times New Roman" w:cs="Times New Roman"/>
        </w:rPr>
        <w:t>0.05) in some monitored physiological parameters as 120mlFP/15Lwater recorded 25.33days (lowest) in days to 50% flowering, leaf area (496.62</w:t>
      </w:r>
      <w:r>
        <w:rPr>
          <w:rFonts w:ascii="Times New Roman" w:eastAsia="Times New Roman" w:hAnsi="Times New Roman" w:cs="Times New Roman"/>
          <w:sz w:val="24"/>
          <w:szCs w:val="24"/>
        </w:rPr>
        <w:t>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crop growth rate (</w:t>
      </w:r>
      <w:r>
        <w:rPr>
          <w:rFonts w:ascii="Times New Roman" w:eastAsia="Times New Roman" w:hAnsi="Times New Roman" w:cs="Times New Roman"/>
          <w:sz w:val="24"/>
          <w:szCs w:val="24"/>
        </w:rPr>
        <w:t>2.38g/m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rPr>
        <w:t>) and specific leaf weight (</w:t>
      </w:r>
      <w:r>
        <w:rPr>
          <w:rFonts w:ascii="Times New Roman" w:eastAsia="Times New Roman" w:hAnsi="Times New Roman" w:cs="Times New Roman"/>
          <w:sz w:val="24"/>
          <w:szCs w:val="24"/>
        </w:rPr>
        <w:t>0.018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xml:space="preserve">), whereas 140mlFP/15Lwater obtained the </w:t>
      </w:r>
      <w:r>
        <w:rPr>
          <w:rFonts w:ascii="Times New Roman" w:eastAsia="Times New Roman" w:hAnsi="Times New Roman" w:cs="Times New Roman"/>
          <w:sz w:val="24"/>
          <w:szCs w:val="24"/>
        </w:rPr>
        <w:t>highest values, 0.020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11.27g in </w:t>
      </w:r>
      <w:r>
        <w:rPr>
          <w:rFonts w:ascii="Times New Roman" w:eastAsia="Times New Roman" w:hAnsi="Times New Roman" w:cs="Times New Roman"/>
        </w:rPr>
        <w:t>specific leaf weight and leaf dry weight (6WAP) respectively. The control took the highest number of days both in terms of flowering</w:t>
      </w:r>
      <w:r>
        <w:rPr>
          <w:rFonts w:ascii="Times New Roman" w:eastAsia="Times New Roman" w:hAnsi="Times New Roman" w:cs="Times New Roman"/>
          <w:sz w:val="24"/>
          <w:szCs w:val="24"/>
        </w:rPr>
        <w:t xml:space="preserve"> (28.53days)</w:t>
      </w:r>
      <w:r>
        <w:rPr>
          <w:rFonts w:ascii="Times New Roman" w:eastAsia="Times New Roman" w:hAnsi="Times New Roman" w:cs="Times New Roman"/>
        </w:rPr>
        <w:t xml:space="preserve"> and maturity (</w:t>
      </w:r>
      <w:r>
        <w:rPr>
          <w:rFonts w:ascii="Times New Roman" w:eastAsia="Times New Roman" w:hAnsi="Times New Roman" w:cs="Times New Roman"/>
          <w:sz w:val="24"/>
          <w:szCs w:val="24"/>
        </w:rPr>
        <w:t>45days)</w:t>
      </w:r>
      <w:r>
        <w:rPr>
          <w:rFonts w:ascii="Times New Roman" w:eastAsia="Times New Roman" w:hAnsi="Times New Roman" w:cs="Times New Roman"/>
        </w:rPr>
        <w:t>. However, canopy cover (CC), crop dry weight (C</w:t>
      </w:r>
      <w:r>
        <w:rPr>
          <w:rFonts w:ascii="Times New Roman" w:eastAsia="Times New Roman" w:hAnsi="Times New Roman" w:cs="Times New Roman"/>
        </w:rPr>
        <w:t>DW), relative growth rate (RGR), leaf area index (LAI), net assimilation rate (NAR), leaf area ratio (LAR), leaf weight ratio (LWR) and specific leaf area (SLA) of cucumber plant were not significantly (p≥0.05) affected by Foliar Plus. ln general, 120mlFP/</w:t>
      </w:r>
      <w:r>
        <w:rPr>
          <w:rFonts w:ascii="Times New Roman" w:eastAsia="Times New Roman" w:hAnsi="Times New Roman" w:cs="Times New Roman"/>
        </w:rPr>
        <w:t>15Lwater performed better than other higher treatment levels (doses) in almost all the parameters monitored, whereas 160mlFP/15Lwater unexpectedly performed poorly. Hence, 120ml of Foliar Plus per 15L of water has been recommended as a more suitable dose f</w:t>
      </w:r>
      <w:r>
        <w:rPr>
          <w:rFonts w:ascii="Times New Roman" w:eastAsia="Times New Roman" w:hAnsi="Times New Roman" w:cs="Times New Roman"/>
        </w:rPr>
        <w:t>or cucumber cultivation in Owerri than other doses of the treatment used in the research.</w:t>
      </w:r>
    </w:p>
    <w:p w14:paraId="78DCE005" w14:textId="77777777" w:rsidR="0091698C" w:rsidRDefault="005704CE">
      <w:pPr>
        <w:spacing w:before="240" w:line="360" w:lineRule="auto"/>
        <w:rPr>
          <w:rFonts w:ascii="Times New Roman" w:eastAsia="Times New Roman" w:hAnsi="Times New Roman" w:cs="Times New Roman"/>
        </w:rPr>
      </w:pPr>
      <w:r>
        <w:rPr>
          <w:rFonts w:ascii="Times New Roman" w:eastAsia="Times New Roman" w:hAnsi="Times New Roman" w:cs="Times New Roman"/>
        </w:rPr>
        <w:t>KEY WORDS: Liquid organic foliar fertilizer, Cucumber, Foliar Plus, Physiology, Growth, foliar spray</w:t>
      </w:r>
    </w:p>
    <w:p w14:paraId="4C8B16A7" w14:textId="77777777" w:rsidR="0091698C" w:rsidRDefault="0091698C">
      <w:pPr>
        <w:spacing w:line="360" w:lineRule="auto"/>
        <w:jc w:val="center"/>
        <w:rPr>
          <w:rFonts w:ascii="Times New Roman" w:eastAsia="Times New Roman" w:hAnsi="Times New Roman" w:cs="Times New Roman"/>
          <w:b/>
          <w:sz w:val="24"/>
          <w:szCs w:val="24"/>
        </w:rPr>
      </w:pPr>
    </w:p>
    <w:p w14:paraId="0EF0E1CF" w14:textId="21081C06" w:rsidR="0091698C" w:rsidRDefault="0091698C">
      <w:pPr>
        <w:spacing w:line="360" w:lineRule="auto"/>
        <w:jc w:val="center"/>
        <w:rPr>
          <w:rFonts w:ascii="Times New Roman" w:eastAsia="Times New Roman" w:hAnsi="Times New Roman" w:cs="Times New Roman"/>
          <w:b/>
          <w:sz w:val="24"/>
          <w:szCs w:val="24"/>
        </w:rPr>
      </w:pPr>
    </w:p>
    <w:p w14:paraId="4F27DA56" w14:textId="46EFEC02" w:rsidR="009E2702" w:rsidRDefault="009E2702">
      <w:pPr>
        <w:spacing w:line="360" w:lineRule="auto"/>
        <w:jc w:val="center"/>
        <w:rPr>
          <w:rFonts w:ascii="Times New Roman" w:eastAsia="Times New Roman" w:hAnsi="Times New Roman" w:cs="Times New Roman"/>
          <w:b/>
          <w:sz w:val="24"/>
          <w:szCs w:val="24"/>
        </w:rPr>
      </w:pPr>
    </w:p>
    <w:p w14:paraId="7D3DEF9A" w14:textId="77777777" w:rsidR="009E2702" w:rsidRDefault="009E2702">
      <w:pPr>
        <w:spacing w:line="360" w:lineRule="auto"/>
        <w:jc w:val="center"/>
        <w:rPr>
          <w:rFonts w:ascii="Times New Roman" w:eastAsia="Times New Roman" w:hAnsi="Times New Roman" w:cs="Times New Roman"/>
          <w:b/>
          <w:sz w:val="24"/>
          <w:szCs w:val="24"/>
        </w:rPr>
      </w:pPr>
    </w:p>
    <w:p w14:paraId="4A136D35" w14:textId="77777777" w:rsidR="0091698C" w:rsidRDefault="0091698C">
      <w:pPr>
        <w:spacing w:line="360" w:lineRule="auto"/>
        <w:jc w:val="center"/>
        <w:rPr>
          <w:rFonts w:ascii="Times New Roman" w:eastAsia="Times New Roman" w:hAnsi="Times New Roman" w:cs="Times New Roman"/>
          <w:b/>
          <w:sz w:val="24"/>
          <w:szCs w:val="24"/>
        </w:rPr>
      </w:pPr>
    </w:p>
    <w:p w14:paraId="66516E22" w14:textId="77777777" w:rsidR="0091698C" w:rsidRDefault="005704C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5CFAED0F"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w:t>
      </w:r>
      <w:r>
        <w:rPr>
          <w:rFonts w:ascii="Times New Roman" w:eastAsia="Times New Roman" w:hAnsi="Times New Roman" w:cs="Times New Roman"/>
          <w:i/>
          <w:sz w:val="28"/>
          <w:szCs w:val="28"/>
        </w:rPr>
        <w:t>Cucumis santivus L.</w:t>
      </w:r>
      <w:r>
        <w:rPr>
          <w:rFonts w:ascii="Times New Roman" w:eastAsia="Times New Roman" w:hAnsi="Times New Roman" w:cs="Times New Roman"/>
          <w:sz w:val="28"/>
          <w:szCs w:val="28"/>
        </w:rPr>
        <w:t>) is an important profitable vegetable crop which belongs to the family cucurbitacea (El-Wanis, 2012), and it is one of the three most economically important cucurbits after watermelon and melon (FAO, 2006). It is also ranked fourth among vegetable crops a</w:t>
      </w:r>
      <w:r>
        <w:rPr>
          <w:rFonts w:ascii="Times New Roman" w:eastAsia="Times New Roman" w:hAnsi="Times New Roman" w:cs="Times New Roman"/>
          <w:sz w:val="28"/>
          <w:szCs w:val="28"/>
        </w:rPr>
        <w:t>fter tomato, cabbage and onion in Asia (Eifediyi and Remison, 2010). Cucumber is believed to be perhaps the most established vegetable developed or cultivated by man with verifiable records going back 5,000 years (Wehner and Guner, 2004). It contains a wid</w:t>
      </w:r>
      <w:r>
        <w:rPr>
          <w:rFonts w:ascii="Times New Roman" w:eastAsia="Times New Roman" w:hAnsi="Times New Roman" w:cs="Times New Roman"/>
          <w:sz w:val="28"/>
          <w:szCs w:val="28"/>
        </w:rPr>
        <w:t xml:space="preserve">e variety of minerals and biologically active compounds such as steroids, flavonoids, tarlins, phlobotanins and steroids, imparting health benefits beyond basic nutrition and reducing risk of many deadly human diseases (Patil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2012). In spite of the</w:t>
      </w:r>
      <w:r>
        <w:rPr>
          <w:rFonts w:ascii="Times New Roman" w:eastAsia="Times New Roman" w:hAnsi="Times New Roman" w:cs="Times New Roman"/>
          <w:sz w:val="28"/>
          <w:szCs w:val="28"/>
        </w:rPr>
        <w:t xml:space="preserve">se good attributes and usefulness, lack of information on some important cultural practice by peasant farmers has led to low yield in the production of cucumber fruit (Ekwu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2007).</w:t>
      </w:r>
    </w:p>
    <w:p w14:paraId="21654912"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Soil nutrient management has been a major component of cultural prac</w:t>
      </w:r>
      <w:r>
        <w:rPr>
          <w:rFonts w:ascii="Times New Roman" w:eastAsia="Times New Roman" w:hAnsi="Times New Roman" w:cs="Times New Roman"/>
          <w:sz w:val="28"/>
          <w:szCs w:val="28"/>
        </w:rPr>
        <w:t>tices improvement for most crops, and since most arable lands of Southeast of Nigeria are under frequent cultivation, supplemental fertilizer application is necessary. Actually, chemical fertilizers are applied to poor soils to improve their nutrient capac</w:t>
      </w:r>
      <w:r>
        <w:rPr>
          <w:rFonts w:ascii="Times New Roman" w:eastAsia="Times New Roman" w:hAnsi="Times New Roman" w:cs="Times New Roman"/>
          <w:sz w:val="28"/>
          <w:szCs w:val="28"/>
        </w:rPr>
        <w:t>ity and increase production, but due to frequent and inappropriate application systems, soil degradation occurs in cultivated areas (Niu</w:t>
      </w:r>
      <w:r>
        <w:rPr>
          <w:rFonts w:ascii="Times New Roman" w:eastAsia="Times New Roman" w:hAnsi="Times New Roman" w:cs="Times New Roman"/>
          <w:i/>
          <w:sz w:val="28"/>
          <w:szCs w:val="28"/>
        </w:rPr>
        <w:t xml:space="preserve"> et al</w:t>
      </w:r>
      <w:r>
        <w:rPr>
          <w:rFonts w:ascii="Times New Roman" w:eastAsia="Times New Roman" w:hAnsi="Times New Roman" w:cs="Times New Roman"/>
          <w:sz w:val="28"/>
          <w:szCs w:val="28"/>
        </w:rPr>
        <w:t>., 2021). Again, it has been reported that some organic solid fertilizers like cow dung, poultry wastes and compos</w:t>
      </w:r>
      <w:r>
        <w:rPr>
          <w:rFonts w:ascii="Times New Roman" w:eastAsia="Times New Roman" w:hAnsi="Times New Roman" w:cs="Times New Roman"/>
          <w:sz w:val="28"/>
          <w:szCs w:val="28"/>
        </w:rPr>
        <w:t xml:space="preserve">t are potential safe areas for pathogenic organisms (Heinoneu-Tanski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2006), in addition to heavy metal contaminants in agricultural soil. Hence, the benefits are much less than the problems/troubles as these microbes can cause diseases to plants and</w:t>
      </w:r>
      <w:r>
        <w:rPr>
          <w:rFonts w:ascii="Times New Roman" w:eastAsia="Times New Roman" w:hAnsi="Times New Roman" w:cs="Times New Roman"/>
          <w:sz w:val="28"/>
          <w:szCs w:val="28"/>
        </w:rPr>
        <w:t xml:space="preserve"> animals (Moreno-Caselles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2002).</w:t>
      </w:r>
    </w:p>
    <w:p w14:paraId="45B0EB3D"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Thus, there is a need for alternative means of enhancing plant nutrient requirements which is readily absorbed by plants, ecologically friendly and has no harmful effect on the soil. Interestingly, foliar applicatio</w:t>
      </w:r>
      <w:r>
        <w:rPr>
          <w:rFonts w:ascii="Times New Roman" w:eastAsia="Times New Roman" w:hAnsi="Times New Roman" w:cs="Times New Roman"/>
          <w:sz w:val="28"/>
          <w:szCs w:val="28"/>
        </w:rPr>
        <w:t>n is another method of organic fertilizer application employed in correcting soil nutrient deficiencies when growing plants are unable to absorb them directly from the soil (Liang and Silverbush, 2002). Foliar applied fertilizer gives speedier reaction and</w:t>
      </w:r>
      <w:r>
        <w:rPr>
          <w:rFonts w:ascii="Times New Roman" w:eastAsia="Times New Roman" w:hAnsi="Times New Roman" w:cs="Times New Roman"/>
          <w:sz w:val="28"/>
          <w:szCs w:val="28"/>
        </w:rPr>
        <w:t xml:space="preserve"> are more powerful for certain supplements than soil or ground applied fertilizer (Jamal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2006). Again, soil applied fertilizers are prone to leaching, fixation or volatilization (Mudita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2014). Meanwhile, foliar feeding has been used </w:t>
      </w:r>
      <w:r>
        <w:rPr>
          <w:rFonts w:ascii="Times New Roman" w:eastAsia="Times New Roman" w:hAnsi="Times New Roman" w:cs="Times New Roman"/>
          <w:sz w:val="28"/>
          <w:szCs w:val="28"/>
        </w:rPr>
        <w:lastRenderedPageBreak/>
        <w:t>as a me</w:t>
      </w:r>
      <w:r>
        <w:rPr>
          <w:rFonts w:ascii="Times New Roman" w:eastAsia="Times New Roman" w:hAnsi="Times New Roman" w:cs="Times New Roman"/>
          <w:sz w:val="28"/>
          <w:szCs w:val="28"/>
        </w:rPr>
        <w:t>ans of supplying supplemental doses of minor and major nutrients, plant hormones, stimulants and other beneficial substances (Kuepper, 2003) in which Foliar Plus is one of the foliar fertilizers.</w:t>
      </w:r>
    </w:p>
    <w:p w14:paraId="2F3D69BD"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Foliar Plus is a liquid organic foliar fertilizer of premium</w:t>
      </w:r>
      <w:r>
        <w:rPr>
          <w:rFonts w:ascii="Times New Roman" w:eastAsia="Times New Roman" w:hAnsi="Times New Roman" w:cs="Times New Roman"/>
          <w:sz w:val="28"/>
          <w:szCs w:val="28"/>
        </w:rPr>
        <w:t xml:space="preserve"> seaweed extract reinforced with essential micronutrient and macronutrients for plants. Seaweed extract is widely used as an organic product and is a growth promoter, containing organic acid and amino acid, hormones, vitamins, minerals and others (Sangha </w:t>
      </w:r>
      <w:r>
        <w:rPr>
          <w:rFonts w:ascii="Times New Roman" w:eastAsia="Times New Roman" w:hAnsi="Times New Roman" w:cs="Times New Roman"/>
          <w:i/>
          <w:sz w:val="28"/>
          <w:szCs w:val="28"/>
        </w:rPr>
        <w:t>e</w:t>
      </w:r>
      <w:r>
        <w:rPr>
          <w:rFonts w:ascii="Times New Roman" w:eastAsia="Times New Roman" w:hAnsi="Times New Roman" w:cs="Times New Roman"/>
          <w:i/>
          <w:sz w:val="28"/>
          <w:szCs w:val="28"/>
        </w:rPr>
        <w:t xml:space="preserve">t al., </w:t>
      </w:r>
      <w:r>
        <w:rPr>
          <w:rFonts w:ascii="Times New Roman" w:eastAsia="Times New Roman" w:hAnsi="Times New Roman" w:cs="Times New Roman"/>
          <w:sz w:val="28"/>
          <w:szCs w:val="28"/>
        </w:rPr>
        <w:t xml:space="preserve">2014). It improves vegetative growth and unlike chemical fertilizer, it is also environmentally friendly and does not cause environmental damage (Kuepper, 2003). Foliar feeding of nutrients is also a way of rapid correction of nutrient deficiencies </w:t>
      </w:r>
      <w:r>
        <w:rPr>
          <w:rFonts w:ascii="Times New Roman" w:eastAsia="Times New Roman" w:hAnsi="Times New Roman" w:cs="Times New Roman"/>
          <w:sz w:val="28"/>
          <w:szCs w:val="28"/>
        </w:rPr>
        <w:t xml:space="preserve">and physiological disorders of crop plants (Kerin and Berova, 2003). It is economically viable in terms of vegetable production (Jaskulski, 2007), offering an effective means of reducing soil and ground water pollution (Fageria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2009).</w:t>
      </w:r>
    </w:p>
    <w:p w14:paraId="620E44AF"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Physiological</w:t>
      </w:r>
      <w:r>
        <w:rPr>
          <w:rFonts w:ascii="Times New Roman" w:eastAsia="Times New Roman" w:hAnsi="Times New Roman" w:cs="Times New Roman"/>
          <w:sz w:val="28"/>
          <w:szCs w:val="28"/>
        </w:rPr>
        <w:t xml:space="preserve"> processes in plant including germination, growth and fruiting of crops are influenced by environmental factors, most importantly soil. On this premise, Gibberelic acid and potassium foliar sprays on the productive physiological and biochemical parameters </w:t>
      </w:r>
      <w:r>
        <w:rPr>
          <w:rFonts w:ascii="Times New Roman" w:eastAsia="Times New Roman" w:hAnsi="Times New Roman" w:cs="Times New Roman"/>
          <w:sz w:val="28"/>
          <w:szCs w:val="28"/>
        </w:rPr>
        <w:t xml:space="preserve">of parthenocarpic cucumber showed that the minimum number of days to fruit initiation, fruit maturation and harvest was recorded in plants (cucumber) sprayed with Gebberelic and Potassium whereas the maximum values was recorded from the control </w:t>
      </w:r>
      <w:r>
        <w:rPr>
          <w:rFonts w:ascii="Times New Roman" w:eastAsia="Times New Roman" w:hAnsi="Times New Roman" w:cs="Times New Roman"/>
          <w:color w:val="FF0000"/>
          <w:sz w:val="28"/>
          <w:szCs w:val="28"/>
        </w:rPr>
        <w:t xml:space="preserve">(Pal  </w:t>
      </w:r>
      <w:r>
        <w:rPr>
          <w:rFonts w:ascii="Times New Roman" w:eastAsia="Times New Roman" w:hAnsi="Times New Roman" w:cs="Times New Roman"/>
          <w:i/>
          <w:color w:val="FF0000"/>
          <w:sz w:val="28"/>
          <w:szCs w:val="28"/>
        </w:rPr>
        <w:t xml:space="preserve">et </w:t>
      </w:r>
      <w:r>
        <w:rPr>
          <w:rFonts w:ascii="Times New Roman" w:eastAsia="Times New Roman" w:hAnsi="Times New Roman" w:cs="Times New Roman"/>
          <w:i/>
          <w:color w:val="FF0000"/>
          <w:sz w:val="28"/>
          <w:szCs w:val="28"/>
        </w:rPr>
        <w:t>al.</w:t>
      </w:r>
      <w:r>
        <w:rPr>
          <w:rFonts w:ascii="Times New Roman" w:eastAsia="Times New Roman" w:hAnsi="Times New Roman" w:cs="Times New Roman"/>
          <w:color w:val="FF0000"/>
          <w:sz w:val="28"/>
          <w:szCs w:val="28"/>
        </w:rPr>
        <w:t>, 2016)</w:t>
      </w:r>
      <w:r>
        <w:rPr>
          <w:rFonts w:ascii="Times New Roman" w:eastAsia="Times New Roman" w:hAnsi="Times New Roman" w:cs="Times New Roman"/>
          <w:sz w:val="28"/>
          <w:szCs w:val="28"/>
        </w:rPr>
        <w:t xml:space="preserve">. Also, Mahnoodi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observed that foliar application of Gebberelic and Potassium organic liquid fertilizer significantly affected rice (</w:t>
      </w:r>
      <w:r>
        <w:rPr>
          <w:rFonts w:ascii="Times New Roman" w:eastAsia="Times New Roman" w:hAnsi="Times New Roman" w:cs="Times New Roman"/>
          <w:i/>
          <w:sz w:val="28"/>
          <w:szCs w:val="28"/>
        </w:rPr>
        <w:t>Oryza sativa L)</w:t>
      </w:r>
      <w:r>
        <w:rPr>
          <w:rFonts w:ascii="Times New Roman" w:eastAsia="Times New Roman" w:hAnsi="Times New Roman" w:cs="Times New Roman"/>
          <w:sz w:val="28"/>
          <w:szCs w:val="28"/>
        </w:rPr>
        <w:t xml:space="preserve"> physiological traits including leaf area index, growth rate, and total dry-weight o</w:t>
      </w:r>
      <w:r>
        <w:rPr>
          <w:rFonts w:ascii="Times New Roman" w:eastAsia="Times New Roman" w:hAnsi="Times New Roman" w:cs="Times New Roman"/>
          <w:sz w:val="28"/>
          <w:szCs w:val="28"/>
        </w:rPr>
        <w:t>f rice plant.</w:t>
      </w:r>
    </w:p>
    <w:p w14:paraId="586DE349"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Cultivated soils with nutrient deficiency are usually managed through supplemental nutrient application for optimum performance of crops. Meanwhile, due to alarming increase in population, more land are required for crop production while cont</w:t>
      </w:r>
      <w:r>
        <w:rPr>
          <w:rFonts w:ascii="Times New Roman" w:eastAsia="Times New Roman" w:hAnsi="Times New Roman" w:cs="Times New Roman"/>
          <w:sz w:val="28"/>
          <w:szCs w:val="28"/>
        </w:rPr>
        <w:t>inuous use of such soil has resulted in loss of nutrient, which has consequently resulted in poor growth and yield. Furthermore, as a result of soil chemical fertilizer application, degraded and salt affected soils are gradually appearing more often in cul</w:t>
      </w:r>
      <w:r>
        <w:rPr>
          <w:rFonts w:ascii="Times New Roman" w:eastAsia="Times New Roman" w:hAnsi="Times New Roman" w:cs="Times New Roman"/>
          <w:sz w:val="28"/>
          <w:szCs w:val="28"/>
        </w:rPr>
        <w:t xml:space="preserve">tivated areas of South-Eastern region of Nigeria. </w:t>
      </w:r>
    </w:p>
    <w:p w14:paraId="0AB54F13"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Presently, in Owerri, South Eastern Nigeria, the use of some foliar fertilizers like Foliar Plus is fast gaining acceptance as fertilizers in growing crop vegetables such as cucumber, pepper etc. However, </w:t>
      </w:r>
      <w:r>
        <w:rPr>
          <w:rFonts w:ascii="Times New Roman" w:eastAsia="Times New Roman" w:hAnsi="Times New Roman" w:cs="Times New Roman"/>
          <w:sz w:val="28"/>
          <w:szCs w:val="28"/>
        </w:rPr>
        <w:t xml:space="preserve">huge knowledge deficit still exists in terms of the actual impact of these organic liquid fertilizers on the physiological growth and yield output of such useful crops. Specifically therefore, it has become necessary to carry out investigation with Foliar </w:t>
      </w:r>
      <w:r>
        <w:rPr>
          <w:rFonts w:ascii="Times New Roman" w:eastAsia="Times New Roman" w:hAnsi="Times New Roman" w:cs="Times New Roman"/>
          <w:sz w:val="28"/>
          <w:szCs w:val="28"/>
        </w:rPr>
        <w:t>Plus to ascertain its actual impact on certain vegetables. This stirred up the need to embark on this present work, whose broad objective is to evaluate the impact of Foliar Plus on the physiological growth of cucumber (</w:t>
      </w:r>
      <w:r>
        <w:rPr>
          <w:rFonts w:ascii="Times New Roman" w:eastAsia="Times New Roman" w:hAnsi="Times New Roman" w:cs="Times New Roman"/>
          <w:i/>
          <w:sz w:val="28"/>
          <w:szCs w:val="28"/>
        </w:rPr>
        <w:t>Cucumis santivus L.</w:t>
      </w:r>
      <w:r>
        <w:rPr>
          <w:rFonts w:ascii="Times New Roman" w:eastAsia="Times New Roman" w:hAnsi="Times New Roman" w:cs="Times New Roman"/>
          <w:sz w:val="28"/>
          <w:szCs w:val="28"/>
        </w:rPr>
        <w:t>) in Owerri.</w:t>
      </w:r>
    </w:p>
    <w:p w14:paraId="68A7406D" w14:textId="77777777" w:rsidR="0091698C" w:rsidRDefault="0091698C">
      <w:pPr>
        <w:spacing w:line="360" w:lineRule="auto"/>
        <w:jc w:val="center"/>
        <w:rPr>
          <w:rFonts w:ascii="Times New Roman" w:eastAsia="Times New Roman" w:hAnsi="Times New Roman" w:cs="Times New Roman"/>
          <w:b/>
          <w:sz w:val="28"/>
          <w:szCs w:val="28"/>
        </w:rPr>
      </w:pPr>
    </w:p>
    <w:p w14:paraId="735F7C19" w14:textId="77777777" w:rsidR="0091698C" w:rsidRDefault="005704C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128B781" w14:textId="77777777" w:rsidR="0091698C" w:rsidRDefault="005704C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ATERIALS AND METHOD</w:t>
      </w:r>
    </w:p>
    <w:p w14:paraId="0214A36A"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Location</w:t>
      </w:r>
    </w:p>
    <w:p w14:paraId="6CCDBAEC"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experiment was conducted at Teaching and Research Farm of Imo state University, Owerri in the early cropping Season of (April) 2022. Owerri which is located on the tropical rainforest zone of south Eastern Nigeria, lies bet</w:t>
      </w:r>
      <w:r>
        <w:rPr>
          <w:rFonts w:ascii="Times New Roman" w:eastAsia="Times New Roman" w:hAnsi="Times New Roman" w:cs="Times New Roman"/>
          <w:sz w:val="28"/>
          <w:szCs w:val="28"/>
        </w:rPr>
        <w:t>ween Latitude 5</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18</w:t>
      </w:r>
      <w:r>
        <w:rPr>
          <w:rFonts w:ascii="Times New Roman" w:eastAsia="Times New Roman" w:hAnsi="Times New Roman" w:cs="Times New Roman"/>
          <w:i/>
          <w:sz w:val="28"/>
          <w:szCs w:val="28"/>
          <w:vertAlign w:val="superscript"/>
        </w:rPr>
        <w:t>I</w:t>
      </w:r>
      <w:r>
        <w:rPr>
          <w:rFonts w:ascii="Times New Roman" w:eastAsia="Times New Roman" w:hAnsi="Times New Roman" w:cs="Times New Roman"/>
          <w:sz w:val="28"/>
          <w:szCs w:val="28"/>
        </w:rPr>
        <w:t xml:space="preserve"> 15</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N and 5</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34</w:t>
      </w:r>
      <w:r>
        <w:rPr>
          <w:rFonts w:ascii="Times New Roman" w:eastAsia="Times New Roman" w:hAnsi="Times New Roman" w:cs="Times New Roman"/>
          <w:i/>
          <w:sz w:val="28"/>
          <w:szCs w:val="28"/>
          <w:vertAlign w:val="superscript"/>
        </w:rPr>
        <w:t>I</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45</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N, and Logitude 6</w:t>
      </w:r>
      <w:r>
        <w:rPr>
          <w:rFonts w:ascii="Times New Roman" w:eastAsia="Times New Roman" w:hAnsi="Times New Roman" w:cs="Times New Roman"/>
          <w:sz w:val="28"/>
          <w:szCs w:val="28"/>
          <w:vertAlign w:val="superscript"/>
        </w:rPr>
        <w:t xml:space="preserve">0 </w:t>
      </w:r>
      <w:r>
        <w:rPr>
          <w:rFonts w:ascii="Times New Roman" w:eastAsia="Times New Roman" w:hAnsi="Times New Roman" w:cs="Times New Roman"/>
          <w:sz w:val="28"/>
          <w:szCs w:val="28"/>
        </w:rPr>
        <w:t>56</w:t>
      </w:r>
      <w:r>
        <w:rPr>
          <w:rFonts w:ascii="Times New Roman" w:eastAsia="Times New Roman" w:hAnsi="Times New Roman" w:cs="Times New Roman"/>
          <w:sz w:val="28"/>
          <w:szCs w:val="28"/>
          <w:vertAlign w:val="superscript"/>
        </w:rPr>
        <w:t xml:space="preserve">I </w:t>
      </w:r>
      <w:r>
        <w:rPr>
          <w:rFonts w:ascii="Times New Roman" w:eastAsia="Times New Roman" w:hAnsi="Times New Roman" w:cs="Times New Roman"/>
          <w:sz w:val="28"/>
          <w:szCs w:val="28"/>
        </w:rPr>
        <w:t>45</w:t>
      </w:r>
      <w:r>
        <w:rPr>
          <w:rFonts w:ascii="Times New Roman" w:eastAsia="Times New Roman" w:hAnsi="Times New Roman" w:cs="Times New Roman"/>
          <w:sz w:val="28"/>
          <w:szCs w:val="28"/>
          <w:vertAlign w:val="superscript"/>
        </w:rPr>
        <w:t>II</w:t>
      </w:r>
      <w:r>
        <w:rPr>
          <w:rFonts w:ascii="Times New Roman" w:eastAsia="Times New Roman" w:hAnsi="Times New Roman" w:cs="Times New Roman"/>
          <w:sz w:val="28"/>
          <w:szCs w:val="28"/>
        </w:rPr>
        <w:t>E and7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5</w:t>
      </w:r>
      <w:r>
        <w:rPr>
          <w:rFonts w:ascii="Times New Roman" w:eastAsia="Times New Roman" w:hAnsi="Times New Roman" w:cs="Times New Roman"/>
          <w:i/>
          <w:sz w:val="28"/>
          <w:szCs w:val="28"/>
          <w:vertAlign w:val="superscript"/>
        </w:rPr>
        <w:t xml:space="preserve">I </w:t>
      </w:r>
      <w:r>
        <w:rPr>
          <w:rFonts w:ascii="Times New Roman" w:eastAsia="Times New Roman" w:hAnsi="Times New Roman" w:cs="Times New Roman"/>
          <w:sz w:val="28"/>
          <w:szCs w:val="28"/>
        </w:rPr>
        <w:t>0</w:t>
      </w:r>
      <w:r>
        <w:rPr>
          <w:rFonts w:ascii="Times New Roman" w:eastAsia="Times New Roman" w:hAnsi="Times New Roman" w:cs="Times New Roman"/>
          <w:i/>
          <w:sz w:val="28"/>
          <w:szCs w:val="28"/>
          <w:vertAlign w:val="superscript"/>
        </w:rPr>
        <w:t>II</w:t>
      </w:r>
      <w:r>
        <w:rPr>
          <w:rFonts w:ascii="Times New Roman" w:eastAsia="Times New Roman" w:hAnsi="Times New Roman" w:cs="Times New Roman"/>
          <w:sz w:val="28"/>
          <w:szCs w:val="28"/>
        </w:rPr>
        <w:t>E. Owerri has a fairly flat topography with average annual rainfall of 2500mm. Again, the climatic data show that the relative humidity and temperature are 75% and 27</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C respectively (NIMET, 2008). Altitude of Owerri is 91.1m above sea level. </w:t>
      </w:r>
    </w:p>
    <w:p w14:paraId="2B88F064"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 Preparation/ Experimental Design</w:t>
      </w:r>
    </w:p>
    <w:p w14:paraId="3F7AF216"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land was conventionally cleared and tilled manually with Cutlass, hoe and spade. The experimental design was Randomize Complete Block Desi</w:t>
      </w:r>
      <w:r>
        <w:rPr>
          <w:rFonts w:ascii="Times New Roman" w:eastAsia="Times New Roman" w:hAnsi="Times New Roman" w:cs="Times New Roman"/>
          <w:sz w:val="28"/>
          <w:szCs w:val="28"/>
        </w:rPr>
        <w:t>gn (RCBD) with 3 replications. Each replicate, separated from one another by 1m, contained 4 plots (or beds) for the respective treatments, giving a total number of 12plots. The total area of the land was 8m ×9.5m (76m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whereas the area of each plot was 2</w:t>
      </w:r>
      <w:r>
        <w:rPr>
          <w:rFonts w:ascii="Times New Roman" w:eastAsia="Times New Roman" w:hAnsi="Times New Roman" w:cs="Times New Roman"/>
          <w:sz w:val="28"/>
          <w:szCs w:val="28"/>
        </w:rPr>
        <w:t>m x 2m (4m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and separated from one another by 0.5m. The </w:t>
      </w:r>
      <w:r>
        <w:rPr>
          <w:rFonts w:ascii="Times New Roman" w:eastAsia="Times New Roman" w:hAnsi="Times New Roman" w:cs="Times New Roman"/>
          <w:sz w:val="28"/>
          <w:szCs w:val="28"/>
        </w:rPr>
        <w:lastRenderedPageBreak/>
        <w:t>seeds of cucumber were planted in each plot, and the treatment applied in a randomized fashion. The field layout was mapped out with the use of measuring tape, line and pegs.</w:t>
      </w:r>
    </w:p>
    <w:p w14:paraId="6AA613F3"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Soil Analysis</w:t>
      </w:r>
    </w:p>
    <w:p w14:paraId="005848F1"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Soil sampl</w:t>
      </w:r>
      <w:r>
        <w:rPr>
          <w:rFonts w:ascii="Times New Roman" w:eastAsia="Times New Roman" w:hAnsi="Times New Roman" w:cs="Times New Roman"/>
          <w:sz w:val="28"/>
          <w:szCs w:val="28"/>
        </w:rPr>
        <w:t>es were collected from the experimental site (from 0 - 15cm soil depth) before planting. The soil sample was air dried at room temperature, passed through 2mm sieve and kept in black polythenes. The collected soil was analyzed for physico-chemical properti</w:t>
      </w:r>
      <w:r>
        <w:rPr>
          <w:rFonts w:ascii="Times New Roman" w:eastAsia="Times New Roman" w:hAnsi="Times New Roman" w:cs="Times New Roman"/>
          <w:sz w:val="28"/>
          <w:szCs w:val="28"/>
        </w:rPr>
        <w:t xml:space="preserve">es. </w:t>
      </w:r>
    </w:p>
    <w:p w14:paraId="55F2FC19"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Experimental Materials and Treatment:</w:t>
      </w:r>
    </w:p>
    <w:p w14:paraId="65BE2DE9"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Seeds of cucumber were collected from Imo Agricultural Development Programme (Imo ADP).</w:t>
      </w:r>
    </w:p>
    <w:p w14:paraId="4BF44246"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Foliar Plus (complete) was bought from the licensed distributors.</w:t>
      </w:r>
    </w:p>
    <w:p w14:paraId="749F5038"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Treatment Application </w:t>
      </w:r>
    </w:p>
    <w:p w14:paraId="1ED5578D"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Foliar Plus were applied on the foli</w:t>
      </w:r>
      <w:r>
        <w:rPr>
          <w:rFonts w:ascii="Times New Roman" w:eastAsia="Times New Roman" w:hAnsi="Times New Roman" w:cs="Times New Roman"/>
          <w:sz w:val="28"/>
          <w:szCs w:val="28"/>
        </w:rPr>
        <w:t>age of the plant (that is on the leaves and stems) 1week after sowing, at 1-week interval and monitored until fruits are formed. Different treatment levels of Foliar Plus applied are as follows:</w:t>
      </w:r>
    </w:p>
    <w:p w14:paraId="798C8294" w14:textId="77777777" w:rsidR="0091698C" w:rsidRDefault="005704CE">
      <w:pPr>
        <w:pStyle w:val="ListParagraph"/>
        <w:numPr>
          <w:ilvl w:val="0"/>
          <w:numId w:val="3"/>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0ml Foliar Plus/15 litres of water (0mlFP/15LWater) (Control)</w:t>
      </w:r>
    </w:p>
    <w:p w14:paraId="1E7A571D" w14:textId="77777777" w:rsidR="0091698C" w:rsidRDefault="005704CE">
      <w:pPr>
        <w:pStyle w:val="ListParagraph"/>
        <w:numPr>
          <w:ilvl w:val="0"/>
          <w:numId w:val="3"/>
        </w:numPr>
        <w:spacing w:after="0" w:line="360" w:lineRule="auto"/>
        <w:rPr>
          <w:rFonts w:ascii="Times New Roman" w:hAnsi="Times New Roman" w:cs="Times New Roman"/>
          <w:sz w:val="26"/>
          <w:szCs w:val="26"/>
        </w:rPr>
      </w:pPr>
      <w:r>
        <w:rPr>
          <w:rFonts w:ascii="Times New Roman" w:eastAsia="Times New Roman" w:hAnsi="Times New Roman" w:cs="Times New Roman"/>
          <w:sz w:val="26"/>
          <w:szCs w:val="26"/>
        </w:rPr>
        <w:t>120ml Foliar Plus/15 litres of water (120mlFP/15LWater)</w:t>
      </w:r>
    </w:p>
    <w:p w14:paraId="566CA403" w14:textId="77777777" w:rsidR="0091698C" w:rsidRDefault="005704CE">
      <w:pPr>
        <w:pStyle w:val="ListParagraph"/>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140ml Foliar Plus/15 liters of water (140mlFP/15LWater)</w:t>
      </w:r>
    </w:p>
    <w:p w14:paraId="20DCF4F0" w14:textId="77777777" w:rsidR="0091698C" w:rsidRDefault="005704CE">
      <w:pPr>
        <w:pStyle w:val="ListParagraph"/>
        <w:numPr>
          <w:ilvl w:val="0"/>
          <w:numId w:val="3"/>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 Foliar Plus/15 litres of water (160mlFP/15LWater)</w:t>
      </w:r>
    </w:p>
    <w:p w14:paraId="57AD599A" w14:textId="77777777" w:rsidR="0091698C" w:rsidRDefault="0091698C">
      <w:pPr>
        <w:spacing w:after="0" w:line="360" w:lineRule="auto"/>
        <w:rPr>
          <w:rFonts w:ascii="Times New Roman" w:eastAsia="Times New Roman" w:hAnsi="Times New Roman" w:cs="Times New Roman"/>
          <w:sz w:val="26"/>
          <w:szCs w:val="26"/>
        </w:rPr>
      </w:pPr>
    </w:p>
    <w:p w14:paraId="30534E8D"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Sowing and Staking</w:t>
      </w:r>
    </w:p>
    <w:p w14:paraId="06F93664"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Cucumber seeds were planted at a spacing of 50cm × 50cm. Seeds of cucumber were sown per hole at a depth of 2.0cm. Seedlings were later thinned to one, one week after planting, and a number of 16 seedlings were left growing per plot. Four plant stands were</w:t>
      </w:r>
      <w:r>
        <w:rPr>
          <w:rFonts w:ascii="Times New Roman" w:eastAsia="Times New Roman" w:hAnsi="Times New Roman" w:cs="Times New Roman"/>
          <w:sz w:val="28"/>
          <w:szCs w:val="28"/>
        </w:rPr>
        <w:t xml:space="preserve"> tagged for data collection in each plot.</w:t>
      </w:r>
    </w:p>
    <w:p w14:paraId="21A85287"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Staking: Stakes were provided for trailing cultivars after the first week of emergence.</w:t>
      </w:r>
    </w:p>
    <w:p w14:paraId="5172C15C" w14:textId="77777777"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Weeding</w:t>
      </w:r>
    </w:p>
    <w:p w14:paraId="3A70C8BA"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Weeding was done manually by hand with weeding hoe for two times.</w:t>
      </w:r>
    </w:p>
    <w:p w14:paraId="13D16D67"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Data Collection</w:t>
      </w:r>
    </w:p>
    <w:p w14:paraId="645EB61F"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Plant leaf area and plant dry weight</w:t>
      </w:r>
      <w:r>
        <w:rPr>
          <w:rFonts w:ascii="Times New Roman" w:eastAsia="Times New Roman" w:hAnsi="Times New Roman" w:cs="Times New Roman"/>
          <w:sz w:val="28"/>
          <w:szCs w:val="28"/>
        </w:rPr>
        <w:t xml:space="preserve"> formed the bases for primary data collection on growth analysis. Growth analysis of cucumber bordered on the observations or study of growth parameters associated with physiological life time of the plant to its death.</w:t>
      </w:r>
    </w:p>
    <w:p w14:paraId="207DBBD3"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primary data were obtained by </w:t>
      </w:r>
      <w:r>
        <w:rPr>
          <w:rFonts w:ascii="Times New Roman" w:eastAsia="Times New Roman" w:hAnsi="Times New Roman" w:cs="Times New Roman"/>
          <w:sz w:val="28"/>
          <w:szCs w:val="28"/>
        </w:rPr>
        <w:t xml:space="preserve">meticulously uprooting the first two plants from each plot at 4weeks (1st harvest) during vegetative growth, and the process was repeated at 6weeks (2nd harvest) during flowering. The plants were lifted out with ball of earth using shovel. A circumference </w:t>
      </w:r>
      <w:r>
        <w:rPr>
          <w:rFonts w:ascii="Times New Roman" w:eastAsia="Times New Roman" w:hAnsi="Times New Roman" w:cs="Times New Roman"/>
          <w:sz w:val="28"/>
          <w:szCs w:val="28"/>
        </w:rPr>
        <w:t>of 20cm was maintained around the plants with a depth of 30cm for the purpose of total root recovery. Thereafter, the roots were carefully washed to get rid of attached soil by dipping them in a container of water. The harvested plants were then destructiv</w:t>
      </w:r>
      <w:r>
        <w:rPr>
          <w:rFonts w:ascii="Times New Roman" w:eastAsia="Times New Roman" w:hAnsi="Times New Roman" w:cs="Times New Roman"/>
          <w:sz w:val="28"/>
          <w:szCs w:val="28"/>
        </w:rPr>
        <w:t>ely analyzed by separating them into three parts (i.e. leaf, stems and roots). These were then oven-dried at 72</w:t>
      </w:r>
      <w:r>
        <w:rPr>
          <w:rFonts w:ascii="Times New Roman" w:eastAsia="Times New Roman" w:hAnsi="Times New Roman" w:cs="Times New Roman"/>
          <w:b/>
          <w:sz w:val="28"/>
          <w:szCs w:val="28"/>
          <w:vertAlign w:val="superscript"/>
        </w:rPr>
        <w:t>o</w:t>
      </w:r>
      <w:r>
        <w:rPr>
          <w:rFonts w:ascii="Times New Roman" w:eastAsia="Times New Roman" w:hAnsi="Times New Roman" w:cs="Times New Roman"/>
          <w:sz w:val="28"/>
          <w:szCs w:val="28"/>
        </w:rPr>
        <w:t xml:space="preserve"> C for 10hrs to a constant weight and subsequently weighed with an accolab sensitive electronic weighing balance to determine the dry weight of </w:t>
      </w:r>
      <w:r>
        <w:rPr>
          <w:rFonts w:ascii="Times New Roman" w:eastAsia="Times New Roman" w:hAnsi="Times New Roman" w:cs="Times New Roman"/>
          <w:sz w:val="28"/>
          <w:szCs w:val="28"/>
        </w:rPr>
        <w:t>each component part (leaf, root and stem).</w:t>
      </w:r>
    </w:p>
    <w:p w14:paraId="129B4B19"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Actually, data collection commenced 2weeks after sowing and at 2weeks interval. Data were collected on the following physiological growth parameters:</w:t>
      </w:r>
    </w:p>
    <w:p w14:paraId="6A9CAF75" w14:textId="77777777" w:rsidR="0091698C" w:rsidRDefault="0091698C"/>
    <w:p w14:paraId="1804103F" w14:textId="77777777"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Days to 50% flowering: The number of days from planting to the</w:t>
      </w:r>
      <w:r>
        <w:rPr>
          <w:rFonts w:ascii="Times New Roman" w:eastAsia="Times New Roman" w:hAnsi="Times New Roman" w:cs="Times New Roman"/>
          <w:sz w:val="28"/>
          <w:szCs w:val="28"/>
        </w:rPr>
        <w:t xml:space="preserve"> time when 50% of the plants had at least one open flower.</w:t>
      </w:r>
    </w:p>
    <w:p w14:paraId="6EEFF436" w14:textId="77777777"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Days to 50% Maturity: Regarded as the number of days from planting to the time when 50% of plant matured.</w:t>
      </w:r>
    </w:p>
    <w:p w14:paraId="0678A5B8" w14:textId="77777777"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Leaf Dry Weight (kg): This was obtained by drying the leaf in an oven at 75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C for 2 hours a</w:t>
      </w:r>
      <w:r>
        <w:rPr>
          <w:rFonts w:ascii="Times New Roman" w:eastAsia="Times New Roman" w:hAnsi="Times New Roman" w:cs="Times New Roman"/>
          <w:sz w:val="28"/>
          <w:szCs w:val="28"/>
        </w:rPr>
        <w:t xml:space="preserve">nd the weight was obtained using electronic weighing balance. </w:t>
      </w:r>
    </w:p>
    <w:p w14:paraId="5D7A3F1C" w14:textId="77777777" w:rsidR="0091698C" w:rsidRDefault="005704CE">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Leaf Area (LA): </w:t>
      </w:r>
      <w:r>
        <w:rPr>
          <w:rFonts w:ascii="Times New Roman" w:eastAsia="Times New Roman" w:hAnsi="Times New Roman" w:cs="Times New Roman"/>
          <w:sz w:val="28"/>
          <w:szCs w:val="28"/>
        </w:rPr>
        <w:t>The length(L) of the leaf was measured from the lamina tip to the point of intersection of lamina and petiole, and the width(W) was measured tip to tip between the widest lamina</w:t>
      </w:r>
      <w:r>
        <w:rPr>
          <w:rFonts w:ascii="Times New Roman" w:eastAsia="Times New Roman" w:hAnsi="Times New Roman" w:cs="Times New Roman"/>
          <w:sz w:val="28"/>
          <w:szCs w:val="28"/>
        </w:rPr>
        <w:t xml:space="preserve"> lobes (Blanco and Folegetti, 2005). Model used to estimate/predict leaf area of cucumber crop in an open field was:</w:t>
      </w:r>
    </w:p>
    <w:p w14:paraId="35D40903" w14:textId="77777777"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 210.61 + 13.358W + 0.5356LW (Cho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2007)</w:t>
      </w:r>
    </w:p>
    <w:p w14:paraId="226A8AE3" w14:textId="77777777"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Crop Dry Weight: </w:t>
      </w:r>
      <w:r>
        <w:rPr>
          <w:rFonts w:ascii="Times New Roman" w:eastAsia="Times New Roman" w:hAnsi="Times New Roman" w:cs="Times New Roman"/>
          <w:sz w:val="28"/>
          <w:szCs w:val="28"/>
        </w:rPr>
        <w:t xml:space="preserve"> This was obtained by uprooting two plants and drying in an oven, and</w:t>
      </w:r>
      <w:r>
        <w:rPr>
          <w:rFonts w:ascii="Times New Roman" w:eastAsia="Times New Roman" w:hAnsi="Times New Roman" w:cs="Times New Roman"/>
          <w:sz w:val="28"/>
          <w:szCs w:val="28"/>
        </w:rPr>
        <w:t xml:space="preserve"> then a sensitive electronic weighing balance was used to determine the weight in gram (g). This was done twice at 4 weeks and 6weeks after planting.</w:t>
      </w:r>
    </w:p>
    <w:p w14:paraId="6C5EF549" w14:textId="77777777" w:rsidR="0091698C" w:rsidRDefault="005704CE">
      <w:pPr>
        <w:pStyle w:val="ListParagraph"/>
        <w:numPr>
          <w:ilvl w:val="0"/>
          <w:numId w:val="4"/>
        </w:num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Canopy Cover (CC): </w:t>
      </w:r>
      <w:r>
        <w:rPr>
          <w:rFonts w:ascii="Times New Roman" w:eastAsia="Times New Roman" w:hAnsi="Times New Roman" w:cs="Times New Roman"/>
          <w:sz w:val="28"/>
          <w:szCs w:val="28"/>
        </w:rPr>
        <w:t>A distance(r) was measured (with tape rule) on the ground from the base of the plant to</w:t>
      </w:r>
      <w:r>
        <w:rPr>
          <w:rFonts w:ascii="Times New Roman" w:eastAsia="Times New Roman" w:hAnsi="Times New Roman" w:cs="Times New Roman"/>
          <w:sz w:val="28"/>
          <w:szCs w:val="28"/>
        </w:rPr>
        <w:t xml:space="preserve"> the point where the tip of a lateral leaf could be traced vertically to that point on the ground. At this point, a circular line was drawn around the plant within which the area was estimated using the formula below:</w:t>
      </w:r>
    </w:p>
    <w:p w14:paraId="11F4F506" w14:textId="77777777"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Canopy cover = πr</w:t>
      </w:r>
      <w:r>
        <w:rPr>
          <w:rFonts w:ascii="Times New Roman" w:eastAsia="Times New Roman" w:hAnsi="Times New Roman" w:cs="Times New Roman"/>
          <w:sz w:val="28"/>
          <w:szCs w:val="28"/>
          <w:vertAlign w:val="superscript"/>
        </w:rPr>
        <w:t>2</w:t>
      </w:r>
    </w:p>
    <w:p w14:paraId="7D689243" w14:textId="77777777" w:rsidR="0091698C" w:rsidRDefault="005704CE">
      <w:pPr>
        <w:pStyle w:val="ListParagraph"/>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 r= the radius</w:t>
      </w:r>
      <w:r>
        <w:rPr>
          <w:rFonts w:ascii="Times New Roman" w:eastAsia="Times New Roman" w:hAnsi="Times New Roman" w:cs="Times New Roman"/>
          <w:sz w:val="28"/>
          <w:szCs w:val="28"/>
        </w:rPr>
        <w:t xml:space="preserve"> of the circular area</w:t>
      </w:r>
    </w:p>
    <w:p w14:paraId="2FBFFF30" w14:textId="77777777" w:rsidR="0091698C" w:rsidRDefault="005704CE">
      <w:pPr>
        <w:pStyle w:val="ListParagraph"/>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Index (LAR):</w:t>
      </w:r>
      <w:r>
        <w:rPr>
          <w:rFonts w:ascii="Times New Roman" w:eastAsia="Times New Roman" w:hAnsi="Times New Roman" w:cs="Times New Roman"/>
          <w:sz w:val="28"/>
          <w:szCs w:val="28"/>
        </w:rPr>
        <w:t xml:space="preserve"> This shows the ratio of leaf surface area to the ground area occupied by the crop. It is given by:</w:t>
      </w:r>
    </w:p>
    <w:p w14:paraId="73ADAF2C" w14:textId="77777777" w:rsidR="0091698C" w:rsidRDefault="005704CE">
      <w:pPr>
        <w:spacing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LAI = </w:t>
      </w:r>
      <m:oMath>
        <m:f>
          <m:fPr>
            <m:ctrlPr>
              <w:rPr>
                <w:rFonts w:ascii="Cambria Math" w:hAnsi="Cambria Math"/>
                <w:i/>
                <w:sz w:val="24"/>
              </w:rPr>
            </m:ctrlPr>
          </m:fPr>
          <m:num>
            <m:r>
              <w:rPr>
                <w:rFonts w:ascii="Cambria Math" w:hAnsi="Cambria Math"/>
                <w:sz w:val="24"/>
              </w:rPr>
              <m:t>Leaf</m:t>
            </m:r>
            <m:r>
              <w:rPr>
                <w:rFonts w:ascii="Cambria Math" w:hAnsi="Cambria Math"/>
                <w:sz w:val="24"/>
              </w:rPr>
              <m:t xml:space="preserve"> </m:t>
            </m:r>
            <m:r>
              <w:rPr>
                <w:rFonts w:ascii="Cambria Math" w:hAnsi="Cambria Math"/>
                <w:sz w:val="24"/>
              </w:rPr>
              <m:t>of</m:t>
            </m:r>
            <m:r>
              <w:rPr>
                <w:rFonts w:ascii="Cambria Math" w:hAnsi="Cambria Math"/>
                <w:sz w:val="24"/>
              </w:rPr>
              <m:t xml:space="preserve"> </m:t>
            </m:r>
            <m:r>
              <w:rPr>
                <w:rFonts w:ascii="Cambria Math" w:hAnsi="Cambria Math"/>
                <w:sz w:val="24"/>
              </w:rPr>
              <m:t>Area</m:t>
            </m:r>
          </m:num>
          <m:den>
            <m:r>
              <w:rPr>
                <w:rFonts w:ascii="Cambria Math" w:hAnsi="Cambria Math"/>
                <w:sz w:val="24"/>
              </w:rPr>
              <m:t>Area</m:t>
            </m:r>
            <m:r>
              <w:rPr>
                <w:rFonts w:ascii="Cambria Math" w:hAnsi="Cambria Math"/>
                <w:sz w:val="24"/>
              </w:rPr>
              <m:t xml:space="preserve"> </m:t>
            </m:r>
            <m:r>
              <w:rPr>
                <w:rFonts w:ascii="Cambria Math" w:hAnsi="Cambria Math"/>
                <w:sz w:val="24"/>
              </w:rPr>
              <m:t>of</m:t>
            </m:r>
            <m:r>
              <w:rPr>
                <w:rFonts w:ascii="Cambria Math" w:hAnsi="Cambria Math"/>
                <w:sz w:val="24"/>
              </w:rPr>
              <m:t xml:space="preserve"> </m:t>
            </m:r>
            <m:r>
              <w:rPr>
                <w:rFonts w:ascii="Cambria Math" w:hAnsi="Cambria Math"/>
                <w:sz w:val="24"/>
              </w:rPr>
              <m:t>ground</m:t>
            </m:r>
            <m:r>
              <w:rPr>
                <w:rFonts w:ascii="Cambria Math" w:hAnsi="Cambria Math"/>
                <w:sz w:val="24"/>
              </w:rPr>
              <m:t xml:space="preserve"> </m:t>
            </m:r>
            <m:r>
              <w:rPr>
                <w:rFonts w:ascii="Cambria Math" w:hAnsi="Cambria Math"/>
                <w:sz w:val="24"/>
              </w:rPr>
              <m:t>covered</m:t>
            </m:r>
          </m:den>
        </m:f>
      </m:oMath>
      <w:r>
        <w:rPr>
          <w:rFonts w:ascii="Times New Roman" w:eastAsia="Times New Roman" w:hAnsi="Times New Roman" w:cs="Times New Roman"/>
          <w:sz w:val="28"/>
          <w:szCs w:val="28"/>
        </w:rPr>
        <w:t xml:space="preserve">               </w:t>
      </w:r>
    </w:p>
    <w:p w14:paraId="692629E9" w14:textId="77777777"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Area Ratio (LAR).</w:t>
      </w:r>
      <w:r>
        <w:rPr>
          <w:rFonts w:ascii="Times New Roman" w:eastAsia="Times New Roman" w:hAnsi="Times New Roman" w:cs="Times New Roman"/>
          <w:sz w:val="28"/>
          <w:szCs w:val="28"/>
        </w:rPr>
        <w:t xml:space="preserve"> This</w:t>
      </w:r>
      <w:r>
        <w:rPr>
          <w:rFonts w:ascii="Times New Roman" w:eastAsia="Times New Roman" w:hAnsi="Times New Roman" w:cs="Times New Roman"/>
          <w:sz w:val="28"/>
          <w:szCs w:val="28"/>
        </w:rPr>
        <w:t xml:space="preserve"> measures the ratio of the leaf area to the whole plant dry weight and is a further measure of the efficiency of the leaf surface in producing dry matter (Radford, 1967). I.e.</w:t>
      </w:r>
    </w:p>
    <w:p w14:paraId="7822C474" w14:textId="77777777" w:rsidR="0091698C" w:rsidRDefault="005704CE">
      <w:pPr>
        <w:spacing w:after="0"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LAR = </w:t>
      </w:r>
      <m:oMath>
        <m:f>
          <m:fPr>
            <m:ctrlPr>
              <w:rPr>
                <w:rFonts w:ascii="Cambria Math" w:hAnsi="Cambria Math"/>
                <w:i/>
                <w:sz w:val="24"/>
              </w:rPr>
            </m:ctrlPr>
          </m:fPr>
          <m:num>
            <m:r>
              <w:rPr>
                <w:rFonts w:ascii="Cambria Math" w:hAnsi="Cambria Math"/>
                <w:sz w:val="24"/>
              </w:rPr>
              <m:t>I</m:t>
            </m:r>
            <m:r>
              <w:rPr>
                <w:rFonts w:ascii="Cambria Math" w:hAnsi="Cambria Math"/>
                <w:sz w:val="24"/>
              </w:rPr>
              <m:t>1+</m:t>
            </m:r>
            <m:r>
              <w:rPr>
                <w:rFonts w:ascii="Cambria Math" w:hAnsi="Cambria Math"/>
                <w:sz w:val="24"/>
              </w:rPr>
              <m:t>I</m:t>
            </m:r>
            <m:r>
              <w:rPr>
                <w:rFonts w:ascii="Cambria Math" w:hAnsi="Cambria Math"/>
                <w:sz w:val="24"/>
              </w:rPr>
              <m:t>2</m:t>
            </m:r>
          </m:num>
          <m:den>
            <m:r>
              <w:rPr>
                <w:rFonts w:ascii="Cambria Math" w:hAnsi="Cambria Math"/>
                <w:sz w:val="24"/>
              </w:rPr>
              <m:t>W</m:t>
            </m:r>
            <m:r>
              <w:rPr>
                <w:rFonts w:ascii="Cambria Math" w:hAnsi="Cambria Math"/>
                <w:sz w:val="24"/>
              </w:rPr>
              <m:t>1+</m:t>
            </m:r>
            <m:r>
              <w:rPr>
                <w:rFonts w:ascii="Cambria Math" w:hAnsi="Cambria Math"/>
                <w:sz w:val="24"/>
              </w:rPr>
              <m:t>W</m:t>
            </m:r>
            <m:r>
              <w:rPr>
                <w:rFonts w:ascii="Cambria Math" w:hAnsi="Cambria Math"/>
                <w:sz w:val="24"/>
              </w:rPr>
              <m:t>2</m:t>
            </m:r>
          </m:den>
        </m:f>
      </m:oMath>
      <w:r>
        <w:rPr>
          <w:rFonts w:ascii="Times New Roman" w:eastAsia="Times New Roman" w:hAnsi="Times New Roman" w:cs="Times New Roman"/>
          <w:sz w:val="28"/>
          <w:szCs w:val="28"/>
        </w:rPr>
        <w:t xml:space="preserve"> =   </w:t>
      </w:r>
      <m:oMath>
        <m:f>
          <m:fPr>
            <m:ctrlPr>
              <w:rPr>
                <w:rFonts w:ascii="Cambria Math" w:hAnsi="Cambria Math"/>
                <w:i/>
                <w:sz w:val="24"/>
              </w:rPr>
            </m:ctrlPr>
          </m:fPr>
          <m:num>
            <m:r>
              <w:rPr>
                <w:rFonts w:ascii="Cambria Math" w:hAnsi="Cambria Math"/>
                <w:sz w:val="24"/>
              </w:rPr>
              <m:t>Total</m:t>
            </m:r>
            <m:r>
              <w:rPr>
                <w:rFonts w:ascii="Cambria Math" w:hAnsi="Cambria Math"/>
                <w:sz w:val="24"/>
              </w:rPr>
              <m:t xml:space="preserve"> </m:t>
            </m:r>
            <m:r>
              <w:rPr>
                <w:rFonts w:ascii="Cambria Math" w:hAnsi="Cambria Math"/>
                <w:sz w:val="24"/>
              </w:rPr>
              <m:t>Leaf</m:t>
            </m:r>
            <m:r>
              <w:rPr>
                <w:rFonts w:ascii="Cambria Math" w:hAnsi="Cambria Math"/>
                <w:sz w:val="24"/>
              </w:rPr>
              <m:t xml:space="preserve"> </m:t>
            </m:r>
            <m:r>
              <w:rPr>
                <w:rFonts w:ascii="Cambria Math" w:hAnsi="Cambria Math"/>
                <w:sz w:val="24"/>
              </w:rPr>
              <m:t>Area</m:t>
            </m:r>
          </m:num>
          <m:den>
            <m:r>
              <w:rPr>
                <w:rFonts w:ascii="Cambria Math" w:hAnsi="Cambria Math"/>
                <w:sz w:val="24"/>
              </w:rPr>
              <m:t>Toatl</m:t>
            </m:r>
            <m:r>
              <w:rPr>
                <w:rFonts w:ascii="Cambria Math" w:hAnsi="Cambria Math"/>
                <w:sz w:val="24"/>
              </w:rPr>
              <m:t xml:space="preserve"> </m:t>
            </m:r>
            <m:r>
              <w:rPr>
                <w:rFonts w:ascii="Cambria Math" w:hAnsi="Cambria Math"/>
                <w:sz w:val="24"/>
              </w:rPr>
              <m:t>dry</m:t>
            </m:r>
            <m:r>
              <w:rPr>
                <w:rFonts w:ascii="Cambria Math" w:hAnsi="Cambria Math"/>
                <w:sz w:val="24"/>
              </w:rPr>
              <m:t xml:space="preserve"> </m:t>
            </m:r>
            <m:r>
              <w:rPr>
                <w:rFonts w:ascii="Cambria Math" w:hAnsi="Cambria Math"/>
                <w:sz w:val="24"/>
              </w:rPr>
              <m:t>weig</m:t>
            </m:r>
            <m:r>
              <w:rPr>
                <w:rFonts w:ascii="Cambria Math" w:hAnsi="Cambria Math"/>
                <w:sz w:val="24"/>
              </w:rPr>
              <m:t>h</m:t>
            </m:r>
            <m:r>
              <w:rPr>
                <w:rFonts w:ascii="Cambria Math" w:hAnsi="Cambria Math"/>
                <w:sz w:val="24"/>
              </w:rPr>
              <m:t>t</m:t>
            </m:r>
            <m:r>
              <w:rPr>
                <w:rFonts w:ascii="Cambria Math" w:hAnsi="Cambria Math"/>
                <w:sz w:val="24"/>
              </w:rPr>
              <m:t xml:space="preserve"> </m:t>
            </m:r>
            <m:r>
              <w:rPr>
                <w:rFonts w:ascii="Cambria Math" w:hAnsi="Cambria Math"/>
                <w:sz w:val="24"/>
              </w:rPr>
              <m:t>of</m:t>
            </m:r>
            <m:r>
              <w:rPr>
                <w:rFonts w:ascii="Cambria Math" w:hAnsi="Cambria Math"/>
                <w:sz w:val="24"/>
              </w:rPr>
              <m:t xml:space="preserve"> </m:t>
            </m:r>
            <m:r>
              <w:rPr>
                <w:rFonts w:ascii="Cambria Math" w:hAnsi="Cambria Math"/>
                <w:sz w:val="24"/>
              </w:rPr>
              <m:t>plant</m:t>
            </m:r>
          </m:den>
        </m:f>
      </m:oMath>
      <w:r>
        <w:rPr>
          <w:rFonts w:ascii="Times New Roman" w:eastAsia="Times New Roman" w:hAnsi="Times New Roman" w:cs="Times New Roman"/>
          <w:sz w:val="28"/>
          <w:szCs w:val="28"/>
        </w:rPr>
        <w:t xml:space="preserve">           </w:t>
      </w:r>
    </w:p>
    <w:p w14:paraId="68D79D29"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Where I</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represent the total leaf areas, and W</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and W</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represent whole plant </w:t>
      </w:r>
    </w:p>
    <w:p w14:paraId="32B51406"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weight.</w:t>
      </w:r>
    </w:p>
    <w:p w14:paraId="67CDF3C2" w14:textId="77777777"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Relative Growth Rate (RGR): </w:t>
      </w:r>
      <w:r>
        <w:rPr>
          <w:rFonts w:ascii="Times New Roman" w:eastAsia="Times New Roman" w:hAnsi="Times New Roman" w:cs="Times New Roman"/>
          <w:sz w:val="28"/>
          <w:szCs w:val="28"/>
        </w:rPr>
        <w:t xml:space="preserve">It is a measure of dry weight increase in plant matter over a time interval in </w:t>
      </w:r>
      <w:r>
        <w:rPr>
          <w:rFonts w:ascii="Times New Roman" w:eastAsia="Times New Roman" w:hAnsi="Times New Roman" w:cs="Times New Roman"/>
          <w:sz w:val="28"/>
          <w:szCs w:val="28"/>
        </w:rPr>
        <w:t>relation to the initial weight which is the parameter used to measure crop plant growth time (Radford, 1967). This is a expressed as:</w:t>
      </w:r>
    </w:p>
    <w:p w14:paraId="630D418D" w14:textId="77777777" w:rsidR="0091698C" w:rsidRDefault="005704CE">
      <w:pPr>
        <w:spacing w:after="0" w:line="360" w:lineRule="auto"/>
        <w:ind w:left="8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RGR   =  </w:t>
      </w:r>
      <m:oMath>
        <m:f>
          <m:fPr>
            <m:ctrlPr>
              <w:rPr>
                <w:rFonts w:ascii="Cambria Math" w:hAnsi="Cambria Math"/>
                <w:i/>
                <w:sz w:val="24"/>
              </w:rPr>
            </m:ctrlPr>
          </m:fPr>
          <m:num>
            <m:r>
              <w:rPr>
                <w:rFonts w:ascii="Cambria Math" w:hAnsi="Cambria Math"/>
                <w:sz w:val="24"/>
              </w:rPr>
              <m:t>(</m:t>
            </m:r>
            <m:r>
              <w:rPr>
                <w:rFonts w:ascii="Cambria Math" w:hAnsi="Cambria Math"/>
                <w:sz w:val="24"/>
              </w:rPr>
              <m:t>Loge</m:t>
            </m:r>
            <m:r>
              <w:rPr>
                <w:rFonts w:ascii="Cambria Math" w:hAnsi="Cambria Math"/>
                <w:sz w:val="24"/>
              </w:rPr>
              <m:t xml:space="preserve"> </m:t>
            </m:r>
            <m:r>
              <w:rPr>
                <w:rFonts w:ascii="Cambria Math" w:hAnsi="Cambria Math"/>
                <w:sz w:val="24"/>
              </w:rPr>
              <m:t>W</m:t>
            </m:r>
            <m:r>
              <w:rPr>
                <w:rFonts w:ascii="Cambria Math" w:hAnsi="Cambria Math"/>
                <w:sz w:val="24"/>
              </w:rPr>
              <m:t>2-</m:t>
            </m:r>
            <m:r>
              <w:rPr>
                <w:rFonts w:ascii="Cambria Math" w:hAnsi="Cambria Math"/>
                <w:sz w:val="24"/>
              </w:rPr>
              <m:t>Log</m:t>
            </m:r>
            <m:r>
              <w:rPr>
                <w:rFonts w:ascii="Cambria Math" w:hAnsi="Cambria Math"/>
                <w:sz w:val="24"/>
              </w:rPr>
              <m:t xml:space="preserve"> </m:t>
            </m:r>
            <m:r>
              <w:rPr>
                <w:rFonts w:ascii="Cambria Math" w:hAnsi="Cambria Math"/>
                <w:sz w:val="24"/>
              </w:rPr>
              <m:t>w</m:t>
            </m:r>
            <m:r>
              <w:rPr>
                <w:rFonts w:ascii="Cambria Math" w:hAnsi="Cambria Math"/>
                <w:sz w:val="24"/>
              </w:rPr>
              <m:t>1 )</m:t>
            </m:r>
          </m:num>
          <m:den>
            <m:r>
              <w:rPr>
                <w:rFonts w:ascii="Cambria Math" w:hAnsi="Cambria Math"/>
                <w:sz w:val="24"/>
              </w:rPr>
              <m:t>(</m:t>
            </m:r>
            <m:r>
              <w:rPr>
                <w:rFonts w:ascii="Cambria Math" w:hAnsi="Cambria Math"/>
                <w:sz w:val="24"/>
              </w:rPr>
              <m:t>t</m:t>
            </m:r>
            <m:r>
              <w:rPr>
                <w:rFonts w:ascii="Cambria Math" w:hAnsi="Cambria Math"/>
                <w:sz w:val="24"/>
              </w:rPr>
              <m:t>2-</m:t>
            </m:r>
            <m:r>
              <w:rPr>
                <w:rFonts w:ascii="Cambria Math" w:hAnsi="Cambria Math"/>
                <w:sz w:val="24"/>
              </w:rPr>
              <m:t>t</m:t>
            </m:r>
            <m:r>
              <w:rPr>
                <w:rFonts w:ascii="Cambria Math" w:hAnsi="Cambria Math"/>
                <w:sz w:val="24"/>
              </w:rPr>
              <m:t>1)</m:t>
            </m:r>
          </m:den>
        </m:f>
      </m:oMath>
      <w:r>
        <w:rPr>
          <w:rFonts w:ascii="Times New Roman" w:eastAsia="Times New Roman" w:hAnsi="Times New Roman" w:cs="Times New Roman"/>
          <w:sz w:val="28"/>
          <w:szCs w:val="28"/>
        </w:rPr>
        <w:t xml:space="preserve">         </w:t>
      </w:r>
    </w:p>
    <w:p w14:paraId="0E98A387"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14:paraId="10C63BB3"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W1 = crop dry weight at first harvest </w:t>
      </w:r>
    </w:p>
    <w:p w14:paraId="1FED0AB6"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W2 = Crop dry weig</w:t>
      </w:r>
      <w:r>
        <w:rPr>
          <w:rFonts w:ascii="Times New Roman" w:eastAsia="Times New Roman" w:hAnsi="Times New Roman" w:cs="Times New Roman"/>
          <w:sz w:val="28"/>
          <w:szCs w:val="28"/>
        </w:rPr>
        <w:t xml:space="preserve">ht at second harvest </w:t>
      </w:r>
    </w:p>
    <w:p w14:paraId="63C0A2EF"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t1 = Days for the first harvest </w:t>
      </w:r>
    </w:p>
    <w:p w14:paraId="70379B37"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t2 = Days for the second harvest </w:t>
      </w:r>
    </w:p>
    <w:p w14:paraId="204A7881"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Log</w:t>
      </w:r>
      <w:r>
        <w:rPr>
          <w:rFonts w:ascii="Times New Roman" w:eastAsia="Times New Roman" w:hAnsi="Times New Roman" w:cs="Times New Roman"/>
          <w:sz w:val="28"/>
          <w:szCs w:val="28"/>
          <w:vertAlign w:val="subscript"/>
        </w:rPr>
        <w:t xml:space="preserve">e </w:t>
      </w:r>
      <w:r>
        <w:rPr>
          <w:rFonts w:ascii="Times New Roman" w:eastAsia="Times New Roman" w:hAnsi="Times New Roman" w:cs="Times New Roman"/>
          <w:sz w:val="28"/>
          <w:szCs w:val="28"/>
        </w:rPr>
        <w:t>= Natural logarithm</w:t>
      </w:r>
    </w:p>
    <w:p w14:paraId="63FDB983" w14:textId="77777777" w:rsidR="0091698C" w:rsidRDefault="005704CE">
      <w:pPr>
        <w:pStyle w:val="ListParagraph"/>
        <w:numPr>
          <w:ilvl w:val="0"/>
          <w:numId w:val="5"/>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Net Assimilation Rate (NAR): </w:t>
      </w:r>
      <w:r>
        <w:rPr>
          <w:rFonts w:ascii="Times New Roman" w:eastAsia="Times New Roman" w:hAnsi="Times New Roman" w:cs="Times New Roman"/>
          <w:sz w:val="28"/>
          <w:szCs w:val="28"/>
        </w:rPr>
        <w:t xml:space="preserve">This is a measure of production efficiency of the leaf of the crop. Usually, it is expressed in gram per </w:t>
      </w:r>
      <w:r>
        <w:rPr>
          <w:rFonts w:ascii="Times New Roman" w:eastAsia="Times New Roman" w:hAnsi="Times New Roman" w:cs="Times New Roman"/>
          <w:sz w:val="28"/>
          <w:szCs w:val="28"/>
        </w:rPr>
        <w:t>square meter per week (Radford, 196</w:t>
      </w:r>
      <w:r>
        <w:rPr>
          <w:rFonts w:ascii="Times New Roman" w:eastAsia="Times New Roman" w:hAnsi="Times New Roman" w:cs="Times New Roman"/>
          <w:sz w:val="24"/>
          <w:szCs w:val="24"/>
        </w:rPr>
        <w:t>7)</w:t>
      </w:r>
    </w:p>
    <w:p w14:paraId="17C2CFD4" w14:textId="77777777" w:rsidR="0091698C" w:rsidRDefault="005704CE">
      <w:pPr>
        <w:spacing w:before="200"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NAR  =  </w:t>
      </w:r>
      <m:oMath>
        <m:f>
          <m:fPr>
            <m:ctrlPr>
              <w:rPr>
                <w:rFonts w:ascii="Cambria Math" w:hAnsi="Cambria Math"/>
                <w:i/>
                <w:sz w:val="24"/>
              </w:rPr>
            </m:ctrlPr>
          </m:fPr>
          <m:num>
            <m:r>
              <w:rPr>
                <w:rFonts w:ascii="Cambria Math" w:hAnsi="Cambria Math"/>
                <w:sz w:val="24"/>
              </w:rPr>
              <m:t>(</m:t>
            </m:r>
            <m:r>
              <w:rPr>
                <w:rFonts w:ascii="Cambria Math" w:hAnsi="Cambria Math"/>
                <w:sz w:val="24"/>
              </w:rPr>
              <m:t>W</m:t>
            </m:r>
            <m:r>
              <w:rPr>
                <w:rFonts w:ascii="Cambria Math" w:hAnsi="Cambria Math"/>
                <w:sz w:val="24"/>
              </w:rPr>
              <m:t>2-</m:t>
            </m:r>
            <m:r>
              <w:rPr>
                <w:rFonts w:ascii="Cambria Math" w:hAnsi="Cambria Math"/>
                <w:sz w:val="24"/>
              </w:rPr>
              <m:t>W</m:t>
            </m:r>
            <m:r>
              <w:rPr>
                <w:rFonts w:ascii="Cambria Math" w:hAnsi="Cambria Math"/>
                <w:sz w:val="24"/>
              </w:rPr>
              <m:t>1)(</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m:t>
                </m:r>
                <m:r>
                  <w:rPr>
                    <w:rFonts w:ascii="Cambria Math" w:hAnsi="Cambria Math"/>
                    <w:sz w:val="16"/>
                  </w:rPr>
                  <m:t>2</m:t>
                </m:r>
              </m:sup>
            </m:sSup>
            <m:r>
              <w:rPr>
                <w:rFonts w:ascii="Cambria Math" w:hAnsi="Cambria Math"/>
                <w:sz w:val="24"/>
              </w:rPr>
              <m:t>-</m:t>
            </m:r>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Loge</m:t>
                </m:r>
              </m:e>
              <m:sup>
                <m:r>
                  <w:rPr>
                    <w:rFonts w:ascii="Cambria Math" w:hAnsi="Cambria Math"/>
                    <w:sz w:val="16"/>
                  </w:rPr>
                  <m:t>l</m:t>
                </m:r>
                <m:r>
                  <w:rPr>
                    <w:rFonts w:ascii="Cambria Math" w:hAnsi="Cambria Math"/>
                    <w:sz w:val="16"/>
                  </w:rPr>
                  <m:t>1</m:t>
                </m:r>
              </m:sup>
            </m:sSup>
            <m:r>
              <w:rPr>
                <w:rFonts w:ascii="Cambria Math" w:hAnsi="Cambria Math"/>
                <w:sz w:val="24"/>
              </w:rPr>
              <m:t>)</m:t>
            </m:r>
          </m:num>
          <m:den>
            <m:d>
              <m:dPr>
                <m:ctrlPr>
                  <w:rPr>
                    <w:rFonts w:ascii="Cambria Math" w:hAnsi="Cambria Math"/>
                    <w:i/>
                    <w:sz w:val="24"/>
                  </w:rPr>
                </m:ctrlPr>
              </m:dPr>
              <m:e>
                <m:r>
                  <w:rPr>
                    <w:rFonts w:ascii="Cambria Math" w:hAnsi="Cambria Math"/>
                    <w:sz w:val="24"/>
                  </w:rPr>
                  <m:t>t</m:t>
                </m:r>
                <m:r>
                  <w:rPr>
                    <w:rFonts w:ascii="Cambria Math" w:hAnsi="Cambria Math"/>
                    <w:sz w:val="24"/>
                  </w:rPr>
                  <m:t>2-</m:t>
                </m:r>
                <m:r>
                  <w:rPr>
                    <w:rFonts w:ascii="Cambria Math" w:hAnsi="Cambria Math"/>
                    <w:sz w:val="24"/>
                  </w:rPr>
                  <m:t>t</m:t>
                </m:r>
                <m:r>
                  <w:rPr>
                    <w:rFonts w:ascii="Cambria Math" w:hAnsi="Cambria Math"/>
                    <w:sz w:val="24"/>
                  </w:rPr>
                  <m:t>1</m:t>
                </m:r>
              </m:e>
            </m:d>
            <m:r>
              <w:rPr>
                <w:rFonts w:ascii="Cambria Math" w:hAnsi="Cambria Math"/>
                <w:sz w:val="24"/>
              </w:rPr>
              <m:t>(</m:t>
            </m:r>
            <m:r>
              <w:rPr>
                <w:rFonts w:ascii="Cambria Math" w:hAnsi="Cambria Math"/>
                <w:sz w:val="24"/>
              </w:rPr>
              <m:t>L</m:t>
            </m:r>
            <m:r>
              <w:rPr>
                <w:rFonts w:ascii="Cambria Math" w:hAnsi="Cambria Math"/>
                <w:sz w:val="24"/>
              </w:rPr>
              <m:t>2-</m:t>
            </m:r>
            <m:r>
              <w:rPr>
                <w:rFonts w:ascii="Cambria Math" w:hAnsi="Cambria Math"/>
                <w:sz w:val="24"/>
              </w:rPr>
              <m:t>L</m:t>
            </m:r>
            <m:r>
              <w:rPr>
                <w:rFonts w:ascii="Cambria Math" w:hAnsi="Cambria Math"/>
                <w:sz w:val="24"/>
              </w:rPr>
              <m:t>1)</m:t>
            </m:r>
          </m:den>
        </m:f>
      </m:oMath>
      <w:r>
        <w:rPr>
          <w:rFonts w:ascii="Times New Roman" w:eastAsia="Times New Roman" w:hAnsi="Times New Roman" w:cs="Times New Roman"/>
          <w:b/>
          <w:sz w:val="28"/>
          <w:szCs w:val="28"/>
          <w:vertAlign w:val="superscript"/>
        </w:rPr>
        <w:t xml:space="preserve">           </w:t>
      </w:r>
      <w:r>
        <w:rPr>
          <w:rFonts w:ascii="Times New Roman" w:eastAsia="Times New Roman" w:hAnsi="Times New Roman" w:cs="Times New Roman"/>
          <w:b/>
          <w:sz w:val="28"/>
          <w:szCs w:val="28"/>
        </w:rPr>
        <w:t xml:space="preserve">    </w:t>
      </w:r>
    </w:p>
    <w:p w14:paraId="27ABA772"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14:paraId="7F43996D"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 = Plant dry weight</w:t>
      </w:r>
    </w:p>
    <w:p w14:paraId="5F61E2B5"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Initial leaf area</w:t>
      </w:r>
    </w:p>
    <w:p w14:paraId="49431A30"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Subsequent Leaf area</w:t>
      </w:r>
    </w:p>
    <w:p w14:paraId="2E507483"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Crop dry weight at first harvest </w:t>
      </w:r>
    </w:p>
    <w:p w14:paraId="5F928D98"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W2 = Crop dry weight at second harvest </w:t>
      </w:r>
    </w:p>
    <w:p w14:paraId="144EEF6A"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Days for the first harvest</w:t>
      </w:r>
    </w:p>
    <w:p w14:paraId="33437E44"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 Days for the second harvest </w:t>
      </w:r>
    </w:p>
    <w:p w14:paraId="3F4FB87E"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Log</w:t>
      </w:r>
      <w:r>
        <w:rPr>
          <w:rFonts w:ascii="Times New Roman" w:eastAsia="Times New Roman" w:hAnsi="Times New Roman" w:cs="Times New Roman"/>
          <w:sz w:val="28"/>
          <w:szCs w:val="28"/>
          <w:vertAlign w:val="subscript"/>
        </w:rPr>
        <w:t>e</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Natural logarithm.</w:t>
      </w:r>
    </w:p>
    <w:p w14:paraId="70657FAE" w14:textId="77777777"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Leaf Weight Ratio (LWR):</w:t>
      </w:r>
      <w:r>
        <w:rPr>
          <w:rFonts w:ascii="Times New Roman" w:eastAsia="Times New Roman" w:hAnsi="Times New Roman" w:cs="Times New Roman"/>
          <w:sz w:val="28"/>
          <w:szCs w:val="28"/>
        </w:rPr>
        <w:t xml:space="preserve"> This expresses the ratio of the leaf dry weight to total dry weight of the crop and is calculated f</w:t>
      </w:r>
      <w:r>
        <w:rPr>
          <w:rFonts w:ascii="Times New Roman" w:eastAsia="Times New Roman" w:hAnsi="Times New Roman" w:cs="Times New Roman"/>
          <w:sz w:val="28"/>
          <w:szCs w:val="28"/>
        </w:rPr>
        <w:t>rom:</w:t>
      </w:r>
    </w:p>
    <w:p w14:paraId="00E0221D" w14:textId="77777777" w:rsidR="0091698C" w:rsidRDefault="005704CE">
      <w:pPr>
        <w:spacing w:after="0" w:line="360" w:lineRule="auto"/>
        <w:ind w:left="80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LWR =  </w:t>
      </w:r>
      <m:oMath>
        <m:f>
          <m:fPr>
            <m:ctrlPr>
              <w:rPr>
                <w:rFonts w:ascii="Cambria Math" w:hAnsi="Cambria Math"/>
                <w:i/>
                <w:sz w:val="24"/>
              </w:rPr>
            </m:ctrlPr>
          </m:fPr>
          <m:num>
            <m:r>
              <w:rPr>
                <w:rFonts w:ascii="Cambria Math" w:hAnsi="Cambria Math"/>
                <w:sz w:val="24"/>
              </w:rPr>
              <m:t>(</m:t>
            </m:r>
            <m:r>
              <w:rPr>
                <w:rFonts w:ascii="Cambria Math" w:hAnsi="Cambria Math"/>
                <w:sz w:val="24"/>
              </w:rPr>
              <m:t>LW</m:t>
            </m:r>
            <m:r>
              <w:rPr>
                <w:rFonts w:ascii="Cambria Math" w:hAnsi="Cambria Math"/>
                <w:sz w:val="24"/>
              </w:rPr>
              <m:t>1/</m:t>
            </m:r>
            <m:r>
              <w:rPr>
                <w:rFonts w:ascii="Cambria Math" w:hAnsi="Cambria Math"/>
                <w:sz w:val="24"/>
              </w:rPr>
              <m:t>W</m:t>
            </m:r>
            <m:r>
              <w:rPr>
                <w:rFonts w:ascii="Cambria Math" w:hAnsi="Cambria Math"/>
                <w:sz w:val="24"/>
              </w:rPr>
              <m:t>1)+(</m:t>
            </m:r>
            <m:r>
              <w:rPr>
                <w:rFonts w:ascii="Cambria Math" w:hAnsi="Cambria Math"/>
                <w:sz w:val="24"/>
              </w:rPr>
              <m:t>LW</m:t>
            </m:r>
            <m:r>
              <w:rPr>
                <w:rFonts w:ascii="Cambria Math" w:hAnsi="Cambria Math"/>
                <w:sz w:val="24"/>
              </w:rPr>
              <m:t>2/</m:t>
            </m:r>
            <m:r>
              <w:rPr>
                <w:rFonts w:ascii="Cambria Math" w:hAnsi="Cambria Math"/>
                <w:sz w:val="24"/>
              </w:rPr>
              <m:t>W</m:t>
            </m:r>
            <m:r>
              <w:rPr>
                <w:rFonts w:ascii="Cambria Math" w:hAnsi="Cambria Math"/>
                <w:sz w:val="24"/>
              </w:rPr>
              <m:t>2)</m:t>
            </m:r>
          </m:num>
          <m:den>
            <m:r>
              <w:rPr>
                <w:rFonts w:ascii="Cambria Math" w:hAnsi="Cambria Math"/>
                <w:sz w:val="24"/>
              </w:rPr>
              <m:t>2</m:t>
            </m:r>
          </m:den>
        </m:f>
      </m:oMath>
      <w:r>
        <w:rPr>
          <w:rFonts w:ascii="Times New Roman" w:eastAsia="Times New Roman" w:hAnsi="Times New Roman" w:cs="Times New Roman"/>
          <w:sz w:val="28"/>
          <w:szCs w:val="28"/>
        </w:rPr>
        <w:t xml:space="preserve">    </w:t>
      </w:r>
    </w:p>
    <w:p w14:paraId="3189553A" w14:textId="77777777" w:rsidR="0091698C" w:rsidRDefault="005704CE">
      <w:pPr>
        <w:spacing w:after="0" w:line="36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Where:</w:t>
      </w:r>
    </w:p>
    <w:p w14:paraId="7C976FBA" w14:textId="77777777"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LW1 = the leaf dry weight at first harvest</w:t>
      </w:r>
    </w:p>
    <w:p w14:paraId="58A64039" w14:textId="77777777"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LW2 = the leaf dry weight at second harvest</w:t>
      </w:r>
    </w:p>
    <w:p w14:paraId="7CFAA07F" w14:textId="77777777"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W1 = Crop dry weight at first harvest </w:t>
      </w:r>
    </w:p>
    <w:p w14:paraId="35EC2784" w14:textId="77777777" w:rsidR="0091698C" w:rsidRDefault="005704CE">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W2 = Crop dry weight at second harvest</w:t>
      </w:r>
    </w:p>
    <w:p w14:paraId="3FB4C4B3" w14:textId="77777777" w:rsidR="0091698C" w:rsidRDefault="0091698C">
      <w:pPr>
        <w:spacing w:after="0" w:line="360" w:lineRule="auto"/>
        <w:rPr>
          <w:rFonts w:ascii="Times New Roman" w:eastAsia="Times New Roman" w:hAnsi="Times New Roman" w:cs="Times New Roman"/>
          <w:b/>
          <w:sz w:val="24"/>
          <w:szCs w:val="24"/>
        </w:rPr>
      </w:pPr>
    </w:p>
    <w:p w14:paraId="14EAE763" w14:textId="77777777" w:rsidR="0091698C" w:rsidRDefault="005704CE">
      <w:pPr>
        <w:pStyle w:val="ListParagraph"/>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Specific Leaf Weight (SLW): </w:t>
      </w: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indicates the ratio of the leaf area, which can  be obtained from the formula:</w:t>
      </w:r>
    </w:p>
    <w:p w14:paraId="12BB8B12"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SLW = </w:t>
      </w:r>
      <m:oMath>
        <m:f>
          <m:fPr>
            <m:ctrlPr>
              <w:rPr>
                <w:rFonts w:ascii="Cambria Math" w:hAnsi="Cambria Math"/>
                <w:i/>
                <w:sz w:val="24"/>
              </w:rPr>
            </m:ctrlPr>
          </m:fPr>
          <m:num>
            <m:r>
              <w:rPr>
                <w:rFonts w:ascii="Cambria Math" w:hAnsi="Cambria Math"/>
                <w:sz w:val="24"/>
              </w:rPr>
              <m:t>(</m:t>
            </m:r>
            <m:r>
              <w:rPr>
                <w:rFonts w:ascii="Cambria Math" w:hAnsi="Cambria Math"/>
                <w:sz w:val="24"/>
              </w:rPr>
              <m:t>LW</m:t>
            </m:r>
            <m:r>
              <w:rPr>
                <w:rFonts w:ascii="Cambria Math" w:hAnsi="Cambria Math"/>
                <w:sz w:val="24"/>
              </w:rPr>
              <m:t>1/</m:t>
            </m:r>
            <m:r>
              <w:rPr>
                <w:rFonts w:ascii="Cambria Math" w:hAnsi="Cambria Math"/>
                <w:sz w:val="24"/>
              </w:rPr>
              <m:t>LA</m:t>
            </m:r>
            <m:r>
              <w:rPr>
                <w:rFonts w:ascii="Cambria Math" w:hAnsi="Cambria Math"/>
                <w:sz w:val="24"/>
              </w:rPr>
              <m:t>1)+(</m:t>
            </m:r>
            <m:r>
              <w:rPr>
                <w:rFonts w:ascii="Cambria Math" w:hAnsi="Cambria Math"/>
                <w:sz w:val="24"/>
              </w:rPr>
              <m:t>LW</m:t>
            </m:r>
            <m:r>
              <w:rPr>
                <w:rFonts w:ascii="Cambria Math" w:hAnsi="Cambria Math"/>
                <w:sz w:val="24"/>
              </w:rPr>
              <m:t>2/</m:t>
            </m:r>
            <m:r>
              <w:rPr>
                <w:rFonts w:ascii="Cambria Math" w:hAnsi="Cambria Math"/>
                <w:sz w:val="24"/>
              </w:rPr>
              <m:t>LA</m:t>
            </m:r>
            <m:r>
              <w:rPr>
                <w:rFonts w:ascii="Cambria Math" w:hAnsi="Cambria Math"/>
                <w:sz w:val="24"/>
              </w:rPr>
              <m:t>2)</m:t>
            </m:r>
          </m:num>
          <m:den>
            <m:r>
              <w:rPr>
                <w:rFonts w:ascii="Cambria Math" w:hAnsi="Cambria Math"/>
                <w:sz w:val="24"/>
              </w:rPr>
              <m:t>2</m:t>
            </m:r>
          </m:den>
        </m:f>
      </m:oMath>
      <w:r>
        <w:rPr>
          <w:rFonts w:ascii="Times New Roman" w:eastAsia="Times New Roman" w:hAnsi="Times New Roman" w:cs="Times New Roman"/>
          <w:sz w:val="28"/>
          <w:szCs w:val="28"/>
        </w:rPr>
        <w:t xml:space="preserve"> </w:t>
      </w:r>
    </w:p>
    <w:p w14:paraId="3FD2FDAB"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C5A5194"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14:paraId="4FF8670B"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 = Leaf dry weight</w:t>
      </w:r>
    </w:p>
    <w:p w14:paraId="0795E764"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14:paraId="1CDAAB5E" w14:textId="77777777" w:rsidR="0091698C" w:rsidRDefault="005704CE">
      <w:pPr>
        <w:pStyle w:val="ListParagraph"/>
        <w:numPr>
          <w:ilvl w:val="0"/>
          <w:numId w:val="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Specific Leaf Area (SLA): </w:t>
      </w:r>
      <w:r>
        <w:rPr>
          <w:rFonts w:ascii="Times New Roman" w:eastAsia="Times New Roman" w:hAnsi="Times New Roman" w:cs="Times New Roman"/>
          <w:sz w:val="28"/>
          <w:szCs w:val="28"/>
        </w:rPr>
        <w:t>It is an estimate or measure of the change in leaf area</w:t>
      </w:r>
      <w:r>
        <w:rPr>
          <w:rFonts w:ascii="Times New Roman" w:eastAsia="Times New Roman" w:hAnsi="Times New Roman" w:cs="Times New Roman"/>
          <w:sz w:val="28"/>
          <w:szCs w:val="28"/>
        </w:rPr>
        <w:t xml:space="preserve"> per unit of leaf weight between harvest (Radford, 1967)</w:t>
      </w:r>
    </w:p>
    <w:p w14:paraId="0BECE5EE" w14:textId="77777777" w:rsidR="0091698C" w:rsidRDefault="005704CE">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SLA =  </w:t>
      </w:r>
      <m:oMath>
        <m:f>
          <m:fPr>
            <m:ctrlPr>
              <w:rPr>
                <w:rFonts w:ascii="Cambria Math" w:hAnsi="Cambria Math"/>
                <w:i/>
                <w:sz w:val="24"/>
              </w:rPr>
            </m:ctrlPr>
          </m:fPr>
          <m:num>
            <m:r>
              <w:rPr>
                <w:rFonts w:ascii="Cambria Math" w:hAnsi="Cambria Math"/>
                <w:sz w:val="24"/>
              </w:rPr>
              <m:t>(</m:t>
            </m:r>
            <m:r>
              <w:rPr>
                <w:rFonts w:ascii="Cambria Math" w:hAnsi="Cambria Math"/>
                <w:sz w:val="24"/>
              </w:rPr>
              <m:t>LA</m:t>
            </m:r>
            <m:r>
              <w:rPr>
                <w:rFonts w:ascii="Cambria Math" w:hAnsi="Cambria Math"/>
                <w:sz w:val="24"/>
              </w:rPr>
              <m:t>1/</m:t>
            </m:r>
            <m:r>
              <w:rPr>
                <w:rFonts w:ascii="Cambria Math" w:hAnsi="Cambria Math"/>
                <w:sz w:val="24"/>
              </w:rPr>
              <m:t>LW</m:t>
            </m:r>
            <m:r>
              <w:rPr>
                <w:rFonts w:ascii="Cambria Math" w:hAnsi="Cambria Math"/>
                <w:sz w:val="24"/>
              </w:rPr>
              <m:t>1)+(</m:t>
            </m:r>
            <m:r>
              <w:rPr>
                <w:rFonts w:ascii="Cambria Math" w:hAnsi="Cambria Math"/>
                <w:sz w:val="24"/>
              </w:rPr>
              <m:t>LA</m:t>
            </m:r>
            <m:r>
              <w:rPr>
                <w:rFonts w:ascii="Cambria Math" w:hAnsi="Cambria Math"/>
                <w:sz w:val="24"/>
              </w:rPr>
              <m:t>2/</m:t>
            </m:r>
            <m:r>
              <w:rPr>
                <w:rFonts w:ascii="Cambria Math" w:hAnsi="Cambria Math"/>
                <w:sz w:val="24"/>
              </w:rPr>
              <m:t>LW</m:t>
            </m:r>
            <m:r>
              <w:rPr>
                <w:rFonts w:ascii="Cambria Math" w:hAnsi="Cambria Math"/>
                <w:sz w:val="24"/>
              </w:rPr>
              <m:t>2)</m:t>
            </m:r>
          </m:num>
          <m:den>
            <m:r>
              <w:rPr>
                <w:rFonts w:ascii="Cambria Math" w:hAnsi="Cambria Math"/>
                <w:sz w:val="24"/>
              </w:rPr>
              <m:t>2</m:t>
            </m:r>
          </m:den>
        </m:f>
      </m:oMath>
      <w:r>
        <w:rPr>
          <w:rFonts w:ascii="Times New Roman" w:eastAsia="Times New Roman" w:hAnsi="Times New Roman" w:cs="Times New Roman"/>
          <w:sz w:val="28"/>
          <w:szCs w:val="28"/>
        </w:rPr>
        <w:t xml:space="preserve">                          </w:t>
      </w:r>
    </w:p>
    <w:p w14:paraId="1A3D9875" w14:textId="77777777" w:rsidR="0091698C" w:rsidRDefault="005704CE">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Where: </w:t>
      </w:r>
    </w:p>
    <w:p w14:paraId="480E6E6F" w14:textId="77777777" w:rsidR="0091698C" w:rsidRDefault="005704CE">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 Leaf area</w:t>
      </w:r>
    </w:p>
    <w:p w14:paraId="6CAF7F6C" w14:textId="77777777" w:rsidR="0091698C" w:rsidRDefault="005704CE">
      <w:p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LW = Leaf dry weight </w:t>
      </w:r>
    </w:p>
    <w:p w14:paraId="23B8500B" w14:textId="77777777" w:rsidR="0091698C" w:rsidRDefault="005704CE">
      <w:pPr>
        <w:pStyle w:val="ListParagraph"/>
        <w:numPr>
          <w:ilvl w:val="0"/>
          <w:numId w:val="5"/>
        </w:numPr>
        <w:spacing w:before="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Crop Growth Rate:</w:t>
      </w:r>
      <w:r>
        <w:rPr>
          <w:rFonts w:ascii="Times New Roman" w:eastAsia="Times New Roman" w:hAnsi="Times New Roman" w:cs="Times New Roman"/>
          <w:sz w:val="28"/>
          <w:szCs w:val="28"/>
        </w:rPr>
        <w:t xml:space="preserve"> Regarded as a measure of the rate of dry matter production per unit time. </w:t>
      </w:r>
      <w:r>
        <w:rPr>
          <w:rFonts w:ascii="Times New Roman" w:eastAsia="Times New Roman" w:hAnsi="Times New Roman" w:cs="Times New Roman"/>
          <w:sz w:val="28"/>
          <w:szCs w:val="28"/>
        </w:rPr>
        <w:t xml:space="preserve">Crop dry weight per unit at one harvest (W1) </w:t>
      </w:r>
      <w:r>
        <w:rPr>
          <w:rFonts w:ascii="Times New Roman" w:eastAsia="Times New Roman" w:hAnsi="Times New Roman" w:cs="Times New Roman"/>
          <w:sz w:val="28"/>
          <w:szCs w:val="28"/>
        </w:rPr>
        <w:lastRenderedPageBreak/>
        <w:t>will be deduced from that of the next harvest (W2) and the difference divided by the number of days between harvest (T2 - T1 in days) (Radford, 1967).</w:t>
      </w:r>
    </w:p>
    <w:p w14:paraId="70E36892" w14:textId="77777777" w:rsidR="0091698C" w:rsidRDefault="005704CE">
      <w:pPr>
        <w:spacing w:after="10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CGR =   </w:t>
      </w:r>
      <m:oMath>
        <m:f>
          <m:fPr>
            <m:ctrlPr>
              <w:rPr>
                <w:rFonts w:ascii="Cambria Math" w:hAnsi="Cambria Math"/>
                <w:i/>
                <w:sz w:val="24"/>
              </w:rPr>
            </m:ctrlPr>
          </m:fPr>
          <m:num>
            <m:r>
              <w:rPr>
                <w:rFonts w:ascii="Cambria Math" w:hAnsi="Cambria Math"/>
                <w:sz w:val="24"/>
              </w:rPr>
              <m:t>W</m:t>
            </m:r>
            <m:r>
              <w:rPr>
                <w:rFonts w:ascii="Cambria Math" w:hAnsi="Cambria Math"/>
                <w:sz w:val="24"/>
              </w:rPr>
              <m:t>2-</m:t>
            </m:r>
            <m:r>
              <w:rPr>
                <w:rFonts w:ascii="Cambria Math" w:hAnsi="Cambria Math"/>
                <w:sz w:val="24"/>
              </w:rPr>
              <m:t>W</m:t>
            </m:r>
            <m:r>
              <w:rPr>
                <w:rFonts w:ascii="Cambria Math" w:hAnsi="Cambria Math"/>
                <w:sz w:val="24"/>
              </w:rPr>
              <m:t>1</m:t>
            </m:r>
          </m:num>
          <m:den>
            <m:r>
              <w:rPr>
                <w:rFonts w:ascii="Cambria Math" w:hAnsi="Cambria Math"/>
                <w:sz w:val="24"/>
              </w:rPr>
              <m:t>T</m:t>
            </m:r>
            <m:r>
              <w:rPr>
                <w:rFonts w:ascii="Cambria Math" w:hAnsi="Cambria Math"/>
                <w:sz w:val="24"/>
              </w:rPr>
              <m:t>2-</m:t>
            </m:r>
            <m:r>
              <w:rPr>
                <w:rFonts w:ascii="Cambria Math" w:hAnsi="Cambria Math"/>
                <w:sz w:val="24"/>
              </w:rPr>
              <m:t>T</m:t>
            </m:r>
            <m:r>
              <w:rPr>
                <w:rFonts w:ascii="Cambria Math" w:hAnsi="Cambria Math"/>
                <w:sz w:val="24"/>
              </w:rPr>
              <m:t>1</m:t>
            </m:r>
          </m:den>
        </m:f>
      </m:oMath>
    </w:p>
    <w:p w14:paraId="5F2F9A2E"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Where:</w:t>
      </w:r>
    </w:p>
    <w:p w14:paraId="403ABB57"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 = dry weight of plants materials per unit area of ground.</w:t>
      </w:r>
    </w:p>
    <w:p w14:paraId="2831D046"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 = time in days, and the subscripts 1 &amp; 2 refer to first and second harvest respectively.</w:t>
      </w:r>
    </w:p>
    <w:p w14:paraId="1A0FD4D7" w14:textId="77777777" w:rsidR="0091698C" w:rsidRDefault="0091698C">
      <w:pPr>
        <w:spacing w:line="360" w:lineRule="auto"/>
        <w:rPr>
          <w:rFonts w:ascii="Times New Roman" w:eastAsia="Times New Roman" w:hAnsi="Times New Roman" w:cs="Times New Roman"/>
          <w:sz w:val="28"/>
          <w:szCs w:val="28"/>
        </w:rPr>
      </w:pPr>
    </w:p>
    <w:p w14:paraId="6C64F38D" w14:textId="77777777" w:rsidR="0091698C" w:rsidRDefault="005704CE">
      <w:pPr>
        <w:rPr>
          <w:sz w:val="28"/>
          <w:szCs w:val="28"/>
        </w:rPr>
      </w:pPr>
      <w:r>
        <w:t xml:space="preserve">  </w:t>
      </w:r>
      <w:r>
        <w:tab/>
      </w:r>
      <w:r>
        <w:tab/>
      </w:r>
      <w:r>
        <w:tab/>
      </w:r>
      <w:r>
        <w:tab/>
      </w:r>
      <w:r>
        <w:rPr>
          <w:sz w:val="28"/>
          <w:szCs w:val="28"/>
        </w:rPr>
        <w:t>RESULT AND DISCUSSION</w:t>
      </w:r>
    </w:p>
    <w:p w14:paraId="77E051F2" w14:textId="77777777" w:rsidR="0091698C" w:rsidRDefault="005704CE">
      <w:pPr>
        <w:rPr>
          <w:b/>
          <w:sz w:val="28"/>
          <w:szCs w:val="28"/>
        </w:rPr>
      </w:pPr>
      <w:r>
        <w:rPr>
          <w:b/>
          <w:sz w:val="28"/>
          <w:szCs w:val="28"/>
        </w:rPr>
        <w:t xml:space="preserve">Result </w:t>
      </w:r>
    </w:p>
    <w:p w14:paraId="73B49624" w14:textId="77777777" w:rsidR="0091698C" w:rsidRDefault="005704CE">
      <w:pPr>
        <w:rPr>
          <w:b/>
          <w:sz w:val="28"/>
          <w:szCs w:val="28"/>
        </w:rPr>
      </w:pPr>
      <w:r>
        <w:rPr>
          <w:rFonts w:ascii="Times New Roman" w:eastAsia="Times New Roman" w:hAnsi="Times New Roman" w:cs="Times New Roman"/>
          <w:i/>
          <w:sz w:val="28"/>
          <w:szCs w:val="28"/>
        </w:rPr>
        <w:t xml:space="preserve"> Effect of Foliar Plus on Days to 50% flowering (D50%F) of Cucumber </w:t>
      </w:r>
    </w:p>
    <w:p w14:paraId="71F0CC33" w14:textId="4764AFCC"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effect of Foliar Plus on days to 50% flowering of cucumber was presented in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Statistical analysis showed that Foliar Plus did produce significant (p≤0.05) effect on days to 50</w:t>
      </w:r>
      <w:r>
        <w:rPr>
          <w:rFonts w:ascii="Times New Roman" w:eastAsia="Times New Roman" w:hAnsi="Times New Roman" w:cs="Times New Roman"/>
          <w:sz w:val="28"/>
          <w:szCs w:val="28"/>
        </w:rPr>
        <w:t>% flowering of cucumber. The control (0mlFP/15Lwater) took the highest number of days (28.53days) for the cucumber to flower, significantly (p≤0.05) different from 120mlFP/15Lwater which took 25.33days. However, the value obtained from the control treatmen</w:t>
      </w:r>
      <w:r>
        <w:rPr>
          <w:rFonts w:ascii="Times New Roman" w:eastAsia="Times New Roman" w:hAnsi="Times New Roman" w:cs="Times New Roman"/>
          <w:sz w:val="28"/>
          <w:szCs w:val="28"/>
        </w:rPr>
        <w:t xml:space="preserve">t was statistically similar to 26.67days and 28.00days taken by the cucumber plants treated with 140mlFP/15Lwater and 160mlFP/15Lwater respectively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3DD6BABC"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Days to 50% Maturity</w:t>
      </w:r>
    </w:p>
    <w:p w14:paraId="71C6A206" w14:textId="602DA10B"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it was shown that Foliar Plus had signif</w:t>
      </w:r>
      <w:r>
        <w:rPr>
          <w:rFonts w:ascii="Times New Roman" w:eastAsia="Times New Roman" w:hAnsi="Times New Roman" w:cs="Times New Roman"/>
          <w:sz w:val="28"/>
          <w:szCs w:val="28"/>
        </w:rPr>
        <w:t xml:space="preserve">icant (p≤0.05) effect on days to maturity of Cucumber. From the analysis, 45.00days was recorded for 0mlFP/15LWater, which was significantly different from 120mlFP/15LWater </w:t>
      </w:r>
      <w:r>
        <w:rPr>
          <w:rFonts w:ascii="Times New Roman" w:eastAsia="Times New Roman" w:hAnsi="Times New Roman" w:cs="Times New Roman"/>
          <w:sz w:val="28"/>
          <w:szCs w:val="28"/>
        </w:rPr>
        <w:lastRenderedPageBreak/>
        <w:t>(39.67days) and 140mlFP/15LWater (39.67days), but statistically (p≥0.05) similar to</w:t>
      </w:r>
      <w:r>
        <w:rPr>
          <w:rFonts w:ascii="Times New Roman" w:eastAsia="Times New Roman" w:hAnsi="Times New Roman" w:cs="Times New Roman"/>
          <w:sz w:val="28"/>
          <w:szCs w:val="28"/>
        </w:rPr>
        <w:t xml:space="preserve"> 160mlFP/15LWater (38.67days).</w:t>
      </w:r>
    </w:p>
    <w:p w14:paraId="6C42B750"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(FP) on Leaf Dry Weight of Cucumber (LDW)</w:t>
      </w:r>
    </w:p>
    <w:p w14:paraId="567F7112" w14:textId="6A5A1FA2"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also indicates the effect Foliar Plus had on LDW of Cucumber both at (4WAP) and harvest (6WAP). At 4WAP, 140mlFP/15Lwater produced the highest value (9.5</w:t>
      </w:r>
      <w:r>
        <w:rPr>
          <w:rFonts w:ascii="Times New Roman" w:eastAsia="Times New Roman" w:hAnsi="Times New Roman" w:cs="Times New Roman"/>
          <w:sz w:val="28"/>
          <w:szCs w:val="28"/>
        </w:rPr>
        <w:t>3g/plant) whereas the control (0mlFP/15Lwater) gave the lowest value with 5.53g/plant, though with no significant (p≥0.05) differences between them and those of 5.97g/plant and 9.30g/plant values produced by 120mlFP/15Lwater and 160mlFP/15Lwater respective</w:t>
      </w:r>
      <w:r>
        <w:rPr>
          <w:rFonts w:ascii="Times New Roman" w:eastAsia="Times New Roman" w:hAnsi="Times New Roman" w:cs="Times New Roman"/>
          <w:sz w:val="28"/>
          <w:szCs w:val="28"/>
        </w:rPr>
        <w:t>ly.</w:t>
      </w:r>
    </w:p>
    <w:p w14:paraId="7221A6DD" w14:textId="2A1C9485"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However, at 6WAP, 140mlFP/15Lwater with value a 11.27g/plant LDW, was significantly (p≤0.05) higher than the control (8.67g/plant), but statistically similar to 120mlFP/15Lwater and 160mlFP/15Lwater treatments which gave 9.57g/plant and 10.00g/plant re</w:t>
      </w:r>
      <w:r>
        <w:rPr>
          <w:rFonts w:ascii="Times New Roman" w:eastAsia="Times New Roman" w:hAnsi="Times New Roman" w:cs="Times New Roman"/>
          <w:sz w:val="28"/>
          <w:szCs w:val="28"/>
        </w:rPr>
        <w:t xml:space="preserve">spectively (Table </w:t>
      </w:r>
      <w:r w:rsidR="00442DBE">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p w14:paraId="100B58A2" w14:textId="77777777" w:rsidR="0091698C" w:rsidRDefault="0091698C">
      <w:pPr>
        <w:spacing w:line="360" w:lineRule="auto"/>
        <w:rPr>
          <w:rFonts w:ascii="Times New Roman" w:eastAsia="Times New Roman" w:hAnsi="Times New Roman" w:cs="Times New Roman"/>
          <w:sz w:val="28"/>
          <w:szCs w:val="28"/>
        </w:rPr>
      </w:pPr>
    </w:p>
    <w:p w14:paraId="1E540B81" w14:textId="661E11B5" w:rsidR="0091698C" w:rsidRDefault="005704C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Effect of foliar plus (FP) on days to 50% flowering, days to 50% </w:t>
      </w:r>
      <w:r>
        <w:rPr>
          <w:rFonts w:ascii="Times New Roman" w:eastAsia="Times New Roman" w:hAnsi="Times New Roman" w:cs="Times New Roman"/>
          <w:b/>
          <w:sz w:val="24"/>
          <w:szCs w:val="24"/>
        </w:rPr>
        <w:t>maturity and leaf dry weight (LDW) of cucumber at 4WAP and 6WAP</w:t>
      </w:r>
    </w:p>
    <w:tbl>
      <w:tblPr>
        <w:tblStyle w:val="TableGrid"/>
        <w:tblW w:w="10071" w:type="dxa"/>
        <w:tblInd w:w="-95" w:type="dxa"/>
        <w:tblLayout w:type="fixed"/>
        <w:tblLook w:val="04A0" w:firstRow="1" w:lastRow="0" w:firstColumn="1" w:lastColumn="0" w:noHBand="0" w:noVBand="1"/>
      </w:tblPr>
      <w:tblGrid>
        <w:gridCol w:w="2194"/>
        <w:gridCol w:w="1923"/>
        <w:gridCol w:w="1754"/>
        <w:gridCol w:w="1998"/>
        <w:gridCol w:w="2202"/>
      </w:tblGrid>
      <w:tr w:rsidR="0091698C" w14:paraId="3BF96964" w14:textId="77777777">
        <w:tc>
          <w:tcPr>
            <w:tcW w:w="2194" w:type="dxa"/>
            <w:tcBorders>
              <w:top w:val="single" w:sz="10" w:space="0" w:color="000000"/>
              <w:left w:val="nil"/>
              <w:bottom w:val="single" w:sz="10" w:space="0" w:color="000000"/>
              <w:right w:val="nil"/>
              <w:tl2br w:val="nil"/>
              <w:tr2bl w:val="nil"/>
            </w:tcBorders>
          </w:tcPr>
          <w:p w14:paraId="194A26BD"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tc>
        <w:tc>
          <w:tcPr>
            <w:tcW w:w="1923" w:type="dxa"/>
            <w:tcBorders>
              <w:top w:val="single" w:sz="10" w:space="0" w:color="000000"/>
              <w:left w:val="nil"/>
              <w:bottom w:val="single" w:sz="10" w:space="0" w:color="000000"/>
              <w:right w:val="nil"/>
              <w:tl2br w:val="nil"/>
              <w:tr2bl w:val="nil"/>
            </w:tcBorders>
          </w:tcPr>
          <w:p w14:paraId="4CBCD01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Days to 50%   </w:t>
            </w:r>
          </w:p>
          <w:p w14:paraId="0287DB6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Flowering</w:t>
            </w:r>
          </w:p>
          <w:p w14:paraId="30F79D42" w14:textId="77777777" w:rsidR="0091698C" w:rsidRDefault="0091698C">
            <w:pPr>
              <w:spacing w:line="240" w:lineRule="auto"/>
              <w:rPr>
                <w:rFonts w:ascii="Times New Roman" w:eastAsia="Times New Roman" w:hAnsi="Times New Roman" w:cs="Times New Roman"/>
                <w:sz w:val="24"/>
                <w:szCs w:val="24"/>
              </w:rPr>
            </w:pPr>
          </w:p>
        </w:tc>
        <w:tc>
          <w:tcPr>
            <w:tcW w:w="1754" w:type="dxa"/>
            <w:tcBorders>
              <w:top w:val="single" w:sz="10" w:space="0" w:color="000000"/>
              <w:left w:val="nil"/>
              <w:bottom w:val="single" w:sz="10" w:space="0" w:color="000000"/>
              <w:right w:val="nil"/>
              <w:tl2br w:val="nil"/>
              <w:tr2bl w:val="nil"/>
            </w:tcBorders>
          </w:tcPr>
          <w:p w14:paraId="2658CD57"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Days to 50% </w:t>
            </w:r>
          </w:p>
          <w:p w14:paraId="37CA3D5A"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Maturity</w:t>
            </w:r>
          </w:p>
          <w:p w14:paraId="64A068C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98" w:type="dxa"/>
            <w:tcBorders>
              <w:top w:val="single" w:sz="10" w:space="0" w:color="000000"/>
              <w:left w:val="nil"/>
              <w:bottom w:val="single" w:sz="10" w:space="0" w:color="000000"/>
              <w:right w:val="nil"/>
              <w:tl2br w:val="nil"/>
              <w:tr2bl w:val="nil"/>
            </w:tcBorders>
          </w:tcPr>
          <w:p w14:paraId="78DFA3C1"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1stLeaf Dry Weight </w:t>
            </w:r>
          </w:p>
          <w:p w14:paraId="369A15AE"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(LDW)   </w:t>
            </w:r>
          </w:p>
          <w:p w14:paraId="503E83B6"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    4WAP </w:t>
            </w:r>
          </w:p>
        </w:tc>
        <w:tc>
          <w:tcPr>
            <w:tcW w:w="2202" w:type="dxa"/>
            <w:tcBorders>
              <w:top w:val="single" w:sz="10" w:space="0" w:color="000000"/>
              <w:left w:val="nil"/>
              <w:bottom w:val="single" w:sz="10" w:space="0" w:color="000000"/>
              <w:right w:val="nil"/>
              <w:tl2br w:val="nil"/>
              <w:tr2bl w:val="nil"/>
            </w:tcBorders>
          </w:tcPr>
          <w:p w14:paraId="094FAC3F"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2nd Leaf Dry Weight </w:t>
            </w:r>
          </w:p>
          <w:p w14:paraId="508F992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(LDW) </w:t>
            </w:r>
            <w:r>
              <w:rPr>
                <w:rFonts w:ascii="Times New Roman" w:eastAsia="Times New Roman" w:hAnsi="Times New Roman" w:cs="Times New Roman"/>
                <w:sz w:val="24"/>
                <w:szCs w:val="24"/>
              </w:rPr>
              <w:t xml:space="preserve"> </w:t>
            </w:r>
          </w:p>
          <w:p w14:paraId="2FF3EDE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r>
      <w:tr w:rsidR="0091698C" w14:paraId="37C937E9" w14:textId="77777777">
        <w:tc>
          <w:tcPr>
            <w:tcW w:w="2194" w:type="dxa"/>
            <w:tcBorders>
              <w:top w:val="single" w:sz="10" w:space="0" w:color="000000"/>
              <w:left w:val="nil"/>
              <w:bottom w:val="nil"/>
              <w:right w:val="nil"/>
              <w:tl2br w:val="nil"/>
              <w:tr2bl w:val="nil"/>
            </w:tcBorders>
          </w:tcPr>
          <w:p w14:paraId="6A4CF1F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14:paraId="24EAE234" w14:textId="77777777" w:rsidR="0091698C" w:rsidRDefault="0091698C">
            <w:pPr>
              <w:spacing w:line="240" w:lineRule="auto"/>
              <w:rPr>
                <w:rFonts w:ascii="Times New Roman" w:eastAsia="Times New Roman" w:hAnsi="Times New Roman" w:cs="Times New Roman"/>
                <w:sz w:val="24"/>
                <w:szCs w:val="24"/>
              </w:rPr>
            </w:pPr>
          </w:p>
        </w:tc>
        <w:tc>
          <w:tcPr>
            <w:tcW w:w="1923" w:type="dxa"/>
            <w:tcBorders>
              <w:top w:val="single" w:sz="10" w:space="0" w:color="000000"/>
              <w:left w:val="nil"/>
              <w:bottom w:val="nil"/>
              <w:right w:val="nil"/>
              <w:tl2br w:val="nil"/>
              <w:tr2bl w:val="nil"/>
            </w:tcBorders>
          </w:tcPr>
          <w:p w14:paraId="61F4A01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28.53</w:t>
            </w:r>
            <w:r>
              <w:rPr>
                <w:rFonts w:ascii="Times New Roman" w:eastAsia="Times New Roman" w:hAnsi="Times New Roman" w:cs="Times New Roman"/>
                <w:sz w:val="24"/>
                <w:szCs w:val="24"/>
                <w:vertAlign w:val="superscript"/>
              </w:rPr>
              <w:t>a</w:t>
            </w:r>
          </w:p>
        </w:tc>
        <w:tc>
          <w:tcPr>
            <w:tcW w:w="1754" w:type="dxa"/>
            <w:tcBorders>
              <w:top w:val="single" w:sz="10" w:space="0" w:color="000000"/>
              <w:left w:val="nil"/>
              <w:bottom w:val="nil"/>
              <w:right w:val="nil"/>
              <w:tl2br w:val="nil"/>
              <w:tr2bl w:val="nil"/>
            </w:tcBorders>
          </w:tcPr>
          <w:p w14:paraId="00AE328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45.00</w:t>
            </w:r>
            <w:r>
              <w:rPr>
                <w:rFonts w:ascii="Times New Roman" w:eastAsia="Times New Roman" w:hAnsi="Times New Roman" w:cs="Times New Roman"/>
                <w:sz w:val="24"/>
                <w:szCs w:val="24"/>
                <w:vertAlign w:val="superscript"/>
              </w:rPr>
              <w:t>a</w:t>
            </w:r>
          </w:p>
        </w:tc>
        <w:tc>
          <w:tcPr>
            <w:tcW w:w="1998" w:type="dxa"/>
            <w:tcBorders>
              <w:top w:val="single" w:sz="10" w:space="0" w:color="000000"/>
              <w:left w:val="nil"/>
              <w:bottom w:val="nil"/>
              <w:right w:val="nil"/>
              <w:tl2br w:val="nil"/>
              <w:tr2bl w:val="nil"/>
            </w:tcBorders>
          </w:tcPr>
          <w:p w14:paraId="35D42F6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5.53</w:t>
            </w:r>
            <w:r>
              <w:rPr>
                <w:rFonts w:ascii="Times New Roman" w:eastAsia="Times New Roman" w:hAnsi="Times New Roman" w:cs="Times New Roman"/>
                <w:sz w:val="24"/>
                <w:szCs w:val="24"/>
                <w:vertAlign w:val="superscript"/>
              </w:rPr>
              <w:t>a</w:t>
            </w:r>
          </w:p>
        </w:tc>
        <w:tc>
          <w:tcPr>
            <w:tcW w:w="2202" w:type="dxa"/>
            <w:tcBorders>
              <w:top w:val="single" w:sz="10" w:space="0" w:color="000000"/>
              <w:left w:val="nil"/>
              <w:bottom w:val="nil"/>
              <w:right w:val="nil"/>
              <w:tl2br w:val="nil"/>
              <w:tr2bl w:val="nil"/>
            </w:tcBorders>
          </w:tcPr>
          <w:p w14:paraId="282BEA5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8.67</w:t>
            </w:r>
            <w:r>
              <w:rPr>
                <w:rFonts w:ascii="Times New Roman" w:eastAsia="Times New Roman" w:hAnsi="Times New Roman" w:cs="Times New Roman"/>
                <w:sz w:val="24"/>
                <w:szCs w:val="24"/>
                <w:vertAlign w:val="superscript"/>
              </w:rPr>
              <w:t>b</w:t>
            </w:r>
          </w:p>
        </w:tc>
      </w:tr>
      <w:tr w:rsidR="0091698C" w14:paraId="247DC3DA" w14:textId="77777777">
        <w:tc>
          <w:tcPr>
            <w:tcW w:w="2194" w:type="dxa"/>
            <w:tcBorders>
              <w:top w:val="nil"/>
              <w:left w:val="nil"/>
              <w:bottom w:val="nil"/>
              <w:right w:val="nil"/>
              <w:tl2br w:val="nil"/>
              <w:tr2bl w:val="nil"/>
            </w:tcBorders>
          </w:tcPr>
          <w:p w14:paraId="3D72C39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14:paraId="76C6E29A" w14:textId="77777777"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14:paraId="46F0313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25.33</w:t>
            </w:r>
            <w:r>
              <w:rPr>
                <w:rFonts w:ascii="Times New Roman" w:eastAsia="Times New Roman" w:hAnsi="Times New Roman" w:cs="Times New Roman"/>
                <w:sz w:val="24"/>
                <w:szCs w:val="24"/>
                <w:vertAlign w:val="superscript"/>
              </w:rPr>
              <w:t>b</w:t>
            </w:r>
          </w:p>
        </w:tc>
        <w:tc>
          <w:tcPr>
            <w:tcW w:w="1754" w:type="dxa"/>
            <w:tcBorders>
              <w:top w:val="nil"/>
              <w:left w:val="nil"/>
              <w:bottom w:val="nil"/>
              <w:right w:val="nil"/>
              <w:tl2br w:val="nil"/>
              <w:tr2bl w:val="nil"/>
            </w:tcBorders>
          </w:tcPr>
          <w:p w14:paraId="079D142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14:paraId="301BCC3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5.97</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14:paraId="3576AAA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9.57</w:t>
            </w:r>
            <w:r>
              <w:rPr>
                <w:rFonts w:ascii="Times New Roman" w:eastAsia="Times New Roman" w:hAnsi="Times New Roman" w:cs="Times New Roman"/>
                <w:sz w:val="24"/>
                <w:szCs w:val="24"/>
                <w:vertAlign w:val="superscript"/>
              </w:rPr>
              <w:t>ab</w:t>
            </w:r>
          </w:p>
        </w:tc>
      </w:tr>
      <w:tr w:rsidR="0091698C" w14:paraId="2AA436DA" w14:textId="77777777">
        <w:tc>
          <w:tcPr>
            <w:tcW w:w="2194" w:type="dxa"/>
            <w:tcBorders>
              <w:top w:val="nil"/>
              <w:left w:val="nil"/>
              <w:bottom w:val="nil"/>
              <w:right w:val="nil"/>
              <w:tl2br w:val="nil"/>
              <w:tr2bl w:val="nil"/>
            </w:tcBorders>
          </w:tcPr>
          <w:p w14:paraId="07CF4D5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14:paraId="36D7304A" w14:textId="77777777"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nil"/>
              <w:right w:val="nil"/>
              <w:tl2br w:val="nil"/>
              <w:tr2bl w:val="nil"/>
            </w:tcBorders>
          </w:tcPr>
          <w:p w14:paraId="7864625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26.67</w:t>
            </w:r>
            <w:r>
              <w:rPr>
                <w:rFonts w:ascii="Times New Roman" w:eastAsia="Times New Roman" w:hAnsi="Times New Roman" w:cs="Times New Roman"/>
                <w:sz w:val="24"/>
                <w:szCs w:val="24"/>
                <w:vertAlign w:val="superscript"/>
              </w:rPr>
              <w:t>ab</w:t>
            </w:r>
          </w:p>
        </w:tc>
        <w:tc>
          <w:tcPr>
            <w:tcW w:w="1754" w:type="dxa"/>
            <w:tcBorders>
              <w:top w:val="nil"/>
              <w:left w:val="nil"/>
              <w:bottom w:val="nil"/>
              <w:right w:val="nil"/>
              <w:tl2br w:val="nil"/>
              <w:tr2bl w:val="nil"/>
            </w:tcBorders>
          </w:tcPr>
          <w:p w14:paraId="3E1EA80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39.67</w:t>
            </w:r>
            <w:r>
              <w:rPr>
                <w:rFonts w:ascii="Times New Roman" w:eastAsia="Times New Roman" w:hAnsi="Times New Roman" w:cs="Times New Roman"/>
                <w:sz w:val="24"/>
                <w:szCs w:val="24"/>
                <w:vertAlign w:val="superscript"/>
              </w:rPr>
              <w:t>b</w:t>
            </w:r>
          </w:p>
        </w:tc>
        <w:tc>
          <w:tcPr>
            <w:tcW w:w="1998" w:type="dxa"/>
            <w:tcBorders>
              <w:top w:val="nil"/>
              <w:left w:val="nil"/>
              <w:bottom w:val="nil"/>
              <w:right w:val="nil"/>
              <w:tl2br w:val="nil"/>
              <w:tr2bl w:val="nil"/>
            </w:tcBorders>
          </w:tcPr>
          <w:p w14:paraId="39212CB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9.53</w:t>
            </w:r>
            <w:r>
              <w:rPr>
                <w:rFonts w:ascii="Times New Roman" w:eastAsia="Times New Roman" w:hAnsi="Times New Roman" w:cs="Times New Roman"/>
                <w:sz w:val="24"/>
                <w:szCs w:val="24"/>
                <w:vertAlign w:val="superscript"/>
              </w:rPr>
              <w:t>a</w:t>
            </w:r>
          </w:p>
        </w:tc>
        <w:tc>
          <w:tcPr>
            <w:tcW w:w="2202" w:type="dxa"/>
            <w:tcBorders>
              <w:top w:val="nil"/>
              <w:left w:val="nil"/>
              <w:bottom w:val="nil"/>
              <w:right w:val="nil"/>
              <w:tl2br w:val="nil"/>
              <w:tr2bl w:val="nil"/>
            </w:tcBorders>
          </w:tcPr>
          <w:p w14:paraId="48BD8BAD"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11.27</w:t>
            </w:r>
            <w:r>
              <w:rPr>
                <w:rFonts w:ascii="Times New Roman" w:eastAsia="Times New Roman" w:hAnsi="Times New Roman" w:cs="Times New Roman"/>
                <w:sz w:val="24"/>
                <w:szCs w:val="24"/>
                <w:vertAlign w:val="superscript"/>
              </w:rPr>
              <w:t>a</w:t>
            </w:r>
          </w:p>
        </w:tc>
      </w:tr>
      <w:tr w:rsidR="0091698C" w14:paraId="0B6F2D63" w14:textId="77777777">
        <w:tc>
          <w:tcPr>
            <w:tcW w:w="2194" w:type="dxa"/>
            <w:tcBorders>
              <w:top w:val="nil"/>
              <w:left w:val="nil"/>
              <w:bottom w:val="single" w:sz="10" w:space="0" w:color="000000"/>
              <w:right w:val="nil"/>
              <w:tl2br w:val="nil"/>
              <w:tr2bl w:val="nil"/>
            </w:tcBorders>
          </w:tcPr>
          <w:p w14:paraId="78D91C3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p w14:paraId="3C1C4DB6" w14:textId="77777777" w:rsidR="0091698C" w:rsidRDefault="0091698C">
            <w:pPr>
              <w:spacing w:line="240" w:lineRule="auto"/>
              <w:rPr>
                <w:rFonts w:ascii="Times New Roman" w:eastAsia="Times New Roman" w:hAnsi="Times New Roman" w:cs="Times New Roman"/>
                <w:sz w:val="24"/>
                <w:szCs w:val="24"/>
              </w:rPr>
            </w:pPr>
          </w:p>
        </w:tc>
        <w:tc>
          <w:tcPr>
            <w:tcW w:w="1923" w:type="dxa"/>
            <w:tcBorders>
              <w:top w:val="nil"/>
              <w:left w:val="nil"/>
              <w:bottom w:val="single" w:sz="10" w:space="0" w:color="000000"/>
              <w:right w:val="nil"/>
              <w:tl2br w:val="nil"/>
              <w:tr2bl w:val="nil"/>
            </w:tcBorders>
          </w:tcPr>
          <w:p w14:paraId="24DE0FF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28.00</w:t>
            </w:r>
            <w:r>
              <w:rPr>
                <w:rFonts w:ascii="Times New Roman" w:eastAsia="Times New Roman" w:hAnsi="Times New Roman" w:cs="Times New Roman"/>
                <w:sz w:val="24"/>
                <w:szCs w:val="24"/>
                <w:vertAlign w:val="superscript"/>
              </w:rPr>
              <w:t xml:space="preserve">ab </w:t>
            </w:r>
          </w:p>
        </w:tc>
        <w:tc>
          <w:tcPr>
            <w:tcW w:w="1754" w:type="dxa"/>
            <w:tcBorders>
              <w:top w:val="nil"/>
              <w:left w:val="nil"/>
              <w:bottom w:val="single" w:sz="10" w:space="0" w:color="000000"/>
              <w:right w:val="nil"/>
              <w:tl2br w:val="nil"/>
              <w:tr2bl w:val="nil"/>
            </w:tcBorders>
          </w:tcPr>
          <w:p w14:paraId="7617503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38.67</w:t>
            </w:r>
            <w:r>
              <w:rPr>
                <w:rFonts w:ascii="Times New Roman" w:eastAsia="Times New Roman" w:hAnsi="Times New Roman" w:cs="Times New Roman"/>
                <w:sz w:val="24"/>
                <w:szCs w:val="24"/>
                <w:vertAlign w:val="superscript"/>
              </w:rPr>
              <w:t xml:space="preserve">ab </w:t>
            </w:r>
          </w:p>
        </w:tc>
        <w:tc>
          <w:tcPr>
            <w:tcW w:w="1998" w:type="dxa"/>
            <w:tcBorders>
              <w:top w:val="nil"/>
              <w:left w:val="nil"/>
              <w:bottom w:val="single" w:sz="10" w:space="0" w:color="000000"/>
              <w:right w:val="nil"/>
              <w:tl2br w:val="nil"/>
              <w:tr2bl w:val="nil"/>
            </w:tcBorders>
          </w:tcPr>
          <w:p w14:paraId="776C635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9.30</w:t>
            </w:r>
            <w:r>
              <w:rPr>
                <w:rFonts w:ascii="Times New Roman" w:eastAsia="Times New Roman" w:hAnsi="Times New Roman" w:cs="Times New Roman"/>
                <w:sz w:val="24"/>
                <w:szCs w:val="24"/>
                <w:vertAlign w:val="superscript"/>
              </w:rPr>
              <w:t>a</w:t>
            </w:r>
          </w:p>
        </w:tc>
        <w:tc>
          <w:tcPr>
            <w:tcW w:w="2202" w:type="dxa"/>
            <w:tcBorders>
              <w:top w:val="nil"/>
              <w:left w:val="nil"/>
              <w:bottom w:val="single" w:sz="10" w:space="0" w:color="000000"/>
              <w:right w:val="nil"/>
              <w:tl2br w:val="nil"/>
              <w:tr2bl w:val="nil"/>
            </w:tcBorders>
          </w:tcPr>
          <w:p w14:paraId="142C8822"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r>
              <w:rPr>
                <w:rFonts w:ascii="Times New Roman" w:eastAsia="Times New Roman" w:hAnsi="Times New Roman" w:cs="Times New Roman"/>
                <w:sz w:val="24"/>
                <w:szCs w:val="24"/>
                <w:vertAlign w:val="superscript"/>
              </w:rPr>
              <w:t>ab</w:t>
            </w:r>
          </w:p>
        </w:tc>
      </w:tr>
    </w:tbl>
    <w:p w14:paraId="432CE8CF" w14:textId="77777777" w:rsidR="0091698C" w:rsidRDefault="005704CE">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Means having the same letter(s) are not significantly different at 5% according to Duncan’s New Multiple Range Test.</w:t>
      </w:r>
    </w:p>
    <w:p w14:paraId="2CEC2FBB" w14:textId="77777777" w:rsidR="0091698C" w:rsidRDefault="005704CE">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Key:</w:t>
      </w:r>
    </w:p>
    <w:p w14:paraId="7BEFED4D" w14:textId="77777777"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0mLFP/15Lwater:  0ml of Foliar Plus in 15 litres </w:t>
      </w:r>
      <w:r>
        <w:rPr>
          <w:rFonts w:ascii="Times New Roman" w:eastAsia="Times New Roman" w:hAnsi="Times New Roman" w:cs="Times New Roman"/>
          <w:sz w:val="26"/>
          <w:szCs w:val="26"/>
        </w:rPr>
        <w:t>of water (control)</w:t>
      </w:r>
    </w:p>
    <w:p w14:paraId="3E6F910B" w14:textId="77777777"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120mLFP/15Lwater:  120ml of Foliar Plus in 15 litres of water</w:t>
      </w:r>
    </w:p>
    <w:p w14:paraId="591C2664" w14:textId="77777777"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140mLFP/15Lwater:  140ml of Foliar Plus in 15 litres of water</w:t>
      </w:r>
    </w:p>
    <w:p w14:paraId="27F9AA8A" w14:textId="77777777" w:rsidR="0091698C" w:rsidRDefault="005704CE">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160mLFP/15Lwater:  160ml of Foliar Plus in 15 litres of water</w:t>
      </w:r>
    </w:p>
    <w:p w14:paraId="30102C4D" w14:textId="77777777" w:rsidR="0091698C" w:rsidRDefault="0091698C">
      <w:pPr>
        <w:spacing w:line="360" w:lineRule="auto"/>
      </w:pPr>
    </w:p>
    <w:p w14:paraId="77805A57"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Leaf Area Index (LAI)</w:t>
      </w:r>
      <w:r>
        <w:rPr>
          <w:rFonts w:ascii="Times New Roman" w:eastAsia="Times New Roman" w:hAnsi="Times New Roman" w:cs="Times New Roman"/>
          <w:i/>
          <w:sz w:val="28"/>
          <w:szCs w:val="28"/>
        </w:rPr>
        <w:t xml:space="preserve"> at 4WAP (1st harvest) and 6WAP (2nd harvest)</w:t>
      </w:r>
    </w:p>
    <w:p w14:paraId="1216A9AE"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the 1st LAI, 0.65, 0.54, 0.63 and 0.58 were statistically (p≥0.05) the same as produced by different levels of the treatment (0ml, 120ml, 140ml and 160ml) each in 15L of water. The treatment, 0mlFP/15Lwater </w:t>
      </w:r>
      <w:r>
        <w:rPr>
          <w:rFonts w:ascii="Times New Roman" w:eastAsia="Times New Roman" w:hAnsi="Times New Roman" w:cs="Times New Roman"/>
          <w:sz w:val="28"/>
          <w:szCs w:val="28"/>
        </w:rPr>
        <w:t>produced the highest value (0.65) whereas 120mlFP/15Lwater produced the lowest value (0.54).</w:t>
      </w:r>
    </w:p>
    <w:p w14:paraId="0A78253F" w14:textId="77965D93"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Again, at 6WAP, the control gave the greatest LAI value (0.62) as 120mlFP/15Lwater recorded the lowest (0.45). However, there were statistical (p≥0.05) similaritie</w:t>
      </w:r>
      <w:r>
        <w:rPr>
          <w:rFonts w:ascii="Times New Roman" w:eastAsia="Times New Roman" w:hAnsi="Times New Roman" w:cs="Times New Roman"/>
          <w:sz w:val="28"/>
          <w:szCs w:val="28"/>
        </w:rPr>
        <w:t xml:space="preserve">s among the treatment means, including 0.49 and 0.50 obtained from 140mlFP/15Lwater and 160mlFP/15Lwater respectively (table </w:t>
      </w:r>
      <w:r w:rsidR="00442DBE">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14:paraId="3E399BBB" w14:textId="76154B3D" w:rsidR="0091698C" w:rsidRDefault="005704C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442DB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Effect of Foliar Plus on the crop dry weight at 4WAP, crop dry weight at 6WAP, leaf area index (LAI) at 5WAP (1st harves</w:t>
      </w:r>
      <w:r>
        <w:rPr>
          <w:rFonts w:ascii="Times New Roman" w:eastAsia="Times New Roman" w:hAnsi="Times New Roman" w:cs="Times New Roman"/>
          <w:b/>
          <w:sz w:val="24"/>
          <w:szCs w:val="24"/>
        </w:rPr>
        <w:t>t) and 6WAP (2nd harvest)</w:t>
      </w:r>
    </w:p>
    <w:tbl>
      <w:tblPr>
        <w:tblStyle w:val="TableGrid"/>
        <w:tblW w:w="9775" w:type="dxa"/>
        <w:tblLayout w:type="fixed"/>
        <w:tblLook w:val="04A0" w:firstRow="1" w:lastRow="0" w:firstColumn="1" w:lastColumn="0" w:noHBand="0" w:noVBand="1"/>
      </w:tblPr>
      <w:tblGrid>
        <w:gridCol w:w="2154"/>
        <w:gridCol w:w="1867"/>
        <w:gridCol w:w="1965"/>
        <w:gridCol w:w="1880"/>
        <w:gridCol w:w="1909"/>
      </w:tblGrid>
      <w:tr w:rsidR="0091698C" w14:paraId="6E50C0CC" w14:textId="77777777">
        <w:tc>
          <w:tcPr>
            <w:tcW w:w="2154" w:type="dxa"/>
            <w:tcBorders>
              <w:top w:val="single" w:sz="10" w:space="0" w:color="000000"/>
              <w:left w:val="nil"/>
              <w:bottom w:val="single" w:sz="10" w:space="0" w:color="000000"/>
              <w:right w:val="nil"/>
              <w:tl2br w:val="nil"/>
              <w:tr2bl w:val="nil"/>
            </w:tcBorders>
          </w:tcPr>
          <w:p w14:paraId="4318377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14:paraId="1314A49A" w14:textId="77777777" w:rsidR="0091698C" w:rsidRDefault="0091698C">
            <w:pPr>
              <w:spacing w:line="240" w:lineRule="auto"/>
              <w:rPr>
                <w:rFonts w:ascii="Times New Roman" w:eastAsia="Times New Roman" w:hAnsi="Times New Roman" w:cs="Times New Roman"/>
                <w:sz w:val="24"/>
                <w:szCs w:val="24"/>
              </w:rPr>
            </w:pPr>
          </w:p>
        </w:tc>
        <w:tc>
          <w:tcPr>
            <w:tcW w:w="1867" w:type="dxa"/>
            <w:tcBorders>
              <w:top w:val="single" w:sz="10" w:space="0" w:color="000000"/>
              <w:left w:val="nil"/>
              <w:bottom w:val="single" w:sz="10" w:space="0" w:color="000000"/>
              <w:right w:val="nil"/>
              <w:tl2br w:val="nil"/>
              <w:tr2bl w:val="nil"/>
            </w:tcBorders>
          </w:tcPr>
          <w:p w14:paraId="19FB6FA8" w14:textId="77777777" w:rsidR="0091698C" w:rsidRDefault="005704CE">
            <w:pPr>
              <w:spacing w:line="240" w:lineRule="auto"/>
              <w:rPr>
                <w:rFonts w:ascii="Times New Roman" w:eastAsia="Times New Roman" w:hAnsi="Times New Roman" w:cs="Times New Roman"/>
              </w:rPr>
            </w:pPr>
            <w:r>
              <w:rPr>
                <w:rFonts w:ascii="Times New Roman" w:eastAsia="Times New Roman" w:hAnsi="Times New Roman" w:cs="Times New Roman"/>
              </w:rPr>
              <w:t xml:space="preserve">Crop Dry Weight </w:t>
            </w:r>
          </w:p>
          <w:p w14:paraId="5DF72CFD"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 </w:t>
            </w:r>
          </w:p>
          <w:p w14:paraId="6E85BF2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65" w:type="dxa"/>
            <w:tcBorders>
              <w:top w:val="single" w:sz="10" w:space="0" w:color="000000"/>
              <w:left w:val="nil"/>
              <w:bottom w:val="single" w:sz="10" w:space="0" w:color="000000"/>
              <w:right w:val="nil"/>
              <w:tl2br w:val="nil"/>
              <w:tr2bl w:val="nil"/>
            </w:tcBorders>
          </w:tcPr>
          <w:p w14:paraId="1C02FB7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Crop Dry Weight </w:t>
            </w:r>
          </w:p>
          <w:p w14:paraId="39758BA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(CDW)(g)</w:t>
            </w:r>
          </w:p>
          <w:p w14:paraId="6D7B387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  </w:t>
            </w:r>
          </w:p>
        </w:tc>
        <w:tc>
          <w:tcPr>
            <w:tcW w:w="1880" w:type="dxa"/>
            <w:tcBorders>
              <w:top w:val="single" w:sz="10" w:space="0" w:color="000000"/>
              <w:left w:val="nil"/>
              <w:bottom w:val="single" w:sz="10" w:space="0" w:color="000000"/>
              <w:right w:val="nil"/>
              <w:tl2br w:val="nil"/>
              <w:tr2bl w:val="nil"/>
            </w:tcBorders>
          </w:tcPr>
          <w:p w14:paraId="2B32334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 Area Index</w:t>
            </w:r>
          </w:p>
          <w:p w14:paraId="3FE602F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14:paraId="760D4F5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4WAP</w:t>
            </w:r>
          </w:p>
        </w:tc>
        <w:tc>
          <w:tcPr>
            <w:tcW w:w="1909" w:type="dxa"/>
            <w:tcBorders>
              <w:top w:val="single" w:sz="10" w:space="0" w:color="000000"/>
              <w:left w:val="nil"/>
              <w:bottom w:val="single" w:sz="10" w:space="0" w:color="000000"/>
              <w:right w:val="nil"/>
              <w:tl2br w:val="nil"/>
              <w:tr2bl w:val="nil"/>
            </w:tcBorders>
          </w:tcPr>
          <w:p w14:paraId="77AAB07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Leaf Area Index</w:t>
            </w:r>
          </w:p>
          <w:p w14:paraId="6A40FE6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(LAI)</w:t>
            </w:r>
          </w:p>
          <w:p w14:paraId="5A6BA2C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6WAP</w:t>
            </w:r>
          </w:p>
        </w:tc>
      </w:tr>
      <w:tr w:rsidR="0091698C" w14:paraId="2047D5E5" w14:textId="77777777">
        <w:tc>
          <w:tcPr>
            <w:tcW w:w="2154" w:type="dxa"/>
            <w:tcBorders>
              <w:top w:val="single" w:sz="10" w:space="0" w:color="000000"/>
              <w:left w:val="nil"/>
              <w:bottom w:val="nil"/>
              <w:right w:val="nil"/>
              <w:tl2br w:val="nil"/>
              <w:tr2bl w:val="nil"/>
            </w:tcBorders>
          </w:tcPr>
          <w:p w14:paraId="2B0152C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tc>
        <w:tc>
          <w:tcPr>
            <w:tcW w:w="1867" w:type="dxa"/>
            <w:tcBorders>
              <w:top w:val="single" w:sz="10" w:space="0" w:color="000000"/>
              <w:left w:val="nil"/>
              <w:bottom w:val="nil"/>
              <w:right w:val="nil"/>
              <w:tl2br w:val="nil"/>
              <w:tr2bl w:val="nil"/>
            </w:tcBorders>
          </w:tcPr>
          <w:p w14:paraId="6CD0D808"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18.20</w:t>
            </w:r>
            <w:r>
              <w:rPr>
                <w:rFonts w:ascii="Times New Roman" w:eastAsia="Times New Roman" w:hAnsi="Times New Roman" w:cs="Times New Roman"/>
                <w:sz w:val="24"/>
                <w:szCs w:val="24"/>
                <w:vertAlign w:val="superscript"/>
              </w:rPr>
              <w:t>a</w:t>
            </w:r>
          </w:p>
        </w:tc>
        <w:tc>
          <w:tcPr>
            <w:tcW w:w="1965" w:type="dxa"/>
            <w:tcBorders>
              <w:top w:val="single" w:sz="10" w:space="0" w:color="000000"/>
              <w:left w:val="nil"/>
              <w:bottom w:val="nil"/>
              <w:right w:val="nil"/>
              <w:tl2br w:val="nil"/>
              <w:tr2bl w:val="nil"/>
            </w:tcBorders>
          </w:tcPr>
          <w:p w14:paraId="22FC98E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23.27</w:t>
            </w:r>
            <w:r>
              <w:rPr>
                <w:rFonts w:ascii="Times New Roman" w:eastAsia="Times New Roman" w:hAnsi="Times New Roman" w:cs="Times New Roman"/>
                <w:sz w:val="24"/>
                <w:szCs w:val="24"/>
                <w:vertAlign w:val="superscript"/>
              </w:rPr>
              <w:t>a</w:t>
            </w:r>
          </w:p>
        </w:tc>
        <w:tc>
          <w:tcPr>
            <w:tcW w:w="1880" w:type="dxa"/>
            <w:tcBorders>
              <w:top w:val="single" w:sz="10" w:space="0" w:color="000000"/>
              <w:left w:val="nil"/>
              <w:bottom w:val="nil"/>
              <w:right w:val="nil"/>
              <w:tl2br w:val="nil"/>
              <w:tr2bl w:val="nil"/>
            </w:tcBorders>
          </w:tcPr>
          <w:p w14:paraId="4F82A24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0.65</w:t>
            </w:r>
            <w:r>
              <w:rPr>
                <w:rFonts w:ascii="Times New Roman" w:eastAsia="Times New Roman" w:hAnsi="Times New Roman" w:cs="Times New Roman"/>
                <w:sz w:val="24"/>
                <w:szCs w:val="24"/>
                <w:vertAlign w:val="superscript"/>
              </w:rPr>
              <w:t>a</w:t>
            </w:r>
          </w:p>
        </w:tc>
        <w:tc>
          <w:tcPr>
            <w:tcW w:w="1909" w:type="dxa"/>
            <w:tcBorders>
              <w:top w:val="single" w:sz="10" w:space="0" w:color="000000"/>
              <w:left w:val="nil"/>
              <w:bottom w:val="nil"/>
              <w:right w:val="nil"/>
              <w:tl2br w:val="nil"/>
              <w:tr2bl w:val="nil"/>
            </w:tcBorders>
          </w:tcPr>
          <w:p w14:paraId="61980E6D"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0.62</w:t>
            </w:r>
            <w:r>
              <w:rPr>
                <w:rFonts w:ascii="Times New Roman" w:eastAsia="Times New Roman" w:hAnsi="Times New Roman" w:cs="Times New Roman"/>
                <w:sz w:val="24"/>
                <w:szCs w:val="24"/>
                <w:vertAlign w:val="superscript"/>
              </w:rPr>
              <w:t>a</w:t>
            </w:r>
          </w:p>
          <w:p w14:paraId="216E51E1" w14:textId="77777777" w:rsidR="0091698C" w:rsidRDefault="0091698C">
            <w:pPr>
              <w:spacing w:line="240" w:lineRule="auto"/>
              <w:rPr>
                <w:rFonts w:ascii="Times New Roman" w:eastAsia="Times New Roman" w:hAnsi="Times New Roman" w:cs="Times New Roman"/>
                <w:sz w:val="24"/>
                <w:szCs w:val="24"/>
              </w:rPr>
            </w:pPr>
          </w:p>
        </w:tc>
      </w:tr>
      <w:tr w:rsidR="0091698C" w14:paraId="68F674D2" w14:textId="77777777">
        <w:tc>
          <w:tcPr>
            <w:tcW w:w="2154" w:type="dxa"/>
            <w:tcBorders>
              <w:top w:val="nil"/>
              <w:left w:val="nil"/>
              <w:bottom w:val="nil"/>
              <w:right w:val="nil"/>
              <w:tl2br w:val="nil"/>
              <w:tr2bl w:val="nil"/>
            </w:tcBorders>
          </w:tcPr>
          <w:p w14:paraId="7EE56BA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tc>
        <w:tc>
          <w:tcPr>
            <w:tcW w:w="1867" w:type="dxa"/>
            <w:tcBorders>
              <w:top w:val="nil"/>
              <w:left w:val="nil"/>
              <w:bottom w:val="nil"/>
              <w:right w:val="nil"/>
              <w:tl2br w:val="nil"/>
              <w:tr2bl w:val="nil"/>
            </w:tcBorders>
          </w:tcPr>
          <w:p w14:paraId="42601872"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18.03</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14:paraId="7B96B68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34.70</w:t>
            </w:r>
            <w:r>
              <w:rPr>
                <w:rFonts w:ascii="Times New Roman" w:eastAsia="Times New Roman" w:hAnsi="Times New Roman" w:cs="Times New Roman"/>
                <w:sz w:val="24"/>
                <w:szCs w:val="24"/>
                <w:vertAlign w:val="superscript"/>
              </w:rPr>
              <w:t>a</w:t>
            </w:r>
          </w:p>
        </w:tc>
        <w:tc>
          <w:tcPr>
            <w:tcW w:w="1880" w:type="dxa"/>
            <w:tcBorders>
              <w:top w:val="nil"/>
              <w:left w:val="nil"/>
              <w:bottom w:val="nil"/>
              <w:right w:val="nil"/>
              <w:tl2br w:val="nil"/>
              <w:tr2bl w:val="nil"/>
            </w:tcBorders>
          </w:tcPr>
          <w:p w14:paraId="5FE59FE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0.54</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14:paraId="07343DC2"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0.45</w:t>
            </w:r>
            <w:r>
              <w:rPr>
                <w:rFonts w:ascii="Times New Roman" w:eastAsia="Times New Roman" w:hAnsi="Times New Roman" w:cs="Times New Roman"/>
                <w:sz w:val="24"/>
                <w:szCs w:val="24"/>
                <w:vertAlign w:val="superscript"/>
              </w:rPr>
              <w:t>a</w:t>
            </w:r>
          </w:p>
          <w:p w14:paraId="7A31F0F9" w14:textId="77777777" w:rsidR="0091698C" w:rsidRDefault="0091698C">
            <w:pPr>
              <w:spacing w:line="240" w:lineRule="auto"/>
              <w:rPr>
                <w:rFonts w:ascii="Times New Roman" w:eastAsia="Times New Roman" w:hAnsi="Times New Roman" w:cs="Times New Roman"/>
                <w:sz w:val="24"/>
                <w:szCs w:val="24"/>
              </w:rPr>
            </w:pPr>
          </w:p>
        </w:tc>
      </w:tr>
      <w:tr w:rsidR="0091698C" w14:paraId="181138C7" w14:textId="77777777">
        <w:tc>
          <w:tcPr>
            <w:tcW w:w="2154" w:type="dxa"/>
            <w:tcBorders>
              <w:top w:val="nil"/>
              <w:left w:val="nil"/>
              <w:bottom w:val="nil"/>
              <w:right w:val="nil"/>
              <w:tl2br w:val="nil"/>
              <w:tr2bl w:val="nil"/>
            </w:tcBorders>
          </w:tcPr>
          <w:p w14:paraId="51EC799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tc>
        <w:tc>
          <w:tcPr>
            <w:tcW w:w="1867" w:type="dxa"/>
            <w:tcBorders>
              <w:top w:val="nil"/>
              <w:left w:val="nil"/>
              <w:bottom w:val="nil"/>
              <w:right w:val="nil"/>
              <w:tl2br w:val="nil"/>
              <w:tr2bl w:val="nil"/>
            </w:tcBorders>
          </w:tcPr>
          <w:p w14:paraId="7800DBB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29.30</w:t>
            </w:r>
            <w:r>
              <w:rPr>
                <w:rFonts w:ascii="Times New Roman" w:eastAsia="Times New Roman" w:hAnsi="Times New Roman" w:cs="Times New Roman"/>
                <w:sz w:val="24"/>
                <w:szCs w:val="24"/>
                <w:vertAlign w:val="superscript"/>
              </w:rPr>
              <w:t>a</w:t>
            </w:r>
          </w:p>
        </w:tc>
        <w:tc>
          <w:tcPr>
            <w:tcW w:w="1965" w:type="dxa"/>
            <w:tcBorders>
              <w:top w:val="nil"/>
              <w:left w:val="nil"/>
              <w:bottom w:val="nil"/>
              <w:right w:val="nil"/>
              <w:tl2br w:val="nil"/>
              <w:tr2bl w:val="nil"/>
            </w:tcBorders>
          </w:tcPr>
          <w:p w14:paraId="53F9B0C1"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35.83</w:t>
            </w:r>
            <w:r>
              <w:rPr>
                <w:rFonts w:ascii="Times New Roman" w:eastAsia="Times New Roman" w:hAnsi="Times New Roman" w:cs="Times New Roman"/>
                <w:sz w:val="24"/>
                <w:szCs w:val="24"/>
                <w:vertAlign w:val="superscript"/>
              </w:rPr>
              <w:t>a</w:t>
            </w:r>
          </w:p>
          <w:p w14:paraId="2CFEBBA6" w14:textId="77777777" w:rsidR="0091698C" w:rsidRDefault="0091698C">
            <w:pPr>
              <w:spacing w:line="240" w:lineRule="auto"/>
              <w:rPr>
                <w:rFonts w:ascii="Times New Roman" w:eastAsia="Times New Roman" w:hAnsi="Times New Roman" w:cs="Times New Roman"/>
                <w:sz w:val="24"/>
                <w:szCs w:val="24"/>
              </w:rPr>
            </w:pPr>
          </w:p>
        </w:tc>
        <w:tc>
          <w:tcPr>
            <w:tcW w:w="1880" w:type="dxa"/>
            <w:tcBorders>
              <w:top w:val="nil"/>
              <w:left w:val="nil"/>
              <w:bottom w:val="nil"/>
              <w:right w:val="nil"/>
              <w:tl2br w:val="nil"/>
              <w:tr2bl w:val="nil"/>
            </w:tcBorders>
          </w:tcPr>
          <w:p w14:paraId="4371997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0.63</w:t>
            </w:r>
            <w:r>
              <w:rPr>
                <w:rFonts w:ascii="Times New Roman" w:eastAsia="Times New Roman" w:hAnsi="Times New Roman" w:cs="Times New Roman"/>
                <w:sz w:val="24"/>
                <w:szCs w:val="24"/>
                <w:vertAlign w:val="superscript"/>
              </w:rPr>
              <w:t>a</w:t>
            </w:r>
          </w:p>
        </w:tc>
        <w:tc>
          <w:tcPr>
            <w:tcW w:w="1909" w:type="dxa"/>
            <w:tcBorders>
              <w:top w:val="nil"/>
              <w:left w:val="nil"/>
              <w:bottom w:val="nil"/>
              <w:right w:val="nil"/>
              <w:tl2br w:val="nil"/>
              <w:tr2bl w:val="nil"/>
            </w:tcBorders>
          </w:tcPr>
          <w:p w14:paraId="7819FD2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0.49</w:t>
            </w:r>
            <w:r>
              <w:rPr>
                <w:rFonts w:ascii="Times New Roman" w:eastAsia="Times New Roman" w:hAnsi="Times New Roman" w:cs="Times New Roman"/>
                <w:sz w:val="24"/>
                <w:szCs w:val="24"/>
                <w:vertAlign w:val="superscript"/>
              </w:rPr>
              <w:t>a</w:t>
            </w:r>
          </w:p>
        </w:tc>
      </w:tr>
      <w:tr w:rsidR="0091698C" w14:paraId="2442C106" w14:textId="77777777">
        <w:tc>
          <w:tcPr>
            <w:tcW w:w="2154" w:type="dxa"/>
            <w:tcBorders>
              <w:top w:val="nil"/>
              <w:left w:val="nil"/>
              <w:bottom w:val="single" w:sz="10" w:space="0" w:color="000000"/>
              <w:right w:val="nil"/>
              <w:tl2br w:val="nil"/>
              <w:tr2bl w:val="nil"/>
            </w:tcBorders>
          </w:tcPr>
          <w:p w14:paraId="67BBF6F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867" w:type="dxa"/>
            <w:tcBorders>
              <w:top w:val="nil"/>
              <w:left w:val="nil"/>
              <w:bottom w:val="single" w:sz="10" w:space="0" w:color="000000"/>
              <w:right w:val="nil"/>
              <w:tl2br w:val="nil"/>
              <w:tr2bl w:val="nil"/>
            </w:tcBorders>
          </w:tcPr>
          <w:p w14:paraId="30FD74C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28.87</w:t>
            </w:r>
            <w:r>
              <w:rPr>
                <w:rFonts w:ascii="Times New Roman" w:eastAsia="Times New Roman" w:hAnsi="Times New Roman" w:cs="Times New Roman"/>
                <w:sz w:val="24"/>
                <w:szCs w:val="24"/>
                <w:vertAlign w:val="superscript"/>
              </w:rPr>
              <w:t>a</w:t>
            </w:r>
          </w:p>
        </w:tc>
        <w:tc>
          <w:tcPr>
            <w:tcW w:w="1965" w:type="dxa"/>
            <w:tcBorders>
              <w:top w:val="nil"/>
              <w:left w:val="nil"/>
              <w:bottom w:val="single" w:sz="10" w:space="0" w:color="000000"/>
              <w:right w:val="nil"/>
              <w:tl2br w:val="nil"/>
              <w:tr2bl w:val="nil"/>
            </w:tcBorders>
          </w:tcPr>
          <w:p w14:paraId="067618D1" w14:textId="77777777" w:rsidR="0091698C" w:rsidRDefault="005704CE">
            <w:pPr>
              <w:spacing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30.83</w:t>
            </w:r>
            <w:r>
              <w:rPr>
                <w:rFonts w:ascii="Times New Roman" w:eastAsia="Times New Roman" w:hAnsi="Times New Roman" w:cs="Times New Roman"/>
                <w:sz w:val="24"/>
                <w:szCs w:val="24"/>
                <w:vertAlign w:val="superscript"/>
              </w:rPr>
              <w:t>a</w:t>
            </w:r>
          </w:p>
        </w:tc>
        <w:tc>
          <w:tcPr>
            <w:tcW w:w="1880" w:type="dxa"/>
            <w:tcBorders>
              <w:top w:val="nil"/>
              <w:left w:val="nil"/>
              <w:bottom w:val="single" w:sz="10" w:space="0" w:color="000000"/>
              <w:right w:val="nil"/>
              <w:tl2br w:val="nil"/>
              <w:tr2bl w:val="nil"/>
            </w:tcBorders>
          </w:tcPr>
          <w:p w14:paraId="7BA2BC9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0.58</w:t>
            </w:r>
            <w:r>
              <w:rPr>
                <w:rFonts w:ascii="Times New Roman" w:eastAsia="Times New Roman" w:hAnsi="Times New Roman" w:cs="Times New Roman"/>
                <w:sz w:val="24"/>
                <w:szCs w:val="24"/>
                <w:vertAlign w:val="superscript"/>
              </w:rPr>
              <w:t>a</w:t>
            </w:r>
          </w:p>
        </w:tc>
        <w:tc>
          <w:tcPr>
            <w:tcW w:w="1909" w:type="dxa"/>
            <w:tcBorders>
              <w:top w:val="nil"/>
              <w:left w:val="nil"/>
              <w:bottom w:val="single" w:sz="10" w:space="0" w:color="000000"/>
              <w:right w:val="nil"/>
              <w:tl2br w:val="nil"/>
              <w:tr2bl w:val="nil"/>
            </w:tcBorders>
          </w:tcPr>
          <w:p w14:paraId="2D294B8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0.50</w:t>
            </w:r>
            <w:r>
              <w:rPr>
                <w:rFonts w:ascii="Times New Roman" w:eastAsia="Times New Roman" w:hAnsi="Times New Roman" w:cs="Times New Roman"/>
                <w:sz w:val="24"/>
                <w:szCs w:val="24"/>
                <w:vertAlign w:val="superscript"/>
              </w:rPr>
              <w:t>a</w:t>
            </w:r>
          </w:p>
        </w:tc>
      </w:tr>
    </w:tbl>
    <w:p w14:paraId="2FF3D44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24"/>
          <w:szCs w:val="24"/>
        </w:rPr>
        <w:t xml:space="preserve">Means having the same letter(s) are not significantly different at 5% probability </w:t>
      </w:r>
      <w:r>
        <w:rPr>
          <w:rFonts w:ascii="Times New Roman" w:eastAsia="Times New Roman" w:hAnsi="Times New Roman" w:cs="Times New Roman"/>
          <w:sz w:val="24"/>
          <w:szCs w:val="24"/>
        </w:rPr>
        <w:t>according to Duncan's New Range Test.</w:t>
      </w:r>
    </w:p>
    <w:p w14:paraId="3822899F" w14:textId="77777777" w:rsidR="0091698C" w:rsidRDefault="0091698C"/>
    <w:p w14:paraId="20066198"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Net Assimilation Rate (NAR)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 xml:space="preserve">/day) </w:t>
      </w:r>
    </w:p>
    <w:p w14:paraId="2FDACCFA" w14:textId="20C28AE1"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shows that the value, 7.84g/m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/day of NAR, which was produced by 140FP/15Lwater was the highest, but statistically (p≥0.05) the same with </w:t>
      </w:r>
      <w:r>
        <w:rPr>
          <w:rFonts w:ascii="Times New Roman" w:eastAsia="Times New Roman" w:hAnsi="Times New Roman" w:cs="Times New Roman"/>
          <w:sz w:val="28"/>
          <w:szCs w:val="28"/>
        </w:rPr>
        <w:t>6.42g/m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4.17g/m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2.33g/m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120mlFP/15Lwater and 160mlFP/15Lwater respectively.</w:t>
      </w:r>
    </w:p>
    <w:p w14:paraId="77F6549B"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Crop Growth Rate (CGR) of Cucumber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/day)</w:t>
      </w:r>
    </w:p>
    <w:p w14:paraId="4018AA95" w14:textId="3187B9B5"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was no significant (p≥0.05) effect of Foliar Plus o</w:t>
      </w:r>
      <w:r>
        <w:rPr>
          <w:rFonts w:ascii="Times New Roman" w:eastAsia="Times New Roman" w:hAnsi="Times New Roman" w:cs="Times New Roman"/>
          <w:sz w:val="28"/>
          <w:szCs w:val="28"/>
        </w:rPr>
        <w:t xml:space="preserve">n the CGR of cucumber as indicated by data analysis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14:paraId="0D54DBBE" w14:textId="05BBAF48"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The treatment, 120mlFP/15Lwater gave the greatest value (2.38g/m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of CGR, which was significantly (p≤0.05) different from 0.72g/m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0.28g/m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produced by 0mlFP/15Lwater and 160ml</w:t>
      </w:r>
      <w:r>
        <w:rPr>
          <w:rFonts w:ascii="Times New Roman" w:eastAsia="Times New Roman" w:hAnsi="Times New Roman" w:cs="Times New Roman"/>
          <w:sz w:val="28"/>
          <w:szCs w:val="28"/>
        </w:rPr>
        <w:t>FP/15Lwater respectively, but not significantly (p≥0.05) different from 0.93g/m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/day given by 140mlFP/15Lwater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14:paraId="0B7EB1B0" w14:textId="77777777" w:rsidR="0091698C" w:rsidRDefault="005704CE">
      <w:pPr>
        <w:spacing w:line="30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Effect of Foliar Plus on the Relative Growth Rate (RGR) of cucumber (g/m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/day)</w:t>
      </w:r>
    </w:p>
    <w:p w14:paraId="1673601E" w14:textId="7A57EF00" w:rsidR="0091698C" w:rsidRDefault="005704CE">
      <w:pPr>
        <w:spacing w:after="3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Foliar Plus effect on the RGR of cucumber was recorded </w:t>
      </w:r>
      <w:r>
        <w:rPr>
          <w:rFonts w:ascii="Times New Roman" w:eastAsia="Times New Roman" w:hAnsi="Times New Roman" w:cs="Times New Roman"/>
          <w:sz w:val="28"/>
          <w:szCs w:val="28"/>
        </w:rPr>
        <w:t xml:space="preserve">on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Different levels of Foliar Plus, 0mlFP/15Lwater, 120mlFP/15Lwater and 140mlFP/15Lwater and 160mlFP/15Lwater produced 0.154g/m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(highest value), 0.039g/m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0.013g/m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and 0.003g/m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/day (lowest value), indicating statistical similariti</w:t>
      </w:r>
      <w:r>
        <w:rPr>
          <w:rFonts w:ascii="Times New Roman" w:eastAsia="Times New Roman" w:hAnsi="Times New Roman" w:cs="Times New Roman"/>
          <w:sz w:val="28"/>
          <w:szCs w:val="28"/>
        </w:rPr>
        <w:t xml:space="preserve">es among themselves. Though 0mlFP/15Lwater got the highest value (0.154) but not significantly (p≥0.05) different from the rest (Table </w:t>
      </w:r>
      <w:r w:rsidR="00442DB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
    <w:p w14:paraId="633B14B2" w14:textId="2881E142"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Effect of foliar plus on the net assimilation rate (NAI), crop growth rate (CGR) and relative growth rate (RGR) of Cucumber</w:t>
      </w:r>
    </w:p>
    <w:tbl>
      <w:tblPr>
        <w:tblStyle w:val="TableGrid"/>
        <w:tblW w:w="9445" w:type="dxa"/>
        <w:tblLayout w:type="fixed"/>
        <w:tblLook w:val="04A0" w:firstRow="1" w:lastRow="0" w:firstColumn="1" w:lastColumn="0" w:noHBand="0" w:noVBand="1"/>
      </w:tblPr>
      <w:tblGrid>
        <w:gridCol w:w="2115"/>
        <w:gridCol w:w="2624"/>
        <w:gridCol w:w="2166"/>
        <w:gridCol w:w="2540"/>
      </w:tblGrid>
      <w:tr w:rsidR="0091698C" w14:paraId="5D896ECF" w14:textId="77777777">
        <w:tc>
          <w:tcPr>
            <w:tcW w:w="2115" w:type="dxa"/>
            <w:tcBorders>
              <w:top w:val="single" w:sz="10" w:space="0" w:color="000000"/>
              <w:left w:val="nil"/>
              <w:bottom w:val="single" w:sz="10" w:space="0" w:color="000000"/>
              <w:right w:val="nil"/>
              <w:tl2br w:val="nil"/>
              <w:tr2bl w:val="nil"/>
            </w:tcBorders>
          </w:tcPr>
          <w:p w14:paraId="6C95DA8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Treatments</w:t>
            </w:r>
          </w:p>
          <w:p w14:paraId="4BEDACDC" w14:textId="77777777" w:rsidR="0091698C" w:rsidRDefault="0091698C">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single" w:sz="10" w:space="0" w:color="000000"/>
              <w:right w:val="nil"/>
              <w:tl2br w:val="nil"/>
              <w:tr2bl w:val="nil"/>
            </w:tcBorders>
          </w:tcPr>
          <w:p w14:paraId="780D4DC2"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Net Assimilation Rate </w:t>
            </w:r>
          </w:p>
          <w:p w14:paraId="316D038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(NAI)</w:t>
            </w:r>
          </w:p>
          <w:p w14:paraId="3E2C9221"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166" w:type="dxa"/>
            <w:tcBorders>
              <w:top w:val="single" w:sz="10" w:space="0" w:color="000000"/>
              <w:left w:val="nil"/>
              <w:bottom w:val="single" w:sz="10" w:space="0" w:color="000000"/>
              <w:right w:val="nil"/>
              <w:tl2br w:val="nil"/>
              <w:tr2bl w:val="nil"/>
            </w:tcBorders>
          </w:tcPr>
          <w:p w14:paraId="4EEED82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Crop Growth Rate</w:t>
            </w:r>
          </w:p>
          <w:p w14:paraId="3BE713A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(CGR) </w:t>
            </w:r>
          </w:p>
          <w:p w14:paraId="2AEAC6F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c>
          <w:tcPr>
            <w:tcW w:w="2540" w:type="dxa"/>
            <w:tcBorders>
              <w:top w:val="single" w:sz="10" w:space="0" w:color="000000"/>
              <w:left w:val="nil"/>
              <w:bottom w:val="single" w:sz="10" w:space="0" w:color="000000"/>
              <w:right w:val="nil"/>
              <w:tl2br w:val="nil"/>
              <w:tr2bl w:val="nil"/>
            </w:tcBorders>
          </w:tcPr>
          <w:p w14:paraId="0BDEBF0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Relative Growth Rate</w:t>
            </w:r>
          </w:p>
          <w:p w14:paraId="7B53413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(RGR)</w:t>
            </w:r>
          </w:p>
          <w:p w14:paraId="43F9B45F"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/day)</w:t>
            </w:r>
          </w:p>
        </w:tc>
      </w:tr>
      <w:tr w:rsidR="0091698C" w14:paraId="31823D58" w14:textId="77777777">
        <w:tc>
          <w:tcPr>
            <w:tcW w:w="2115" w:type="dxa"/>
            <w:tcBorders>
              <w:top w:val="single" w:sz="10" w:space="0" w:color="000000"/>
              <w:left w:val="nil"/>
              <w:bottom w:val="nil"/>
              <w:right w:val="nil"/>
              <w:tl2br w:val="nil"/>
              <w:tr2bl w:val="nil"/>
            </w:tcBorders>
          </w:tcPr>
          <w:p w14:paraId="7C6CF44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0mlFP/15Lwater</w:t>
            </w:r>
          </w:p>
          <w:p w14:paraId="7AE45C5F" w14:textId="77777777" w:rsidR="0091698C" w:rsidRDefault="0091698C">
            <w:pPr>
              <w:spacing w:line="240" w:lineRule="auto"/>
              <w:rPr>
                <w:rFonts w:ascii="Times New Roman" w:eastAsia="Times New Roman" w:hAnsi="Times New Roman" w:cs="Times New Roman"/>
                <w:sz w:val="24"/>
                <w:szCs w:val="24"/>
              </w:rPr>
            </w:pPr>
          </w:p>
        </w:tc>
        <w:tc>
          <w:tcPr>
            <w:tcW w:w="2624" w:type="dxa"/>
            <w:tcBorders>
              <w:top w:val="single" w:sz="10" w:space="0" w:color="000000"/>
              <w:left w:val="nil"/>
              <w:bottom w:val="nil"/>
              <w:right w:val="nil"/>
              <w:tl2br w:val="nil"/>
              <w:tr2bl w:val="nil"/>
            </w:tcBorders>
          </w:tcPr>
          <w:p w14:paraId="25B8B03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6.42</w:t>
            </w:r>
            <w:r>
              <w:rPr>
                <w:rFonts w:ascii="Times New Roman" w:eastAsia="Times New Roman" w:hAnsi="Times New Roman" w:cs="Times New Roman"/>
                <w:sz w:val="24"/>
                <w:szCs w:val="24"/>
                <w:vertAlign w:val="superscript"/>
              </w:rPr>
              <w:t>a</w:t>
            </w:r>
          </w:p>
        </w:tc>
        <w:tc>
          <w:tcPr>
            <w:tcW w:w="2166" w:type="dxa"/>
            <w:tcBorders>
              <w:top w:val="single" w:sz="10" w:space="0" w:color="000000"/>
              <w:left w:val="nil"/>
              <w:bottom w:val="nil"/>
              <w:right w:val="nil"/>
              <w:tl2br w:val="nil"/>
              <w:tr2bl w:val="nil"/>
            </w:tcBorders>
          </w:tcPr>
          <w:p w14:paraId="394CB94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0.72</w:t>
            </w:r>
            <w:r>
              <w:rPr>
                <w:rFonts w:ascii="Times New Roman" w:eastAsia="Times New Roman" w:hAnsi="Times New Roman" w:cs="Times New Roman"/>
                <w:sz w:val="24"/>
                <w:szCs w:val="24"/>
                <w:vertAlign w:val="superscript"/>
              </w:rPr>
              <w:t>b</w:t>
            </w:r>
          </w:p>
        </w:tc>
        <w:tc>
          <w:tcPr>
            <w:tcW w:w="2540" w:type="dxa"/>
            <w:tcBorders>
              <w:top w:val="single" w:sz="10" w:space="0" w:color="000000"/>
              <w:left w:val="nil"/>
              <w:bottom w:val="nil"/>
              <w:right w:val="nil"/>
              <w:tl2br w:val="nil"/>
              <w:tr2bl w:val="nil"/>
            </w:tcBorders>
          </w:tcPr>
          <w:p w14:paraId="4F6D5C7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0.154</w:t>
            </w:r>
            <w:r>
              <w:rPr>
                <w:rFonts w:ascii="Times New Roman" w:eastAsia="Times New Roman" w:hAnsi="Times New Roman" w:cs="Times New Roman"/>
                <w:sz w:val="24"/>
                <w:szCs w:val="24"/>
                <w:vertAlign w:val="superscript"/>
              </w:rPr>
              <w:t>a</w:t>
            </w:r>
          </w:p>
        </w:tc>
      </w:tr>
      <w:tr w:rsidR="0091698C" w14:paraId="63177392" w14:textId="77777777">
        <w:tc>
          <w:tcPr>
            <w:tcW w:w="2115" w:type="dxa"/>
            <w:tcBorders>
              <w:top w:val="nil"/>
              <w:left w:val="nil"/>
              <w:bottom w:val="nil"/>
              <w:right w:val="nil"/>
              <w:tl2br w:val="nil"/>
              <w:tr2bl w:val="nil"/>
            </w:tcBorders>
          </w:tcPr>
          <w:p w14:paraId="6C781E3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14:paraId="572B846F" w14:textId="77777777" w:rsidR="0091698C" w:rsidRDefault="0091698C">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14:paraId="3B84848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4.17</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14:paraId="65DDA9C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2.38</w:t>
            </w:r>
            <w:r>
              <w:rPr>
                <w:rFonts w:ascii="Times New Roman" w:eastAsia="Times New Roman" w:hAnsi="Times New Roman" w:cs="Times New Roman"/>
                <w:sz w:val="24"/>
                <w:szCs w:val="24"/>
                <w:vertAlign w:val="superscript"/>
              </w:rPr>
              <w:t>a</w:t>
            </w:r>
          </w:p>
        </w:tc>
        <w:tc>
          <w:tcPr>
            <w:tcW w:w="2540" w:type="dxa"/>
            <w:tcBorders>
              <w:top w:val="nil"/>
              <w:left w:val="nil"/>
              <w:bottom w:val="nil"/>
              <w:right w:val="nil"/>
              <w:tl2br w:val="nil"/>
              <w:tr2bl w:val="nil"/>
            </w:tcBorders>
          </w:tcPr>
          <w:p w14:paraId="03C6221D"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0.039</w:t>
            </w:r>
            <w:r>
              <w:rPr>
                <w:rFonts w:ascii="Times New Roman" w:eastAsia="Times New Roman" w:hAnsi="Times New Roman" w:cs="Times New Roman"/>
                <w:sz w:val="24"/>
                <w:szCs w:val="24"/>
                <w:vertAlign w:val="superscript"/>
              </w:rPr>
              <w:t>a</w:t>
            </w:r>
          </w:p>
        </w:tc>
      </w:tr>
      <w:tr w:rsidR="0091698C" w14:paraId="45394A7F" w14:textId="77777777">
        <w:tc>
          <w:tcPr>
            <w:tcW w:w="2115" w:type="dxa"/>
            <w:tcBorders>
              <w:top w:val="nil"/>
              <w:left w:val="nil"/>
              <w:bottom w:val="nil"/>
              <w:right w:val="nil"/>
              <w:tl2br w:val="nil"/>
              <w:tr2bl w:val="nil"/>
            </w:tcBorders>
          </w:tcPr>
          <w:p w14:paraId="15B99B5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14:paraId="0C89BA71" w14:textId="77777777" w:rsidR="0091698C" w:rsidRDefault="0091698C">
            <w:pPr>
              <w:spacing w:line="240" w:lineRule="auto"/>
              <w:rPr>
                <w:rFonts w:ascii="Times New Roman" w:eastAsia="Times New Roman" w:hAnsi="Times New Roman" w:cs="Times New Roman"/>
                <w:sz w:val="24"/>
                <w:szCs w:val="24"/>
              </w:rPr>
            </w:pPr>
          </w:p>
        </w:tc>
        <w:tc>
          <w:tcPr>
            <w:tcW w:w="2624" w:type="dxa"/>
            <w:tcBorders>
              <w:top w:val="nil"/>
              <w:left w:val="nil"/>
              <w:bottom w:val="nil"/>
              <w:right w:val="nil"/>
              <w:tl2br w:val="nil"/>
              <w:tr2bl w:val="nil"/>
            </w:tcBorders>
          </w:tcPr>
          <w:p w14:paraId="1AC2465D"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7.84</w:t>
            </w:r>
            <w:r>
              <w:rPr>
                <w:rFonts w:ascii="Times New Roman" w:eastAsia="Times New Roman" w:hAnsi="Times New Roman" w:cs="Times New Roman"/>
                <w:sz w:val="24"/>
                <w:szCs w:val="24"/>
                <w:vertAlign w:val="superscript"/>
              </w:rPr>
              <w:t>a</w:t>
            </w:r>
          </w:p>
        </w:tc>
        <w:tc>
          <w:tcPr>
            <w:tcW w:w="2166" w:type="dxa"/>
            <w:tcBorders>
              <w:top w:val="nil"/>
              <w:left w:val="nil"/>
              <w:bottom w:val="nil"/>
              <w:right w:val="nil"/>
              <w:tl2br w:val="nil"/>
              <w:tr2bl w:val="nil"/>
            </w:tcBorders>
          </w:tcPr>
          <w:p w14:paraId="2A1211F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0.93</w:t>
            </w:r>
            <w:r>
              <w:rPr>
                <w:rFonts w:ascii="Times New Roman" w:eastAsia="Times New Roman" w:hAnsi="Times New Roman" w:cs="Times New Roman"/>
                <w:sz w:val="24"/>
                <w:szCs w:val="24"/>
                <w:vertAlign w:val="superscript"/>
              </w:rPr>
              <w:t>ab</w:t>
            </w:r>
          </w:p>
        </w:tc>
        <w:tc>
          <w:tcPr>
            <w:tcW w:w="2540" w:type="dxa"/>
            <w:tcBorders>
              <w:top w:val="nil"/>
              <w:left w:val="nil"/>
              <w:bottom w:val="nil"/>
              <w:right w:val="nil"/>
              <w:tl2br w:val="nil"/>
              <w:tr2bl w:val="nil"/>
            </w:tcBorders>
          </w:tcPr>
          <w:p w14:paraId="1246E7D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a</w:t>
            </w:r>
          </w:p>
        </w:tc>
      </w:tr>
      <w:tr w:rsidR="0091698C" w14:paraId="60CC5935" w14:textId="77777777">
        <w:tc>
          <w:tcPr>
            <w:tcW w:w="2115" w:type="dxa"/>
            <w:tcBorders>
              <w:top w:val="nil"/>
              <w:left w:val="nil"/>
              <w:bottom w:val="single" w:sz="10" w:space="0" w:color="000000"/>
              <w:right w:val="nil"/>
              <w:tl2br w:val="nil"/>
              <w:tr2bl w:val="nil"/>
            </w:tcBorders>
          </w:tcPr>
          <w:p w14:paraId="41EBBBB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2624" w:type="dxa"/>
            <w:tcBorders>
              <w:top w:val="nil"/>
              <w:left w:val="nil"/>
              <w:bottom w:val="single" w:sz="10" w:space="0" w:color="000000"/>
              <w:right w:val="nil"/>
              <w:tl2br w:val="nil"/>
              <w:tr2bl w:val="nil"/>
            </w:tcBorders>
          </w:tcPr>
          <w:p w14:paraId="0B8DEDB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2.33</w:t>
            </w:r>
            <w:r>
              <w:rPr>
                <w:rFonts w:ascii="Times New Roman" w:eastAsia="Times New Roman" w:hAnsi="Times New Roman" w:cs="Times New Roman"/>
                <w:sz w:val="24"/>
                <w:szCs w:val="24"/>
                <w:vertAlign w:val="superscript"/>
              </w:rPr>
              <w:t>a</w:t>
            </w:r>
          </w:p>
        </w:tc>
        <w:tc>
          <w:tcPr>
            <w:tcW w:w="2166" w:type="dxa"/>
            <w:tcBorders>
              <w:top w:val="nil"/>
              <w:left w:val="nil"/>
              <w:bottom w:val="single" w:sz="10" w:space="0" w:color="000000"/>
              <w:right w:val="nil"/>
              <w:tl2br w:val="nil"/>
              <w:tr2bl w:val="nil"/>
            </w:tcBorders>
          </w:tcPr>
          <w:p w14:paraId="5EE57E3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0.28</w:t>
            </w:r>
            <w:r>
              <w:rPr>
                <w:rFonts w:ascii="Times New Roman" w:eastAsia="Times New Roman" w:hAnsi="Times New Roman" w:cs="Times New Roman"/>
                <w:sz w:val="24"/>
                <w:szCs w:val="24"/>
                <w:vertAlign w:val="superscript"/>
              </w:rPr>
              <w:t>b</w:t>
            </w:r>
          </w:p>
        </w:tc>
        <w:tc>
          <w:tcPr>
            <w:tcW w:w="2540" w:type="dxa"/>
            <w:tcBorders>
              <w:top w:val="nil"/>
              <w:left w:val="nil"/>
              <w:bottom w:val="single" w:sz="10" w:space="0" w:color="000000"/>
              <w:right w:val="nil"/>
              <w:tl2br w:val="nil"/>
              <w:tr2bl w:val="nil"/>
            </w:tcBorders>
          </w:tcPr>
          <w:p w14:paraId="2526E92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0.003</w:t>
            </w:r>
            <w:r>
              <w:rPr>
                <w:rFonts w:ascii="Times New Roman" w:eastAsia="Times New Roman" w:hAnsi="Times New Roman" w:cs="Times New Roman"/>
                <w:sz w:val="24"/>
                <w:szCs w:val="24"/>
                <w:vertAlign w:val="superscript"/>
              </w:rPr>
              <w:t>a</w:t>
            </w:r>
          </w:p>
        </w:tc>
      </w:tr>
    </w:tbl>
    <w:p w14:paraId="1A873BBE" w14:textId="77777777" w:rsidR="0091698C" w:rsidRDefault="005704CE">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w:t>
      </w:r>
      <w:r>
        <w:rPr>
          <w:rFonts w:ascii="Times New Roman" w:eastAsia="Times New Roman" w:hAnsi="Times New Roman" w:cs="Times New Roman"/>
          <w:sz w:val="26"/>
          <w:szCs w:val="26"/>
        </w:rPr>
        <w:t xml:space="preserve">Means having the same letter(s) are not </w:t>
      </w:r>
      <w:r>
        <w:rPr>
          <w:rFonts w:ascii="Times New Roman" w:eastAsia="Times New Roman" w:hAnsi="Times New Roman" w:cs="Times New Roman"/>
          <w:sz w:val="26"/>
          <w:szCs w:val="26"/>
        </w:rPr>
        <w:t>significantly different a 5% probability according to Duncan's New Range Test.</w:t>
      </w:r>
    </w:p>
    <w:p w14:paraId="510BBAAB" w14:textId="77777777" w:rsidR="0091698C" w:rsidRDefault="0091698C">
      <w:pPr>
        <w:spacing w:line="240" w:lineRule="auto"/>
        <w:rPr>
          <w:rFonts w:ascii="Times New Roman" w:eastAsia="Times New Roman" w:hAnsi="Times New Roman" w:cs="Times New Roman"/>
          <w:sz w:val="26"/>
          <w:szCs w:val="26"/>
        </w:rPr>
      </w:pPr>
    </w:p>
    <w:p w14:paraId="4A05195F"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Leaf Area Ratio (LAR) of cucumber (cm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/g)</w:t>
      </w:r>
    </w:p>
    <w:p w14:paraId="40AB36E4" w14:textId="5E9CC340"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In Table 4, though the control had the highest value (23.72cm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followed by 20.77cm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/g obtained from </w:t>
      </w:r>
      <w:r>
        <w:rPr>
          <w:rFonts w:ascii="Times New Roman" w:eastAsia="Times New Roman" w:hAnsi="Times New Roman" w:cs="Times New Roman"/>
          <w:sz w:val="28"/>
          <w:szCs w:val="28"/>
        </w:rPr>
        <w:t>120mlFP/15Lwater, but their values were statistically similar to 17.06cm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and 17.81cm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obtained by 140mlFP/15Lwater and 160mlFP/15Lwater respectively.</w:t>
      </w:r>
    </w:p>
    <w:p w14:paraId="03659974" w14:textId="77777777" w:rsidR="0091698C" w:rsidRDefault="0091698C">
      <w:pPr>
        <w:spacing w:line="360" w:lineRule="auto"/>
        <w:rPr>
          <w:rFonts w:ascii="Times New Roman" w:eastAsia="Times New Roman" w:hAnsi="Times New Roman" w:cs="Times New Roman"/>
          <w:sz w:val="2"/>
          <w:szCs w:val="2"/>
        </w:rPr>
      </w:pPr>
    </w:p>
    <w:p w14:paraId="6BBCBBB3"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the Specific Leaf Weight (SLW) of cucumber (g/cm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w:t>
      </w:r>
    </w:p>
    <w:p w14:paraId="4279A396" w14:textId="4882521B"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Table 4,</w:t>
      </w:r>
      <w:r>
        <w:rPr>
          <w:rFonts w:ascii="Times New Roman" w:eastAsia="Times New Roman" w:hAnsi="Times New Roman" w:cs="Times New Roman"/>
          <w:sz w:val="28"/>
          <w:szCs w:val="28"/>
        </w:rPr>
        <w:t xml:space="preserve"> Foliar Plus did not have significant (p≥0.05) effect on SLW as revealed by data analysis. The values, 0.02g/cm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produced by 140mlFP/15Lwater was significantly different from and greater than 0.013g/cm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given by 0mlFP/15Lwater, but not significantly (p≥0.0</w:t>
      </w:r>
      <w:r>
        <w:rPr>
          <w:rFonts w:ascii="Times New Roman" w:eastAsia="Times New Roman" w:hAnsi="Times New Roman" w:cs="Times New Roman"/>
          <w:sz w:val="28"/>
          <w:szCs w:val="28"/>
        </w:rPr>
        <w:t>5) different from 0.018g/cm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and 0.019cm</w:t>
      </w:r>
      <w:r>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rPr>
        <w:t>obtained</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xml:space="preserve">from 120mlFP/15Lwater and 160mlFP/15Lwater respectively. </w:t>
      </w:r>
    </w:p>
    <w:p w14:paraId="4F857826"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Leaf Weight Ratio (LWR) of cucumber (g/g)</w:t>
      </w:r>
    </w:p>
    <w:p w14:paraId="4E5F2EA8" w14:textId="5580A590"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table 4 were recorded effects of Foliar Plus on the leaf Weight Ratio (LWR). </w:t>
      </w:r>
      <w:r>
        <w:rPr>
          <w:rFonts w:ascii="Times New Roman" w:eastAsia="Times New Roman" w:hAnsi="Times New Roman" w:cs="Times New Roman"/>
          <w:sz w:val="28"/>
          <w:szCs w:val="28"/>
        </w:rPr>
        <w:t xml:space="preserve">The treatment 140mFP/15Lwater gave the greatest value (0.328g/g) though not significantly different (p≥0.05) from other values like 0.294g/g, 0.314g/g and </w:t>
      </w:r>
      <w:r>
        <w:rPr>
          <w:rFonts w:ascii="Times New Roman" w:eastAsia="Times New Roman" w:hAnsi="Times New Roman" w:cs="Times New Roman"/>
          <w:sz w:val="28"/>
          <w:szCs w:val="28"/>
        </w:rPr>
        <w:lastRenderedPageBreak/>
        <w:t>0.322g/g which were produced by 0mlFP/15Lwater, 120mlFP/15Lwater, and 160mlFP/15Lwater respectively (</w:t>
      </w:r>
      <w:r>
        <w:rPr>
          <w:rFonts w:ascii="Times New Roman" w:eastAsia="Times New Roman" w:hAnsi="Times New Roman" w:cs="Times New Roman"/>
          <w:sz w:val="28"/>
          <w:szCs w:val="28"/>
        </w:rPr>
        <w:t>Table 4</w:t>
      </w:r>
      <w:r w:rsidR="00442DB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48DCF9A" w14:textId="77777777" w:rsidR="0091698C" w:rsidRDefault="005704CE">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Effect of Foliar Plus on Specific leaf Area (SLA) of cucumber (m</w:t>
      </w: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/g)</w:t>
      </w:r>
    </w:p>
    <w:p w14:paraId="3F62285A" w14:textId="23691F9F"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terms SLA, Table 4 shows that 105.10m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highest value) recorded for 0mlFP/15Lwater, exhibited no significant (p≥0.05) difference from 71.43m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52.44m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(the lowest v</w:t>
      </w:r>
      <w:r>
        <w:rPr>
          <w:rFonts w:ascii="Times New Roman" w:eastAsia="Times New Roman" w:hAnsi="Times New Roman" w:cs="Times New Roman"/>
          <w:sz w:val="28"/>
          <w:szCs w:val="28"/>
        </w:rPr>
        <w:t>alue) and 54.99m</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/g gotten from 120mlFP/15Lwater, 140mlFP/15Lwater and 160mlFP/15Lwater respectively. In general, there were statistical (p≥0.05) similarities among the treatment means (Table 4).</w:t>
      </w:r>
    </w:p>
    <w:p w14:paraId="33B2E3A1" w14:textId="7CF3C860" w:rsidR="0091698C" w:rsidRDefault="005704C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Table </w:t>
      </w:r>
      <w:r w:rsidR="00442DB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Effect of foliar plus on leaf area ratio (LAR), specific leaf weight (SLW), leaf weight ratio (LWR) and specific leaf area (SLA) of cucumber </w:t>
      </w:r>
    </w:p>
    <w:tbl>
      <w:tblPr>
        <w:tblStyle w:val="TableGrid"/>
        <w:tblW w:w="9355" w:type="dxa"/>
        <w:tblLayout w:type="fixed"/>
        <w:tblLook w:val="04A0" w:firstRow="1" w:lastRow="0" w:firstColumn="1" w:lastColumn="0" w:noHBand="0" w:noVBand="1"/>
      </w:tblPr>
      <w:tblGrid>
        <w:gridCol w:w="2140"/>
        <w:gridCol w:w="1622"/>
        <w:gridCol w:w="1644"/>
        <w:gridCol w:w="1766"/>
        <w:gridCol w:w="2183"/>
      </w:tblGrid>
      <w:tr w:rsidR="0091698C" w14:paraId="76EC612C" w14:textId="77777777">
        <w:trPr>
          <w:trHeight w:val="1212"/>
        </w:trPr>
        <w:tc>
          <w:tcPr>
            <w:tcW w:w="2140" w:type="dxa"/>
            <w:tcBorders>
              <w:top w:val="single" w:sz="10" w:space="0" w:color="000000"/>
              <w:left w:val="nil"/>
              <w:bottom w:val="single" w:sz="10" w:space="0" w:color="000000"/>
              <w:right w:val="nil"/>
              <w:tl2br w:val="nil"/>
              <w:tr2bl w:val="nil"/>
            </w:tcBorders>
          </w:tcPr>
          <w:p w14:paraId="70D376A5" w14:textId="77777777" w:rsidR="0091698C" w:rsidRDefault="005704C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Treatments</w:t>
            </w:r>
          </w:p>
          <w:p w14:paraId="7B7B8C01" w14:textId="77777777" w:rsidR="0091698C" w:rsidRDefault="0091698C">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single" w:sz="10" w:space="0" w:color="000000"/>
              <w:right w:val="nil"/>
              <w:tl2br w:val="nil"/>
              <w:tr2bl w:val="nil"/>
            </w:tcBorders>
          </w:tcPr>
          <w:p w14:paraId="4DB6EA23"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Leaf-Area Ratio(LAR)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c>
          <w:tcPr>
            <w:tcW w:w="1644" w:type="dxa"/>
            <w:tcBorders>
              <w:top w:val="single" w:sz="10" w:space="0" w:color="000000"/>
              <w:left w:val="nil"/>
              <w:bottom w:val="single" w:sz="10" w:space="0" w:color="000000"/>
              <w:right w:val="nil"/>
              <w:tl2br w:val="nil"/>
              <w:tr2bl w:val="nil"/>
            </w:tcBorders>
          </w:tcPr>
          <w:p w14:paraId="7D41309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Specific-Leaf Weight(SLW)</w:t>
            </w:r>
          </w:p>
          <w:p w14:paraId="48F1A53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tc>
        <w:tc>
          <w:tcPr>
            <w:tcW w:w="1766" w:type="dxa"/>
            <w:tcBorders>
              <w:top w:val="single" w:sz="10" w:space="0" w:color="000000"/>
              <w:left w:val="nil"/>
              <w:bottom w:val="single" w:sz="10" w:space="0" w:color="000000"/>
              <w:right w:val="nil"/>
              <w:tl2br w:val="nil"/>
              <w:tr2bl w:val="nil"/>
            </w:tcBorders>
          </w:tcPr>
          <w:p w14:paraId="795CD838"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Leaf-Weight Ratio(LWR)</w:t>
            </w:r>
          </w:p>
          <w:p w14:paraId="79DFCBFC"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(g/g)</w:t>
            </w:r>
          </w:p>
        </w:tc>
        <w:tc>
          <w:tcPr>
            <w:tcW w:w="2183" w:type="dxa"/>
            <w:tcBorders>
              <w:top w:val="single" w:sz="10" w:space="0" w:color="000000"/>
              <w:left w:val="nil"/>
              <w:bottom w:val="single" w:sz="10" w:space="0" w:color="000000"/>
              <w:right w:val="nil"/>
              <w:tl2br w:val="nil"/>
              <w:tr2bl w:val="nil"/>
            </w:tcBorders>
          </w:tcPr>
          <w:p w14:paraId="19A1754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pecific-leaf Area(SLA)</w:t>
            </w:r>
          </w:p>
          <w:p w14:paraId="621C68C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w:t>
            </w:r>
          </w:p>
        </w:tc>
      </w:tr>
      <w:tr w:rsidR="0091698C" w14:paraId="1E5B04F3" w14:textId="77777777">
        <w:trPr>
          <w:trHeight w:val="247"/>
        </w:trPr>
        <w:tc>
          <w:tcPr>
            <w:tcW w:w="2140" w:type="dxa"/>
            <w:tcBorders>
              <w:top w:val="single" w:sz="10" w:space="0" w:color="000000"/>
              <w:left w:val="nil"/>
              <w:bottom w:val="nil"/>
              <w:right w:val="nil"/>
              <w:tl2br w:val="nil"/>
              <w:tr2bl w:val="nil"/>
            </w:tcBorders>
          </w:tcPr>
          <w:p w14:paraId="6558CEB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0mlFP/15Lwater</w:t>
            </w:r>
          </w:p>
          <w:p w14:paraId="1B002F4F" w14:textId="77777777" w:rsidR="0091698C" w:rsidRDefault="0091698C">
            <w:pPr>
              <w:spacing w:line="240" w:lineRule="auto"/>
              <w:rPr>
                <w:rFonts w:ascii="Times New Roman" w:eastAsia="Times New Roman" w:hAnsi="Times New Roman" w:cs="Times New Roman"/>
                <w:sz w:val="24"/>
                <w:szCs w:val="24"/>
              </w:rPr>
            </w:pPr>
          </w:p>
        </w:tc>
        <w:tc>
          <w:tcPr>
            <w:tcW w:w="1622" w:type="dxa"/>
            <w:tcBorders>
              <w:top w:val="single" w:sz="10" w:space="0" w:color="000000"/>
              <w:left w:val="nil"/>
              <w:bottom w:val="nil"/>
              <w:right w:val="nil"/>
              <w:tl2br w:val="nil"/>
              <w:tr2bl w:val="nil"/>
            </w:tcBorders>
          </w:tcPr>
          <w:p w14:paraId="7123ACD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23.72</w:t>
            </w:r>
            <w:r>
              <w:rPr>
                <w:rFonts w:ascii="Times New Roman" w:eastAsia="Times New Roman" w:hAnsi="Times New Roman" w:cs="Times New Roman"/>
                <w:sz w:val="24"/>
                <w:szCs w:val="24"/>
                <w:vertAlign w:val="superscript"/>
              </w:rPr>
              <w:t>a</w:t>
            </w:r>
          </w:p>
        </w:tc>
        <w:tc>
          <w:tcPr>
            <w:tcW w:w="1644" w:type="dxa"/>
            <w:tcBorders>
              <w:top w:val="single" w:sz="10" w:space="0" w:color="000000"/>
              <w:left w:val="nil"/>
              <w:bottom w:val="nil"/>
              <w:right w:val="nil"/>
              <w:tl2br w:val="nil"/>
              <w:tr2bl w:val="nil"/>
            </w:tcBorders>
          </w:tcPr>
          <w:p w14:paraId="00AA5DFF"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0.013</w:t>
            </w:r>
            <w:r>
              <w:rPr>
                <w:rFonts w:ascii="Times New Roman" w:eastAsia="Times New Roman" w:hAnsi="Times New Roman" w:cs="Times New Roman"/>
                <w:sz w:val="24"/>
                <w:szCs w:val="24"/>
                <w:vertAlign w:val="superscript"/>
              </w:rPr>
              <w:t>b</w:t>
            </w:r>
          </w:p>
        </w:tc>
        <w:tc>
          <w:tcPr>
            <w:tcW w:w="1766" w:type="dxa"/>
            <w:tcBorders>
              <w:top w:val="single" w:sz="10" w:space="0" w:color="000000"/>
              <w:left w:val="nil"/>
              <w:bottom w:val="nil"/>
              <w:right w:val="nil"/>
              <w:tl2br w:val="nil"/>
              <w:tr2bl w:val="nil"/>
            </w:tcBorders>
          </w:tcPr>
          <w:p w14:paraId="22E4A16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0.294</w:t>
            </w:r>
            <w:r>
              <w:rPr>
                <w:rFonts w:ascii="Times New Roman" w:eastAsia="Times New Roman" w:hAnsi="Times New Roman" w:cs="Times New Roman"/>
                <w:sz w:val="24"/>
                <w:szCs w:val="24"/>
                <w:vertAlign w:val="superscript"/>
              </w:rPr>
              <w:t>a</w:t>
            </w:r>
          </w:p>
        </w:tc>
        <w:tc>
          <w:tcPr>
            <w:tcW w:w="2183" w:type="dxa"/>
            <w:tcBorders>
              <w:top w:val="single" w:sz="10" w:space="0" w:color="000000"/>
              <w:left w:val="nil"/>
              <w:bottom w:val="nil"/>
              <w:right w:val="nil"/>
              <w:tl2br w:val="nil"/>
              <w:tr2bl w:val="nil"/>
            </w:tcBorders>
          </w:tcPr>
          <w:p w14:paraId="3811CFBB"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105.10</w:t>
            </w:r>
            <w:r>
              <w:rPr>
                <w:rFonts w:ascii="Times New Roman" w:eastAsia="Times New Roman" w:hAnsi="Times New Roman" w:cs="Times New Roman"/>
                <w:sz w:val="24"/>
                <w:szCs w:val="24"/>
                <w:vertAlign w:val="superscript"/>
              </w:rPr>
              <w:t>a</w:t>
            </w:r>
          </w:p>
        </w:tc>
      </w:tr>
      <w:tr w:rsidR="0091698C" w14:paraId="5E387B4D" w14:textId="77777777">
        <w:trPr>
          <w:trHeight w:val="247"/>
        </w:trPr>
        <w:tc>
          <w:tcPr>
            <w:tcW w:w="2140" w:type="dxa"/>
            <w:tcBorders>
              <w:top w:val="nil"/>
              <w:left w:val="nil"/>
              <w:bottom w:val="nil"/>
              <w:right w:val="nil"/>
              <w:tl2br w:val="nil"/>
              <w:tr2bl w:val="nil"/>
            </w:tcBorders>
          </w:tcPr>
          <w:p w14:paraId="24D9AF8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120mlFP/15Lwater</w:t>
            </w:r>
          </w:p>
          <w:p w14:paraId="4E2E9771" w14:textId="77777777" w:rsidR="0091698C" w:rsidRDefault="0091698C">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14:paraId="6C74B100"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20.77</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14:paraId="53B73CDE"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0.018</w:t>
            </w:r>
            <w:r>
              <w:rPr>
                <w:rFonts w:ascii="Times New Roman" w:eastAsia="Times New Roman" w:hAnsi="Times New Roman" w:cs="Times New Roman"/>
                <w:sz w:val="24"/>
                <w:szCs w:val="24"/>
                <w:vertAlign w:val="superscript"/>
              </w:rPr>
              <w:t>ab</w:t>
            </w:r>
          </w:p>
        </w:tc>
        <w:tc>
          <w:tcPr>
            <w:tcW w:w="1766" w:type="dxa"/>
            <w:tcBorders>
              <w:top w:val="nil"/>
              <w:left w:val="nil"/>
              <w:bottom w:val="nil"/>
              <w:right w:val="nil"/>
              <w:tl2br w:val="nil"/>
              <w:tr2bl w:val="nil"/>
            </w:tcBorders>
          </w:tcPr>
          <w:p w14:paraId="37A6F1D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0.314</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14:paraId="1A984269"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71.43</w:t>
            </w:r>
            <w:r>
              <w:rPr>
                <w:rFonts w:ascii="Times New Roman" w:eastAsia="Times New Roman" w:hAnsi="Times New Roman" w:cs="Times New Roman"/>
                <w:sz w:val="24"/>
                <w:szCs w:val="24"/>
                <w:vertAlign w:val="superscript"/>
              </w:rPr>
              <w:t>a</w:t>
            </w:r>
          </w:p>
        </w:tc>
      </w:tr>
      <w:tr w:rsidR="0091698C" w14:paraId="761C5260" w14:textId="77777777">
        <w:trPr>
          <w:trHeight w:val="247"/>
        </w:trPr>
        <w:tc>
          <w:tcPr>
            <w:tcW w:w="2140" w:type="dxa"/>
            <w:tcBorders>
              <w:top w:val="nil"/>
              <w:left w:val="nil"/>
              <w:bottom w:val="nil"/>
              <w:right w:val="nil"/>
              <w:tl2br w:val="nil"/>
              <w:tr2bl w:val="nil"/>
            </w:tcBorders>
          </w:tcPr>
          <w:p w14:paraId="37DF2BE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140mlFP/15Lwater</w:t>
            </w:r>
          </w:p>
          <w:p w14:paraId="07A47BEA" w14:textId="77777777" w:rsidR="0091698C" w:rsidRDefault="0091698C">
            <w:pPr>
              <w:spacing w:line="240" w:lineRule="auto"/>
              <w:rPr>
                <w:rFonts w:ascii="Times New Roman" w:eastAsia="Times New Roman" w:hAnsi="Times New Roman" w:cs="Times New Roman"/>
                <w:sz w:val="24"/>
                <w:szCs w:val="24"/>
              </w:rPr>
            </w:pPr>
          </w:p>
        </w:tc>
        <w:tc>
          <w:tcPr>
            <w:tcW w:w="1622" w:type="dxa"/>
            <w:tcBorders>
              <w:top w:val="nil"/>
              <w:left w:val="nil"/>
              <w:bottom w:val="nil"/>
              <w:right w:val="nil"/>
              <w:tl2br w:val="nil"/>
              <w:tr2bl w:val="nil"/>
            </w:tcBorders>
          </w:tcPr>
          <w:p w14:paraId="4C32738F"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17.06</w:t>
            </w:r>
            <w:r>
              <w:rPr>
                <w:rFonts w:ascii="Times New Roman" w:eastAsia="Times New Roman" w:hAnsi="Times New Roman" w:cs="Times New Roman"/>
                <w:sz w:val="24"/>
                <w:szCs w:val="24"/>
                <w:vertAlign w:val="superscript"/>
              </w:rPr>
              <w:t>a</w:t>
            </w:r>
          </w:p>
        </w:tc>
        <w:tc>
          <w:tcPr>
            <w:tcW w:w="1644" w:type="dxa"/>
            <w:tcBorders>
              <w:top w:val="nil"/>
              <w:left w:val="nil"/>
              <w:bottom w:val="nil"/>
              <w:right w:val="nil"/>
              <w:tl2br w:val="nil"/>
              <w:tr2bl w:val="nil"/>
            </w:tcBorders>
          </w:tcPr>
          <w:p w14:paraId="46880D97"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0.020</w:t>
            </w:r>
            <w:r>
              <w:rPr>
                <w:rFonts w:ascii="Times New Roman" w:eastAsia="Times New Roman" w:hAnsi="Times New Roman" w:cs="Times New Roman"/>
                <w:sz w:val="24"/>
                <w:szCs w:val="24"/>
                <w:vertAlign w:val="superscript"/>
              </w:rPr>
              <w:t>a</w:t>
            </w:r>
          </w:p>
        </w:tc>
        <w:tc>
          <w:tcPr>
            <w:tcW w:w="1766" w:type="dxa"/>
            <w:tcBorders>
              <w:top w:val="nil"/>
              <w:left w:val="nil"/>
              <w:bottom w:val="nil"/>
              <w:right w:val="nil"/>
              <w:tl2br w:val="nil"/>
              <w:tr2bl w:val="nil"/>
            </w:tcBorders>
          </w:tcPr>
          <w:p w14:paraId="6C7E2F1F"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0.328</w:t>
            </w:r>
            <w:r>
              <w:rPr>
                <w:rFonts w:ascii="Times New Roman" w:eastAsia="Times New Roman" w:hAnsi="Times New Roman" w:cs="Times New Roman"/>
                <w:sz w:val="24"/>
                <w:szCs w:val="24"/>
                <w:vertAlign w:val="superscript"/>
              </w:rPr>
              <w:t>a</w:t>
            </w:r>
          </w:p>
        </w:tc>
        <w:tc>
          <w:tcPr>
            <w:tcW w:w="2183" w:type="dxa"/>
            <w:tcBorders>
              <w:top w:val="nil"/>
              <w:left w:val="nil"/>
              <w:bottom w:val="nil"/>
              <w:right w:val="nil"/>
              <w:tl2br w:val="nil"/>
              <w:tr2bl w:val="nil"/>
            </w:tcBorders>
          </w:tcPr>
          <w:p w14:paraId="3FE2AD3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52.44</w:t>
            </w:r>
            <w:r>
              <w:rPr>
                <w:rFonts w:ascii="Times New Roman" w:eastAsia="Times New Roman" w:hAnsi="Times New Roman" w:cs="Times New Roman"/>
                <w:sz w:val="24"/>
                <w:szCs w:val="24"/>
                <w:vertAlign w:val="superscript"/>
              </w:rPr>
              <w:t>a</w:t>
            </w:r>
          </w:p>
        </w:tc>
      </w:tr>
      <w:tr w:rsidR="0091698C" w14:paraId="58DB75DB" w14:textId="77777777">
        <w:trPr>
          <w:trHeight w:val="50"/>
        </w:trPr>
        <w:tc>
          <w:tcPr>
            <w:tcW w:w="2140" w:type="dxa"/>
            <w:tcBorders>
              <w:top w:val="nil"/>
              <w:left w:val="nil"/>
              <w:bottom w:val="single" w:sz="10" w:space="0" w:color="000000"/>
              <w:right w:val="nil"/>
              <w:tl2br w:val="nil"/>
              <w:tr2bl w:val="nil"/>
            </w:tcBorders>
          </w:tcPr>
          <w:p w14:paraId="3791119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160mlFP/15Lwater</w:t>
            </w:r>
          </w:p>
        </w:tc>
        <w:tc>
          <w:tcPr>
            <w:tcW w:w="1622" w:type="dxa"/>
            <w:tcBorders>
              <w:top w:val="nil"/>
              <w:left w:val="nil"/>
              <w:bottom w:val="single" w:sz="10" w:space="0" w:color="000000"/>
              <w:right w:val="nil"/>
              <w:tl2br w:val="nil"/>
              <w:tr2bl w:val="nil"/>
            </w:tcBorders>
          </w:tcPr>
          <w:p w14:paraId="535C3966"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17.81</w:t>
            </w:r>
            <w:r>
              <w:rPr>
                <w:rFonts w:ascii="Times New Roman" w:eastAsia="Times New Roman" w:hAnsi="Times New Roman" w:cs="Times New Roman"/>
                <w:sz w:val="24"/>
                <w:szCs w:val="24"/>
                <w:vertAlign w:val="superscript"/>
              </w:rPr>
              <w:t>a</w:t>
            </w:r>
          </w:p>
        </w:tc>
        <w:tc>
          <w:tcPr>
            <w:tcW w:w="1644" w:type="dxa"/>
            <w:tcBorders>
              <w:top w:val="nil"/>
              <w:left w:val="nil"/>
              <w:bottom w:val="single" w:sz="10" w:space="0" w:color="000000"/>
              <w:right w:val="nil"/>
              <w:tl2br w:val="nil"/>
              <w:tr2bl w:val="nil"/>
            </w:tcBorders>
          </w:tcPr>
          <w:p w14:paraId="1412E7B5"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0.019</w:t>
            </w:r>
            <w:r>
              <w:rPr>
                <w:rFonts w:ascii="Times New Roman" w:eastAsia="Times New Roman" w:hAnsi="Times New Roman" w:cs="Times New Roman"/>
                <w:sz w:val="24"/>
                <w:szCs w:val="24"/>
                <w:vertAlign w:val="superscript"/>
              </w:rPr>
              <w:t>ab</w:t>
            </w:r>
          </w:p>
        </w:tc>
        <w:tc>
          <w:tcPr>
            <w:tcW w:w="1766" w:type="dxa"/>
            <w:tcBorders>
              <w:top w:val="nil"/>
              <w:left w:val="nil"/>
              <w:bottom w:val="single" w:sz="10" w:space="0" w:color="000000"/>
              <w:right w:val="nil"/>
              <w:tl2br w:val="nil"/>
              <w:tr2bl w:val="nil"/>
            </w:tcBorders>
          </w:tcPr>
          <w:p w14:paraId="344FC294"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0.322</w:t>
            </w:r>
            <w:r>
              <w:rPr>
                <w:rFonts w:ascii="Times New Roman" w:eastAsia="Times New Roman" w:hAnsi="Times New Roman" w:cs="Times New Roman"/>
                <w:sz w:val="24"/>
                <w:szCs w:val="24"/>
                <w:vertAlign w:val="superscript"/>
              </w:rPr>
              <w:t>a</w:t>
            </w:r>
          </w:p>
        </w:tc>
        <w:tc>
          <w:tcPr>
            <w:tcW w:w="2183" w:type="dxa"/>
            <w:tcBorders>
              <w:top w:val="nil"/>
              <w:left w:val="nil"/>
              <w:bottom w:val="single" w:sz="10" w:space="0" w:color="000000"/>
              <w:right w:val="nil"/>
              <w:tl2br w:val="nil"/>
              <w:tr2bl w:val="nil"/>
            </w:tcBorders>
          </w:tcPr>
          <w:p w14:paraId="72E8679A" w14:textId="77777777" w:rsidR="0091698C" w:rsidRDefault="005704C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54.99</w:t>
            </w:r>
            <w:r>
              <w:rPr>
                <w:rFonts w:ascii="Times New Roman" w:eastAsia="Times New Roman" w:hAnsi="Times New Roman" w:cs="Times New Roman"/>
                <w:sz w:val="24"/>
                <w:szCs w:val="24"/>
                <w:vertAlign w:val="superscript"/>
              </w:rPr>
              <w:t>a</w:t>
            </w:r>
          </w:p>
        </w:tc>
      </w:tr>
    </w:tbl>
    <w:p w14:paraId="76453696" w14:textId="77777777" w:rsidR="0091698C" w:rsidRDefault="005704CE">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*Means having the same letter(s) are not significantly different 5% probability according to Duncan's New Range Test.</w:t>
      </w:r>
    </w:p>
    <w:p w14:paraId="584C0523" w14:textId="77777777" w:rsidR="0091698C" w:rsidRDefault="005704CE">
      <w:r>
        <w:t xml:space="preserve">    </w:t>
      </w:r>
    </w:p>
    <w:p w14:paraId="776DF83D" w14:textId="77777777" w:rsidR="0091698C" w:rsidRDefault="0091698C">
      <w:pPr>
        <w:rPr>
          <w:b/>
        </w:rPr>
      </w:pPr>
    </w:p>
    <w:p w14:paraId="50D924E9" w14:textId="77777777" w:rsidR="0091698C" w:rsidRDefault="005704CE">
      <w:pPr>
        <w:rPr>
          <w:b/>
          <w:sz w:val="28"/>
          <w:szCs w:val="28"/>
        </w:rPr>
      </w:pPr>
      <w:r>
        <w:rPr>
          <w:b/>
          <w:sz w:val="28"/>
          <w:szCs w:val="28"/>
        </w:rPr>
        <w:t>Discussion</w:t>
      </w:r>
    </w:p>
    <w:p w14:paraId="3569D616" w14:textId="77777777" w:rsidR="0091698C" w:rsidRDefault="005704CE">
      <w:r>
        <w:t>T</w:t>
      </w:r>
      <w:r>
        <w:rPr>
          <w:rFonts w:ascii="Times New Roman" w:eastAsia="Times New Roman" w:hAnsi="Times New Roman" w:cs="Times New Roman"/>
          <w:sz w:val="28"/>
          <w:szCs w:val="28"/>
        </w:rPr>
        <w:t>reatment of Foliar Plus had significant effect on both days to 50% flowering and 50% maturity. Here, the control plots took the greatest number of days to flowering and maturity, whereas the treatment 120mlFP/15LWater had the least number of days, probably</w:t>
      </w:r>
      <w:r>
        <w:rPr>
          <w:rFonts w:ascii="Times New Roman" w:eastAsia="Times New Roman" w:hAnsi="Times New Roman" w:cs="Times New Roman"/>
          <w:sz w:val="28"/>
          <w:szCs w:val="28"/>
        </w:rPr>
        <w:t xml:space="preserve"> suggesting being the most suitable for cucumber </w:t>
      </w:r>
      <w:r>
        <w:rPr>
          <w:rFonts w:ascii="Times New Roman" w:eastAsia="Times New Roman" w:hAnsi="Times New Roman" w:cs="Times New Roman"/>
          <w:sz w:val="28"/>
          <w:szCs w:val="28"/>
        </w:rPr>
        <w:lastRenderedPageBreak/>
        <w:t>production. But other higher concentrations of Foliar Plus (i.e. 140mlFP/15Lwater and 160mlFP/15Lwater) slightly increased days to flowering and maturity instead of further reduction. The reason for this res</w:t>
      </w:r>
      <w:r>
        <w:rPr>
          <w:rFonts w:ascii="Times New Roman" w:eastAsia="Times New Roman" w:hAnsi="Times New Roman" w:cs="Times New Roman"/>
          <w:sz w:val="28"/>
          <w:szCs w:val="28"/>
        </w:rPr>
        <w:t>ult might be due to higher doses of Foliar Plus not being favourable for cucumber plant through slowing down its growth and development, which resulted in taking more days to mature than plants treated with lower doses, even though plants that received hig</w:t>
      </w:r>
      <w:r>
        <w:rPr>
          <w:rFonts w:ascii="Times New Roman" w:eastAsia="Times New Roman" w:hAnsi="Times New Roman" w:cs="Times New Roman"/>
          <w:sz w:val="28"/>
          <w:szCs w:val="28"/>
        </w:rPr>
        <w:t xml:space="preserve">her doses of FP still took lower days than the control plots. This is in agreement with Pal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minimum number of days to fruit initiation, fruit maturation and harvest were recorded in cucumber plants sprayed with Gebberelic an</w:t>
      </w:r>
      <w:r>
        <w:rPr>
          <w:rFonts w:ascii="Times New Roman" w:eastAsia="Times New Roman" w:hAnsi="Times New Roman" w:cs="Times New Roman"/>
          <w:sz w:val="28"/>
          <w:szCs w:val="28"/>
        </w:rPr>
        <w:t xml:space="preserve">d Potassium whereas maximum values were recorded in the control. Similarly, in agreement, Khan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(2009) also reported that application of foliar fertilizer (from seaweed extract) on maize plant was able to trigger early flowering and fruit set in a nu</w:t>
      </w:r>
      <w:r>
        <w:rPr>
          <w:rFonts w:ascii="Times New Roman" w:eastAsia="Times New Roman" w:hAnsi="Times New Roman" w:cs="Times New Roman"/>
          <w:sz w:val="28"/>
          <w:szCs w:val="28"/>
        </w:rPr>
        <w:t>mber of plants. It could be attributed to increase in net photosynthesis, transpiration rate and intracellular concentration of CO</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as Anjum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(2011) observed such in maize plant.</w:t>
      </w:r>
    </w:p>
    <w:p w14:paraId="3846E2DC"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Analysis revealed that canopy cover (CC), crop dry weight (CDW), leaf a</w:t>
      </w:r>
      <w:r>
        <w:rPr>
          <w:rFonts w:ascii="Times New Roman" w:eastAsia="Times New Roman" w:hAnsi="Times New Roman" w:cs="Times New Roman"/>
          <w:sz w:val="28"/>
          <w:szCs w:val="28"/>
        </w:rPr>
        <w:t xml:space="preserve">rea index (LAI), net assimilation rate (NAR) and leaf area ratio (LAR) of cucumber were not significantly affected by the Foliar Plus treatment. This result disagreed with Mohnoodi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(2020) who observed that foliar application of nutrients significant</w:t>
      </w:r>
      <w:r>
        <w:rPr>
          <w:rFonts w:ascii="Times New Roman" w:eastAsia="Times New Roman" w:hAnsi="Times New Roman" w:cs="Times New Roman"/>
          <w:sz w:val="28"/>
          <w:szCs w:val="28"/>
        </w:rPr>
        <w:t>ly affected physiological traits like leaf area index, total crop dry weight of plant, etc. Though the effect of Foliar Plus was not significantly different among the treatments means in terms of CC and CDW, but all the treated plots obtained values slight</w:t>
      </w:r>
      <w:r>
        <w:rPr>
          <w:rFonts w:ascii="Times New Roman" w:eastAsia="Times New Roman" w:hAnsi="Times New Roman" w:cs="Times New Roman"/>
          <w:sz w:val="28"/>
          <w:szCs w:val="28"/>
        </w:rPr>
        <w:t>ly higher than the control. This appears to agree with</w:t>
      </w:r>
      <w:r>
        <w:rPr>
          <w:rFonts w:ascii="Times New Roman" w:eastAsia="Times New Roman" w:hAnsi="Times New Roman" w:cs="Times New Roman"/>
          <w:color w:val="FF0000"/>
          <w:sz w:val="28"/>
          <w:szCs w:val="28"/>
        </w:rPr>
        <w:t xml:space="preserve"> Kowsar and Boswal (2015)</w:t>
      </w:r>
      <w:r>
        <w:rPr>
          <w:rFonts w:ascii="Times New Roman" w:eastAsia="Times New Roman" w:hAnsi="Times New Roman" w:cs="Times New Roman"/>
          <w:sz w:val="28"/>
          <w:szCs w:val="28"/>
        </w:rPr>
        <w:t xml:space="preserve"> who observed that bio-fertilizer and other liquid organic fertilizers sprayed on bread wheat plant (</w:t>
      </w:r>
      <w:r>
        <w:rPr>
          <w:rFonts w:ascii="Times New Roman" w:eastAsia="Times New Roman" w:hAnsi="Times New Roman" w:cs="Times New Roman"/>
          <w:i/>
          <w:sz w:val="28"/>
          <w:szCs w:val="28"/>
        </w:rPr>
        <w:t>Triticum aestivun L.)</w:t>
      </w:r>
      <w:r>
        <w:rPr>
          <w:rFonts w:ascii="Times New Roman" w:eastAsia="Times New Roman" w:hAnsi="Times New Roman" w:cs="Times New Roman"/>
          <w:sz w:val="28"/>
          <w:szCs w:val="28"/>
        </w:rPr>
        <w:t xml:space="preserve"> induced various physiological characters like canopy cover, temperature depression etc. </w:t>
      </w:r>
    </w:p>
    <w:p w14:paraId="1279D5BC"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However, this trend seems to be in contrast with values recorded over LAI and NAR where there was a fairly gradual decline in their respective values from the control</w:t>
      </w:r>
      <w:r>
        <w:rPr>
          <w:rFonts w:ascii="Times New Roman" w:eastAsia="Times New Roman" w:hAnsi="Times New Roman" w:cs="Times New Roman"/>
          <w:sz w:val="28"/>
          <w:szCs w:val="28"/>
        </w:rPr>
        <w:t xml:space="preserve"> (0mlFP/15Lwater) to the highest concentration (160mlFP/15Lwater) of FP. This phenomenon could be as a result of attendant increase in toxic level of FP in addition to adverse environment, resulting in low leaf stomatal gas exchange and diminished chloroph</w:t>
      </w:r>
      <w:r>
        <w:rPr>
          <w:rFonts w:ascii="Times New Roman" w:eastAsia="Times New Roman" w:hAnsi="Times New Roman" w:cs="Times New Roman"/>
          <w:sz w:val="28"/>
          <w:szCs w:val="28"/>
        </w:rPr>
        <w:t xml:space="preserve">yll content, which hamper photosynthetic efficiency and general performance of the plant leading to low values recorded. This conforms to Diaz-Leguizamon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reported that Luloplant treated with bio-stimulant resulted in lower gas exchange su</w:t>
      </w:r>
      <w:r>
        <w:rPr>
          <w:rFonts w:ascii="Times New Roman" w:eastAsia="Times New Roman" w:hAnsi="Times New Roman" w:cs="Times New Roman"/>
          <w:sz w:val="28"/>
          <w:szCs w:val="28"/>
        </w:rPr>
        <w:t xml:space="preserve">ch as </w:t>
      </w:r>
      <w:r>
        <w:rPr>
          <w:rFonts w:ascii="Times New Roman" w:eastAsia="Times New Roman" w:hAnsi="Times New Roman" w:cs="Times New Roman"/>
          <w:sz w:val="28"/>
          <w:szCs w:val="28"/>
        </w:rPr>
        <w:lastRenderedPageBreak/>
        <w:t xml:space="preserve">photosynthesis, stomata conductance and plant transpiration including leaf chlorophyll content. </w:t>
      </w:r>
    </w:p>
    <w:p w14:paraId="67094F88"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Meanwhile, in terms of crop growth rate (CGR) and relative growth rate (RGR), Foliar Plus had significant influence only on the crop growth rate (but not</w:t>
      </w:r>
      <w:r>
        <w:rPr>
          <w:rFonts w:ascii="Times New Roman" w:eastAsia="Times New Roman" w:hAnsi="Times New Roman" w:cs="Times New Roman"/>
          <w:sz w:val="28"/>
          <w:szCs w:val="28"/>
        </w:rPr>
        <w:t xml:space="preserve"> RGR) of cucumber, as 120mlFP/15Lwater concentration got significantly the highest growth rate, followed by 140mlFP/15Lwater, 0mlFP/15Lwater and then 160mlFP/15Lwater. This apparently implies that as the concentration of FP increased, the growth rate decre</w:t>
      </w:r>
      <w:r>
        <w:rPr>
          <w:rFonts w:ascii="Times New Roman" w:eastAsia="Times New Roman" w:hAnsi="Times New Roman" w:cs="Times New Roman"/>
          <w:sz w:val="28"/>
          <w:szCs w:val="28"/>
        </w:rPr>
        <w:t>ased which is suggestive of possible toxicity by the higher concentration of Foliar Plus. In this regard, Wojcik (2004) has stated that foliar fertilizer can hinder plant development through scorching or burning effect if the concentration is too higher. H</w:t>
      </w:r>
      <w:r>
        <w:rPr>
          <w:rFonts w:ascii="Times New Roman" w:eastAsia="Times New Roman" w:hAnsi="Times New Roman" w:cs="Times New Roman"/>
          <w:sz w:val="28"/>
          <w:szCs w:val="28"/>
        </w:rPr>
        <w:t xml:space="preserve">owever, the result agrees with Mondal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(2016) who observed that foliar application of Chitosan in tomato at 50mg/L and 75mg/L gave the highest values, whereas 100mg/L, 25mg/L and 0mg/L of the same fertilizer gave lower values. Saied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(2018) rep</w:t>
      </w:r>
      <w:r>
        <w:rPr>
          <w:rFonts w:ascii="Times New Roman" w:eastAsia="Times New Roman" w:hAnsi="Times New Roman" w:cs="Times New Roman"/>
          <w:sz w:val="28"/>
          <w:szCs w:val="28"/>
        </w:rPr>
        <w:t xml:space="preserve">orted similar results, conforming to the result on crop growth rate (CGR) of mustard seed when GABA (Gamma-aminobutyric acid) was applied on it. But in contrast, Kumar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 xml:space="preserve">(2017) discovered that the highest crop growth rate in rice resulted from foliar </w:t>
      </w:r>
      <w:r>
        <w:rPr>
          <w:rFonts w:ascii="Times New Roman" w:eastAsia="Times New Roman" w:hAnsi="Times New Roman" w:cs="Times New Roman"/>
          <w:sz w:val="28"/>
          <w:szCs w:val="28"/>
        </w:rPr>
        <w:t>application of nutrients at the stages of tillering and panicle initiation in addition to milky stage. These divergent results are in accordance with Fenandez and Eichert (2009) who stated that foliar application also depend on biological characteristics i</w:t>
      </w:r>
      <w:r>
        <w:rPr>
          <w:rFonts w:ascii="Times New Roman" w:eastAsia="Times New Roman" w:hAnsi="Times New Roman" w:cs="Times New Roman"/>
          <w:sz w:val="28"/>
          <w:szCs w:val="28"/>
        </w:rPr>
        <w:t xml:space="preserve">nvolving specific botanical species and varieties, structure, size, morphology of leaves, nutrient balance of plants and phase of development. </w:t>
      </w:r>
    </w:p>
    <w:p w14:paraId="6B3D041F"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Analysis showed that Foliar Plus had no significant effect on leaf weight ratio (LWR) of cucumber and specific l</w:t>
      </w:r>
      <w:r>
        <w:rPr>
          <w:rFonts w:ascii="Times New Roman" w:eastAsia="Times New Roman" w:hAnsi="Times New Roman" w:cs="Times New Roman"/>
          <w:sz w:val="28"/>
          <w:szCs w:val="28"/>
        </w:rPr>
        <w:t>eaf area (SLA) of cucumber, except specific leaf weight (SLW) where all three treatment concentrations (120ml, 140ml and 160ml) of Foliar Plus gave the higher values more than the control (0ml) which had the least value, significantly different from that g</w:t>
      </w:r>
      <w:r>
        <w:rPr>
          <w:rFonts w:ascii="Times New Roman" w:eastAsia="Times New Roman" w:hAnsi="Times New Roman" w:cs="Times New Roman"/>
          <w:sz w:val="28"/>
          <w:szCs w:val="28"/>
        </w:rPr>
        <w:t>iven by 140ml. Probably, it was due to the fact that plants that received the treatments absorbed more nutrients like Nitrogen leading to higher biological/physiological activities such as higher stimulation of root nutrient absorption and photosynthetic e</w:t>
      </w:r>
      <w:r>
        <w:rPr>
          <w:rFonts w:ascii="Times New Roman" w:eastAsia="Times New Roman" w:hAnsi="Times New Roman" w:cs="Times New Roman"/>
          <w:sz w:val="28"/>
          <w:szCs w:val="28"/>
        </w:rPr>
        <w:t>fficiency resulting in more vegetative expansion, and accumulation and storage of metabolites (Kannan, 2010), and this could be responsible for recorded slight increase in SLW and LWR.</w:t>
      </w:r>
    </w:p>
    <w:p w14:paraId="1ED412CC" w14:textId="77777777" w:rsidR="0091698C" w:rsidRDefault="005704CE">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the case of specific leaf area (SLA), the control (0ml or 0mlFP/15Lw</w:t>
      </w:r>
      <w:r>
        <w:rPr>
          <w:rFonts w:ascii="Times New Roman" w:eastAsia="Times New Roman" w:hAnsi="Times New Roman" w:cs="Times New Roman"/>
          <w:sz w:val="28"/>
          <w:szCs w:val="28"/>
        </w:rPr>
        <w:t xml:space="preserve">ater) gave the greatest SLA, though not significantly different from other values obtained in plots that received higher concentrations. There was a fairly steady </w:t>
      </w:r>
      <w:r>
        <w:rPr>
          <w:rFonts w:ascii="Times New Roman" w:eastAsia="Times New Roman" w:hAnsi="Times New Roman" w:cs="Times New Roman"/>
          <w:sz w:val="28"/>
          <w:szCs w:val="28"/>
        </w:rPr>
        <w:lastRenderedPageBreak/>
        <w:t>decrease in SLA values as the concentrations increased, appearing to agree with Panayota (200</w:t>
      </w:r>
      <w:r>
        <w:rPr>
          <w:rFonts w:ascii="Times New Roman" w:eastAsia="Times New Roman" w:hAnsi="Times New Roman" w:cs="Times New Roman"/>
          <w:sz w:val="28"/>
          <w:szCs w:val="28"/>
        </w:rPr>
        <w:t xml:space="preserve">4) who noted that increasing doses of Hortigrow on pepper decreased the vegetative growth. However, this result is not in conformity with Adesida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(2020) who reported that liquid poultry manure (organic fertilizer) sprayed on cucumber did not affect </w:t>
      </w:r>
      <w:r>
        <w:rPr>
          <w:rFonts w:ascii="Times New Roman" w:eastAsia="Times New Roman" w:hAnsi="Times New Roman" w:cs="Times New Roman"/>
          <w:sz w:val="28"/>
          <w:szCs w:val="28"/>
        </w:rPr>
        <w:t xml:space="preserve">leaf number and leaf area. Again, Panyaribuan </w:t>
      </w:r>
      <w:r>
        <w:rPr>
          <w:rFonts w:ascii="Times New Roman" w:eastAsia="Times New Roman" w:hAnsi="Times New Roman" w:cs="Times New Roman"/>
          <w:i/>
          <w:sz w:val="28"/>
          <w:szCs w:val="28"/>
        </w:rPr>
        <w:t>et al.</w:t>
      </w:r>
      <w:r>
        <w:rPr>
          <w:rFonts w:ascii="Times New Roman" w:eastAsia="Times New Roman" w:hAnsi="Times New Roman" w:cs="Times New Roman"/>
          <w:sz w:val="28"/>
          <w:szCs w:val="28"/>
        </w:rPr>
        <w:t xml:space="preserve"> (2019) revealed that leaf area of sweet corn was increased correspondingly to a certain point with increase in the doses of foliar organic fertilizer up to 75ml/L, above which there was no noticeable inc</w:t>
      </w:r>
      <w:r>
        <w:rPr>
          <w:rFonts w:ascii="Times New Roman" w:eastAsia="Times New Roman" w:hAnsi="Times New Roman" w:cs="Times New Roman"/>
          <w:sz w:val="28"/>
          <w:szCs w:val="28"/>
        </w:rPr>
        <w:t xml:space="preserve">rease in leaf area. Notwithstanding, this outcome of the present study could be as a result of factors like fertilizer forms and concentrations that affected the result, just as Buereu </w:t>
      </w:r>
      <w:r>
        <w:rPr>
          <w:rFonts w:ascii="Times New Roman" w:eastAsia="Times New Roman" w:hAnsi="Times New Roman" w:cs="Times New Roman"/>
          <w:i/>
          <w:sz w:val="28"/>
          <w:szCs w:val="28"/>
        </w:rPr>
        <w:t xml:space="preserve">et al. </w:t>
      </w:r>
      <w:r>
        <w:rPr>
          <w:rFonts w:ascii="Times New Roman" w:eastAsia="Times New Roman" w:hAnsi="Times New Roman" w:cs="Times New Roman"/>
          <w:sz w:val="28"/>
          <w:szCs w:val="28"/>
        </w:rPr>
        <w:t>(2011) had observed in their study, because it could not have be</w:t>
      </w:r>
      <w:r>
        <w:rPr>
          <w:rFonts w:ascii="Times New Roman" w:eastAsia="Times New Roman" w:hAnsi="Times New Roman" w:cs="Times New Roman"/>
          <w:sz w:val="28"/>
          <w:szCs w:val="28"/>
        </w:rPr>
        <w:t xml:space="preserve">en Foliar Plus that slightly increased the SLA value in the control plot. </w:t>
      </w:r>
    </w:p>
    <w:p w14:paraId="48E1E790" w14:textId="77777777" w:rsidR="0091698C" w:rsidRDefault="005704CE">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1D7D55C8" w14:textId="77777777" w:rsidR="0091698C" w:rsidRDefault="005704C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With liquid organic foliar feeding/application, vegetable crop productivity can be enhanced through correcting the crop physiological imbalances occasioned by soil nutrie</w:t>
      </w:r>
      <w:r>
        <w:rPr>
          <w:rFonts w:ascii="Times New Roman" w:eastAsia="Times New Roman" w:hAnsi="Times New Roman" w:cs="Times New Roman"/>
          <w:sz w:val="28"/>
          <w:szCs w:val="28"/>
        </w:rPr>
        <w:t xml:space="preserve">nt deficiencies. The present study indicated that the liquid organic fertilizer, Foliar Plus, did impart significantly on the crop growth rate (CGR) and specific leaf weight (SLW) of cucumber as 120mlFP/15Lwater and 140mlFP/15Lwater gave the highest value </w:t>
      </w:r>
      <w:r>
        <w:rPr>
          <w:rFonts w:ascii="Times New Roman" w:eastAsia="Times New Roman" w:hAnsi="Times New Roman" w:cs="Times New Roman"/>
          <w:sz w:val="28"/>
          <w:szCs w:val="28"/>
        </w:rPr>
        <w:t>of CGR whereas 0mlFP/15Lwater got the lowest values. However, canopy cover (CC), crop dry weight (CDW), leaf area index (LAI), Net assimilation rate (NAR) and specific leaf area (SLA) of cucumber were not significantly affected by different doses of the tr</w:t>
      </w:r>
      <w:r>
        <w:rPr>
          <w:rFonts w:ascii="Times New Roman" w:eastAsia="Times New Roman" w:hAnsi="Times New Roman" w:cs="Times New Roman"/>
          <w:sz w:val="28"/>
          <w:szCs w:val="28"/>
        </w:rPr>
        <w:t>eatment.</w:t>
      </w:r>
    </w:p>
    <w:p w14:paraId="6C50A4A8" w14:textId="77777777" w:rsidR="0091698C" w:rsidRDefault="0091698C">
      <w:pPr>
        <w:spacing w:line="360" w:lineRule="auto"/>
        <w:rPr>
          <w:rFonts w:ascii="Times New Roman" w:eastAsia="Times New Roman" w:hAnsi="Times New Roman" w:cs="Times New Roman"/>
          <w:sz w:val="28"/>
          <w:szCs w:val="28"/>
        </w:rPr>
      </w:pPr>
    </w:p>
    <w:p w14:paraId="6CC9BA6A" w14:textId="77777777" w:rsidR="0091698C" w:rsidRDefault="0091698C">
      <w:pPr>
        <w:spacing w:line="360" w:lineRule="auto"/>
        <w:rPr>
          <w:rFonts w:ascii="Times New Roman" w:eastAsia="Times New Roman" w:hAnsi="Times New Roman" w:cs="Times New Roman"/>
          <w:sz w:val="28"/>
          <w:szCs w:val="28"/>
        </w:rPr>
      </w:pPr>
    </w:p>
    <w:p w14:paraId="1201583E" w14:textId="4C1DCFD8" w:rsidR="0091698C" w:rsidRDefault="0091698C">
      <w:pPr>
        <w:spacing w:line="360" w:lineRule="auto"/>
        <w:rPr>
          <w:rFonts w:ascii="Times New Roman" w:eastAsia="Times New Roman" w:hAnsi="Times New Roman" w:cs="Times New Roman"/>
          <w:sz w:val="28"/>
          <w:szCs w:val="28"/>
        </w:rPr>
      </w:pPr>
    </w:p>
    <w:p w14:paraId="2EBB76B3" w14:textId="68C573B6" w:rsidR="009E2702" w:rsidRDefault="009E2702">
      <w:pPr>
        <w:spacing w:line="360" w:lineRule="auto"/>
        <w:rPr>
          <w:rFonts w:ascii="Times New Roman" w:eastAsia="Times New Roman" w:hAnsi="Times New Roman" w:cs="Times New Roman"/>
          <w:sz w:val="28"/>
          <w:szCs w:val="28"/>
        </w:rPr>
      </w:pPr>
    </w:p>
    <w:p w14:paraId="79F50047" w14:textId="4718AAF7" w:rsidR="009E2702" w:rsidRDefault="009E2702">
      <w:pPr>
        <w:spacing w:line="360" w:lineRule="auto"/>
        <w:rPr>
          <w:rFonts w:ascii="Times New Roman" w:eastAsia="Times New Roman" w:hAnsi="Times New Roman" w:cs="Times New Roman"/>
          <w:sz w:val="28"/>
          <w:szCs w:val="28"/>
        </w:rPr>
      </w:pPr>
    </w:p>
    <w:p w14:paraId="18639349" w14:textId="77777777" w:rsidR="009E2702" w:rsidRDefault="009E2702">
      <w:pPr>
        <w:spacing w:line="360" w:lineRule="auto"/>
        <w:rPr>
          <w:rFonts w:ascii="Times New Roman" w:eastAsia="Times New Roman" w:hAnsi="Times New Roman" w:cs="Times New Roman"/>
          <w:sz w:val="28"/>
          <w:szCs w:val="28"/>
        </w:rPr>
      </w:pPr>
      <w:bookmarkStart w:id="0" w:name="_GoBack"/>
      <w:bookmarkEnd w:id="0"/>
    </w:p>
    <w:p w14:paraId="58A2ED02" w14:textId="77777777" w:rsidR="0091698C" w:rsidRDefault="0091698C">
      <w:pPr>
        <w:spacing w:line="360" w:lineRule="auto"/>
        <w:rPr>
          <w:rFonts w:ascii="Times New Roman" w:eastAsia="Times New Roman" w:hAnsi="Times New Roman" w:cs="Times New Roman"/>
          <w:sz w:val="28"/>
          <w:szCs w:val="28"/>
        </w:rPr>
      </w:pPr>
    </w:p>
    <w:p w14:paraId="7D6B3F30" w14:textId="77777777" w:rsidR="0091698C" w:rsidRDefault="0091698C">
      <w:pPr>
        <w:spacing w:line="360" w:lineRule="auto"/>
        <w:rPr>
          <w:rFonts w:ascii="Times New Roman" w:eastAsia="Times New Roman" w:hAnsi="Times New Roman" w:cs="Times New Roman"/>
          <w:sz w:val="28"/>
          <w:szCs w:val="28"/>
        </w:rPr>
      </w:pPr>
    </w:p>
    <w:p w14:paraId="16640FFF"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References</w:t>
      </w:r>
    </w:p>
    <w:p w14:paraId="17C67159"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Adesida O. A, Smart M.O, Bamigboye T.O, Adedokun T. A, and Odewale M.O. (2020)</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Effect of Liquid Organic Manure and Staking Methods on the Growth and Yield of Cucumber </w:t>
      </w:r>
      <w:r>
        <w:rPr>
          <w:rFonts w:ascii="Times New Roman" w:eastAsia="Times New Roman" w:hAnsi="Times New Roman" w:cs="Times New Roman"/>
          <w:i/>
          <w:sz w:val="26"/>
          <w:szCs w:val="26"/>
        </w:rPr>
        <w:t xml:space="preserve">(Cucumis sativus L.). Journal of Research in </w:t>
      </w:r>
      <w:r>
        <w:rPr>
          <w:rFonts w:ascii="Times New Roman" w:eastAsia="Times New Roman" w:hAnsi="Times New Roman" w:cs="Times New Roman"/>
          <w:i/>
          <w:sz w:val="26"/>
          <w:szCs w:val="26"/>
        </w:rPr>
        <w:t>Forestry, Wildlife &amp; Environment Vol. 12(2), Pg 148</w:t>
      </w:r>
    </w:p>
    <w:p w14:paraId="32F7104A"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Anjum, S. A., Wang, L., Farooq, M., Xue, L. and Ali, S. 2011. Fulvic Acid Application Improves the Maize Performance under Well‐watered and Drought Conditions. </w:t>
      </w:r>
      <w:r>
        <w:rPr>
          <w:rFonts w:ascii="Times New Roman" w:eastAsia="Times New Roman" w:hAnsi="Times New Roman" w:cs="Times New Roman"/>
          <w:i/>
          <w:sz w:val="26"/>
          <w:szCs w:val="26"/>
        </w:rPr>
        <w:t>Journal of agronomy and crop science, 197, 4</w:t>
      </w:r>
      <w:r>
        <w:rPr>
          <w:rFonts w:ascii="Times New Roman" w:eastAsia="Times New Roman" w:hAnsi="Times New Roman" w:cs="Times New Roman"/>
          <w:i/>
          <w:sz w:val="26"/>
          <w:szCs w:val="26"/>
        </w:rPr>
        <w:t>09-417.</w:t>
      </w:r>
    </w:p>
    <w:p w14:paraId="4B38C01F"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Blanco, F. F. and Folegatti, M. V. (2005). Estimation of Leaf Area for Greenhouse Cucumber by Linear Measurements under Salinity and Grafting</w:t>
      </w:r>
      <w:r>
        <w:rPr>
          <w:rFonts w:ascii="Times New Roman" w:eastAsia="Times New Roman" w:hAnsi="Times New Roman" w:cs="Times New Roman"/>
          <w:i/>
          <w:sz w:val="26"/>
          <w:szCs w:val="26"/>
        </w:rPr>
        <w:t>. Scientia Agricola, 62, 305-309. https://doi.org/10.1590/S0103-9016200500040000</w:t>
      </w:r>
    </w:p>
    <w:p w14:paraId="5B2F4BEA"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Bueren. L.E.T., S.S. Jones, L. Tamm, K.M. Murphy, J.R. Myers, C. Leifert and M.M. Messmer (2011). The need to breed crop varieties suitable for organic farming, using wheat, tomato and broccoli as examples: </w:t>
      </w:r>
      <w:r>
        <w:rPr>
          <w:rFonts w:ascii="Times New Roman" w:eastAsia="Times New Roman" w:hAnsi="Times New Roman" w:cs="Times New Roman"/>
          <w:i/>
          <w:sz w:val="26"/>
          <w:szCs w:val="26"/>
        </w:rPr>
        <w:t>A review. Wageningen Journal of Life Sciences. 58</w:t>
      </w:r>
      <w:r>
        <w:rPr>
          <w:rFonts w:ascii="Times New Roman" w:eastAsia="Times New Roman" w:hAnsi="Times New Roman" w:cs="Times New Roman"/>
          <w:i/>
          <w:sz w:val="26"/>
          <w:szCs w:val="26"/>
        </w:rPr>
        <w:t>:193-205</w:t>
      </w:r>
    </w:p>
    <w:p w14:paraId="40802401"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Cho Y. Y., Oh S., Oh M. M., and Son J. E. (2007). Estimation of Individual Leaf Area, Fresh Weight, and Dry Weight of Hydroponically Grown Cucumbers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Using Leaf length, Width, and SPAD Value. </w:t>
      </w:r>
      <w:r>
        <w:rPr>
          <w:rFonts w:ascii="Times New Roman" w:eastAsia="Times New Roman" w:hAnsi="Times New Roman" w:cs="Times New Roman"/>
          <w:i/>
          <w:sz w:val="26"/>
          <w:szCs w:val="26"/>
        </w:rPr>
        <w:t>Scientia Horticulturae, 111:330–334</w:t>
      </w:r>
      <w:r>
        <w:rPr>
          <w:rFonts w:ascii="Times New Roman" w:eastAsia="Times New Roman" w:hAnsi="Times New Roman" w:cs="Times New Roman"/>
          <w:i/>
          <w:sz w:val="26"/>
          <w:szCs w:val="26"/>
        </w:rPr>
        <w:t xml:space="preserve">. </w:t>
      </w:r>
    </w:p>
    <w:p w14:paraId="0EF20598"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Díaz-Leguizamón J. J., Chingaté-Cruz O.F., Sánchez-Reinoso A. D., and H. Restrepo-Diaz.(2016). The effect of foliar applications of a bio-stimulant derived from algae extract on the physiological behavior of lulo seedlings (Solanum quitoense cv. Septent</w:t>
      </w:r>
      <w:r>
        <w:rPr>
          <w:rFonts w:ascii="Times New Roman" w:eastAsia="Times New Roman" w:hAnsi="Times New Roman" w:cs="Times New Roman"/>
          <w:sz w:val="26"/>
          <w:szCs w:val="26"/>
        </w:rPr>
        <w:t>rionale).</w:t>
      </w:r>
      <w:r>
        <w:rPr>
          <w:rFonts w:ascii="Times New Roman" w:eastAsia="Times New Roman" w:hAnsi="Times New Roman" w:cs="Times New Roman"/>
          <w:i/>
          <w:sz w:val="26"/>
          <w:szCs w:val="26"/>
        </w:rPr>
        <w:t xml:space="preserve"> Cienciae Investigaci Agraria. 43(1):25-37 DOI:10.4067/rcia.v43i1.1548</w:t>
      </w:r>
    </w:p>
    <w:p w14:paraId="75CD59C7"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Eifediyi E. K and Remison S. U. (2010). Growth and Yield of Cucumber (Cucumis sativus L.) as Influenced by Farmyard Manure and Inorganic Fertilizer. </w:t>
      </w:r>
      <w:r>
        <w:rPr>
          <w:rFonts w:ascii="Times New Roman" w:eastAsia="Times New Roman" w:hAnsi="Times New Roman" w:cs="Times New Roman"/>
          <w:i/>
          <w:sz w:val="26"/>
          <w:szCs w:val="26"/>
        </w:rPr>
        <w:t>Journal of Plant Breeding a</w:t>
      </w:r>
      <w:r>
        <w:rPr>
          <w:rFonts w:ascii="Times New Roman" w:eastAsia="Times New Roman" w:hAnsi="Times New Roman" w:cs="Times New Roman"/>
          <w:i/>
          <w:sz w:val="26"/>
          <w:szCs w:val="26"/>
        </w:rPr>
        <w:t>nd Crop Science 2(7): 216-220.</w:t>
      </w:r>
    </w:p>
    <w:p w14:paraId="61FA2505"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Ekwu L. G., Utobo E. B. and Oyesola C. A. (2007). Vegetative and Yield Response of Cucumber (</w:t>
      </w:r>
      <w:r>
        <w:rPr>
          <w:rFonts w:ascii="Times New Roman" w:eastAsia="Times New Roman" w:hAnsi="Times New Roman" w:cs="Times New Roman"/>
          <w:i/>
          <w:sz w:val="26"/>
          <w:szCs w:val="26"/>
        </w:rPr>
        <w:t>Cucumis sativus L</w:t>
      </w:r>
      <w:r>
        <w:rPr>
          <w:rFonts w:ascii="Times New Roman" w:eastAsia="Times New Roman" w:hAnsi="Times New Roman" w:cs="Times New Roman"/>
          <w:sz w:val="26"/>
          <w:szCs w:val="26"/>
        </w:rPr>
        <w:t xml:space="preserve">.) to Staking and Nitrogen Fertilizer Application. </w:t>
      </w:r>
      <w:r>
        <w:rPr>
          <w:rFonts w:ascii="Times New Roman" w:eastAsia="Times New Roman" w:hAnsi="Times New Roman" w:cs="Times New Roman"/>
          <w:i/>
          <w:sz w:val="26"/>
          <w:szCs w:val="26"/>
        </w:rPr>
        <w:t>Journal of Applied Sciences, 19 (4):7509-7519</w:t>
      </w:r>
      <w:r>
        <w:rPr>
          <w:rFonts w:ascii="Times New Roman" w:eastAsia="Times New Roman" w:hAnsi="Times New Roman" w:cs="Times New Roman"/>
          <w:sz w:val="26"/>
          <w:szCs w:val="26"/>
        </w:rPr>
        <w:t xml:space="preserve">.  </w:t>
      </w:r>
    </w:p>
    <w:p w14:paraId="546B293A"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sz w:val="26"/>
          <w:szCs w:val="26"/>
        </w:rPr>
        <w:t xml:space="preserve"> </w:t>
      </w:r>
      <w:r>
        <w:rPr>
          <w:rFonts w:ascii="Times New Roman" w:eastAsia="Times New Roman" w:hAnsi="Times New Roman" w:cs="Times New Roman"/>
          <w:sz w:val="26"/>
          <w:szCs w:val="26"/>
        </w:rPr>
        <w:t>El -Wanis, A.,</w:t>
      </w:r>
      <w:r>
        <w:rPr>
          <w:rFonts w:ascii="Times New Roman" w:eastAsia="Times New Roman" w:hAnsi="Times New Roman" w:cs="Times New Roman"/>
          <w:sz w:val="26"/>
          <w:szCs w:val="26"/>
        </w:rPr>
        <w:t xml:space="preserve"> Mona, M., Abdel-Baky M. H. and Salman S. R. (2012). Effect of Grafting and Salt Stress on the Growth, Yield and Quality of Cucumber Grown in NET System. </w:t>
      </w:r>
      <w:r>
        <w:rPr>
          <w:rFonts w:ascii="Times New Roman" w:eastAsia="Times New Roman" w:hAnsi="Times New Roman" w:cs="Times New Roman"/>
          <w:i/>
          <w:sz w:val="26"/>
          <w:szCs w:val="26"/>
        </w:rPr>
        <w:t>Journal of Applied Sciences Research, 8 (10): 5059-5067</w:t>
      </w:r>
    </w:p>
    <w:p w14:paraId="2E196BF1"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Fageria N. K, Barbosa, Filho M. P, Moreira A, </w:t>
      </w:r>
      <w:r>
        <w:rPr>
          <w:rFonts w:ascii="Times New Roman" w:eastAsia="Times New Roman" w:hAnsi="Times New Roman" w:cs="Times New Roman"/>
          <w:sz w:val="26"/>
          <w:szCs w:val="26"/>
        </w:rPr>
        <w:t xml:space="preserve">Gumaraes C. M.(2009). Foliar fertilization of crop plants. </w:t>
      </w:r>
      <w:r>
        <w:rPr>
          <w:rFonts w:ascii="Times New Roman" w:eastAsia="Times New Roman" w:hAnsi="Times New Roman" w:cs="Times New Roman"/>
          <w:i/>
          <w:sz w:val="26"/>
          <w:szCs w:val="26"/>
        </w:rPr>
        <w:t>J. Plant Nutr; 32(6):1044-1064.</w:t>
      </w:r>
    </w:p>
    <w:p w14:paraId="204EB62C"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FAO (2006). Food and Agriculture Organisation Statistics for cucumber www.faostat.fao.org/faostat/cucurbits.</w:t>
      </w:r>
    </w:p>
    <w:p w14:paraId="06AF839D" w14:textId="77777777"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Fernández V, Eichert T. (2009). Uptake of Hydrophilic So</w:t>
      </w:r>
      <w:r>
        <w:rPr>
          <w:rFonts w:ascii="Times New Roman" w:eastAsia="Times New Roman" w:hAnsi="Times New Roman" w:cs="Times New Roman"/>
          <w:sz w:val="26"/>
          <w:szCs w:val="26"/>
        </w:rPr>
        <w:t>lutes Through Plant Leaves: C</w:t>
      </w:r>
      <w:r>
        <w:rPr>
          <w:rFonts w:ascii="Times New Roman" w:eastAsia="Times New Roman" w:hAnsi="Times New Roman" w:cs="Times New Roman"/>
          <w:i/>
          <w:sz w:val="26"/>
          <w:szCs w:val="26"/>
        </w:rPr>
        <w:t>urrent State of Knowledge and Perspectives of Foliar Fertilization, Critical Reviews in Plant Science</w:t>
      </w:r>
      <w:r>
        <w:rPr>
          <w:rFonts w:ascii="Times New Roman" w:eastAsia="Times New Roman" w:hAnsi="Times New Roman" w:cs="Times New Roman"/>
          <w:sz w:val="26"/>
          <w:szCs w:val="26"/>
        </w:rPr>
        <w:t>; V. 28. I83 182:36-68</w:t>
      </w:r>
    </w:p>
    <w:p w14:paraId="1658D868"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Heinonen-Tanski, H., Mohaibes M., Karinen, P., Karinen, P., and Koivunen, J. (2006). Methods of Reducin</w:t>
      </w:r>
      <w:r>
        <w:rPr>
          <w:rFonts w:ascii="Times New Roman" w:eastAsia="Times New Roman" w:hAnsi="Times New Roman" w:cs="Times New Roman"/>
          <w:sz w:val="26"/>
          <w:szCs w:val="26"/>
        </w:rPr>
        <w:t xml:space="preserve">g Pathogen Microorganisms in Manure. </w:t>
      </w:r>
      <w:r>
        <w:rPr>
          <w:rFonts w:ascii="Times New Roman" w:eastAsia="Times New Roman" w:hAnsi="Times New Roman" w:cs="Times New Roman"/>
          <w:i/>
          <w:sz w:val="26"/>
          <w:szCs w:val="26"/>
        </w:rPr>
        <w:t xml:space="preserve">Livestock Science, 102 (3), 248-255. </w:t>
      </w:r>
    </w:p>
    <w:p w14:paraId="6972D45D"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Jamal, Z., M. Hamayun, N. Ahmad, and M. Chaudhary (2006). Effects of Soil and Foliar Application of Different Concentratins of NPK and Foliar Application of (NH4)</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on Different Y</w:t>
      </w:r>
      <w:r>
        <w:rPr>
          <w:rFonts w:ascii="Times New Roman" w:eastAsia="Times New Roman" w:hAnsi="Times New Roman" w:cs="Times New Roman"/>
          <w:sz w:val="26"/>
          <w:szCs w:val="26"/>
        </w:rPr>
        <w:t>ield Parameters in Wheat.</w:t>
      </w:r>
      <w:r>
        <w:rPr>
          <w:rFonts w:ascii="Times New Roman" w:eastAsia="Times New Roman" w:hAnsi="Times New Roman" w:cs="Times New Roman"/>
          <w:i/>
          <w:sz w:val="26"/>
          <w:szCs w:val="26"/>
        </w:rPr>
        <w:t xml:space="preserve"> Journal of Agronomy, 5(2): 251-256. </w:t>
      </w:r>
    </w:p>
    <w:p w14:paraId="7549D1AB"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Jaskulski D. (2007). Comparison of the Effect of Foliar Fertilization on Economic and Production Effect of Growing Some Field Crops. </w:t>
      </w:r>
      <w:r>
        <w:rPr>
          <w:rFonts w:ascii="Times New Roman" w:eastAsia="Times New Roman" w:hAnsi="Times New Roman" w:cs="Times New Roman"/>
          <w:i/>
          <w:sz w:val="26"/>
          <w:szCs w:val="26"/>
        </w:rPr>
        <w:t xml:space="preserve">Fragmenta Agronomica (Poland); </w:t>
      </w:r>
      <w:r>
        <w:rPr>
          <w:rFonts w:ascii="Times New Roman" w:eastAsia="Times New Roman" w:hAnsi="Times New Roman" w:cs="Times New Roman"/>
          <w:sz w:val="26"/>
          <w:szCs w:val="26"/>
        </w:rPr>
        <w:t xml:space="preserve">24(93):106-112. </w:t>
      </w:r>
    </w:p>
    <w:p w14:paraId="2BFD7DD1"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Kannan, S. (</w:t>
      </w:r>
      <w:r>
        <w:rPr>
          <w:rFonts w:ascii="Times New Roman" w:eastAsia="Times New Roman" w:hAnsi="Times New Roman" w:cs="Times New Roman"/>
          <w:sz w:val="26"/>
          <w:szCs w:val="26"/>
        </w:rPr>
        <w:t xml:space="preserve">2010). Foliar Fertilization for Sustainable Crop Production. </w:t>
      </w:r>
      <w:r>
        <w:rPr>
          <w:rFonts w:ascii="Times New Roman" w:eastAsia="Times New Roman" w:hAnsi="Times New Roman" w:cs="Times New Roman"/>
          <w:i/>
          <w:sz w:val="26"/>
          <w:szCs w:val="26"/>
        </w:rPr>
        <w:t xml:space="preserve">Sustainable Ag-riculture reviews, Genetic Engineering, Bio fertilization, Soil quality and Organic Farming, 4 (6): 371- 402 </w:t>
      </w:r>
    </w:p>
    <w:p w14:paraId="36D07598"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Kerin V, Berova M. (2003). Foliar Fertilization in Plants (Bulgarian).</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 xml:space="preserve">Videnov and Son, Sofia 2003. </w:t>
      </w:r>
    </w:p>
    <w:p w14:paraId="763C2AAC"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lastRenderedPageBreak/>
        <w:t xml:space="preserve">Khan W, Rayirath U.P., Subramanian S., Jithesh M.N., Raymorath P., Hodges D. M., Critchley A. T., Cragie J. S., Norrie J, Prithivirath B. (2009). Seaweed Extract as Biostimulants of Plant Growth and Development. </w:t>
      </w:r>
      <w:r>
        <w:rPr>
          <w:rFonts w:ascii="Times New Roman" w:eastAsia="Times New Roman" w:hAnsi="Times New Roman" w:cs="Times New Roman"/>
          <w:i/>
          <w:sz w:val="26"/>
          <w:szCs w:val="26"/>
        </w:rPr>
        <w:t>J Plant Growt</w:t>
      </w:r>
      <w:r>
        <w:rPr>
          <w:rFonts w:ascii="Times New Roman" w:eastAsia="Times New Roman" w:hAnsi="Times New Roman" w:cs="Times New Roman"/>
          <w:i/>
          <w:sz w:val="26"/>
          <w:szCs w:val="26"/>
        </w:rPr>
        <w:t>h Regul 28:386-399</w:t>
      </w:r>
    </w:p>
    <w:p w14:paraId="7D3DFC3F"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sz w:val="26"/>
          <w:szCs w:val="26"/>
        </w:rPr>
        <w:t>Kowsar J. and Boswal M. V. (2015) Effect of Bio-fertilizer and Organic fertilizer on physiological characteristics of Bread Wheat [</w:t>
      </w:r>
      <w:r>
        <w:rPr>
          <w:i/>
          <w:sz w:val="26"/>
          <w:szCs w:val="26"/>
        </w:rPr>
        <w:t>triticum aestivum</w:t>
      </w:r>
      <w:r>
        <w:rPr>
          <w:sz w:val="26"/>
          <w:szCs w:val="26"/>
        </w:rPr>
        <w:t xml:space="preserve"> L].</w:t>
      </w:r>
      <w:r>
        <w:rPr>
          <w:rFonts w:ascii="Times New Roman" w:eastAsia="Times New Roman" w:hAnsi="Times New Roman" w:cs="Times New Roman"/>
          <w:sz w:val="26"/>
          <w:szCs w:val="26"/>
        </w:rPr>
        <w:t xml:space="preserve"> </w:t>
      </w:r>
      <w:r>
        <w:rPr>
          <w:sz w:val="26"/>
          <w:szCs w:val="26"/>
        </w:rPr>
        <w:t>In</w:t>
      </w:r>
      <w:r>
        <w:rPr>
          <w:i/>
          <w:sz w:val="26"/>
          <w:szCs w:val="26"/>
        </w:rPr>
        <w:t xml:space="preserve">ternational Journal of scientific research and management (IJSRM); Vol 3, </w:t>
      </w:r>
      <w:r>
        <w:rPr>
          <w:i/>
          <w:sz w:val="26"/>
          <w:szCs w:val="26"/>
        </w:rPr>
        <w:t>pp:2073-2089</w:t>
      </w:r>
    </w:p>
    <w:p w14:paraId="4E02EF27"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Kumar R., Singh, A., Yadav R. B., Kumar A., Kumar S., Shahi U. P., and Singh A. P. (2017). Growth, Development and Yield Response of Rice (Oryza sativa L.) as Infuenced by Efficient Nitrogen Management Under Subtropical Climatic Condition. </w:t>
      </w:r>
      <w:r>
        <w:rPr>
          <w:rFonts w:ascii="Times New Roman" w:eastAsia="Times New Roman" w:hAnsi="Times New Roman" w:cs="Times New Roman"/>
          <w:i/>
          <w:sz w:val="26"/>
          <w:szCs w:val="26"/>
        </w:rPr>
        <w:t>Jou</w:t>
      </w:r>
      <w:r>
        <w:rPr>
          <w:rFonts w:ascii="Times New Roman" w:eastAsia="Times New Roman" w:hAnsi="Times New Roman" w:cs="Times New Roman"/>
          <w:i/>
          <w:sz w:val="26"/>
          <w:szCs w:val="26"/>
        </w:rPr>
        <w:t>rnal Pharmacognosy and Phytochemistry, 1, 791–797.</w:t>
      </w:r>
    </w:p>
    <w:p w14:paraId="619D8528"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Kuepper G. (2003). Foliar Fertilization Current Topic, ATTRA – National sustainable Agriculture Information service, NCAT Agriculture specialist; March 2003.</w:t>
      </w:r>
    </w:p>
    <w:p w14:paraId="730A2F23"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Liang F. and Silverbush M. (2002). Response of </w:t>
      </w:r>
      <w:r>
        <w:rPr>
          <w:rFonts w:ascii="Times New Roman" w:eastAsia="Times New Roman" w:hAnsi="Times New Roman" w:cs="Times New Roman"/>
          <w:sz w:val="26"/>
          <w:szCs w:val="26"/>
        </w:rPr>
        <w:t xml:space="preserve">Maize to Foliar vs. Soil Application of Nitrogen- Phosphorus - Potassium Fertilizer. </w:t>
      </w:r>
      <w:r>
        <w:rPr>
          <w:rFonts w:ascii="Times New Roman" w:eastAsia="Times New Roman" w:hAnsi="Times New Roman" w:cs="Times New Roman"/>
          <w:i/>
          <w:sz w:val="26"/>
          <w:szCs w:val="26"/>
        </w:rPr>
        <w:t>Journal of Plant Nutr. 25: 2333- 2342</w:t>
      </w:r>
    </w:p>
    <w:p w14:paraId="68BF4939"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Mahmoodi B., Moballeghi M., Eftekhari A., and M. Neshaie-Mogadam (2020). Efects of Foliar Application of Liquid Fertilizer on Agronom</w:t>
      </w:r>
      <w:r>
        <w:rPr>
          <w:rFonts w:ascii="Times New Roman" w:eastAsia="Times New Roman" w:hAnsi="Times New Roman" w:cs="Times New Roman"/>
          <w:sz w:val="26"/>
          <w:szCs w:val="26"/>
        </w:rPr>
        <w:t>ical and Physiological Traits of Rice</w:t>
      </w:r>
      <w:r>
        <w:rPr>
          <w:rFonts w:ascii="Times New Roman" w:eastAsia="Times New Roman" w:hAnsi="Times New Roman" w:cs="Times New Roman"/>
          <w:i/>
          <w:sz w:val="26"/>
          <w:szCs w:val="26"/>
        </w:rPr>
        <w:t xml:space="preserve"> (Oryza sativa L.). Acta Agrobotanica /Volume 73 / Issue 3 / Article 7332. Also available at </w:t>
      </w:r>
      <w:hyperlink r:id="rId7" w:history="1">
        <w:r>
          <w:rPr>
            <w:rFonts w:ascii="Times New Roman" w:eastAsia="Times New Roman" w:hAnsi="Times New Roman" w:cs="Times New Roman"/>
            <w:i/>
            <w:color w:val="0563C1"/>
            <w:sz w:val="26"/>
            <w:szCs w:val="26"/>
            <w:u w:val="single"/>
          </w:rPr>
          <w:t>https://doi.org/10.5586/aa.7332</w:t>
        </w:r>
      </w:hyperlink>
      <w:r>
        <w:rPr>
          <w:rFonts w:ascii="Times New Roman" w:eastAsia="Times New Roman" w:hAnsi="Times New Roman" w:cs="Times New Roman"/>
          <w:i/>
          <w:sz w:val="26"/>
          <w:szCs w:val="26"/>
        </w:rPr>
        <w:t xml:space="preserve"> </w:t>
      </w:r>
    </w:p>
    <w:p w14:paraId="0D690520"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Mondal M.M.A., Puteh B. and Dafader N. C. (20</w:t>
      </w:r>
      <w:r>
        <w:rPr>
          <w:rFonts w:ascii="Times New Roman" w:eastAsia="Times New Roman" w:hAnsi="Times New Roman" w:cs="Times New Roman"/>
          <w:sz w:val="26"/>
          <w:szCs w:val="26"/>
        </w:rPr>
        <w:t>16). FOLLAR APPLICATION OF CHITOSAN IMPROVED MORPHO PHYSIOLOGICAL ATTRIBUTES AND YIELD IN SUMMER TOMATO</w:t>
      </w:r>
      <w:r>
        <w:rPr>
          <w:rFonts w:ascii="Times New Roman" w:eastAsia="Times New Roman" w:hAnsi="Times New Roman" w:cs="Times New Roman"/>
          <w:i/>
          <w:sz w:val="26"/>
          <w:szCs w:val="26"/>
        </w:rPr>
        <w:t xml:space="preserve">(Solanum lycopersicum ). Pak J. Agri. Sci., Yot 53 (2), 3.39-544. </w:t>
      </w:r>
    </w:p>
    <w:p w14:paraId="10F641F1" w14:textId="77777777" w:rsidR="0091698C" w:rsidRDefault="005704CE">
      <w:pPr>
        <w:tabs>
          <w:tab w:val="left" w:pos="180"/>
          <w:tab w:val="left" w:pos="360"/>
          <w:tab w:val="left" w:pos="80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Moreno-Caselles, J., Moral, R., Perez-Murcia, M., Perez-Espinosa, A., and Rufete, B. (2002). Nutrient Value of Animal Manures in front of Environmental Harzards, </w:t>
      </w:r>
      <w:r>
        <w:rPr>
          <w:rFonts w:ascii="Times New Roman" w:eastAsia="Times New Roman" w:hAnsi="Times New Roman" w:cs="Times New Roman"/>
          <w:i/>
          <w:sz w:val="26"/>
          <w:szCs w:val="26"/>
        </w:rPr>
        <w:t>Communications in Soil Science and Plant Analysis, 33 (15 - 18): 3023 - 3032</w:t>
      </w:r>
    </w:p>
    <w:p w14:paraId="524C7F8F" w14:textId="77777777" w:rsidR="0091698C" w:rsidRDefault="005704CE">
      <w:pPr>
        <w:tabs>
          <w:tab w:val="left" w:pos="180"/>
          <w:tab w:val="left" w:pos="360"/>
          <w:tab w:val="left" w:pos="80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Mudita T., Chipfi</w:t>
      </w:r>
      <w:r>
        <w:rPr>
          <w:rFonts w:ascii="Times New Roman" w:eastAsia="Times New Roman" w:hAnsi="Times New Roman" w:cs="Times New Roman"/>
          <w:sz w:val="26"/>
          <w:szCs w:val="26"/>
          <w:highlight w:val="white"/>
        </w:rPr>
        <w:t>ko P.,Mapfumo and Tigere T. A. (2014). Effects of Foliar Fertilizer on Yield and Quality of Green Mealies (</w:t>
      </w:r>
      <w:r>
        <w:rPr>
          <w:rFonts w:ascii="Times New Roman" w:eastAsia="Times New Roman" w:hAnsi="Times New Roman" w:cs="Times New Roman"/>
          <w:i/>
          <w:sz w:val="26"/>
          <w:szCs w:val="26"/>
        </w:rPr>
        <w:t xml:space="preserve">Zea mays </w:t>
      </w:r>
      <w:r>
        <w:rPr>
          <w:rFonts w:ascii="Times New Roman" w:eastAsia="Times New Roman" w:hAnsi="Times New Roman" w:cs="Times New Roman"/>
          <w:sz w:val="26"/>
          <w:szCs w:val="26"/>
          <w:highlight w:val="white"/>
        </w:rPr>
        <w:t xml:space="preserve">L.). </w:t>
      </w:r>
      <w:r>
        <w:rPr>
          <w:rFonts w:ascii="Times New Roman" w:eastAsia="Times New Roman" w:hAnsi="Times New Roman" w:cs="Times New Roman"/>
          <w:i/>
          <w:sz w:val="26"/>
          <w:szCs w:val="26"/>
        </w:rPr>
        <w:t>Journal of Agronomy, 13: 35-39.</w:t>
      </w:r>
    </w:p>
    <w:p w14:paraId="5BC675F4" w14:textId="77777777"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sz w:val="26"/>
          <w:szCs w:val="26"/>
          <w:u w:val="none"/>
        </w:rPr>
      </w:pPr>
      <w:r>
        <w:rPr>
          <w:rFonts w:ascii="Times New Roman" w:eastAsia="Times New Roman" w:hAnsi="Times New Roman" w:cs="Times New Roman"/>
          <w:sz w:val="26"/>
          <w:szCs w:val="26"/>
        </w:rPr>
        <w:t>NIMET (2008). Nigeria Climate Review Bulletin 2007. Nigerian Metrological Agency NIMET No. 001</w:t>
      </w:r>
    </w:p>
    <w:p w14:paraId="67A7E5C8"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highlight w:val="white"/>
        </w:rPr>
        <w:t xml:space="preserve">Niu J., </w:t>
      </w:r>
      <w:r>
        <w:rPr>
          <w:rFonts w:ascii="Times New Roman" w:eastAsia="Times New Roman" w:hAnsi="Times New Roman" w:cs="Times New Roman"/>
          <w:sz w:val="26"/>
          <w:szCs w:val="26"/>
          <w:highlight w:val="white"/>
        </w:rPr>
        <w:t>Liu C., Huang Liu K. and Yan D. (2021). Effects of Foliar Fertilization: A Review of Current Status and Future Perspectives</w:t>
      </w:r>
      <w:r>
        <w:rPr>
          <w:rFonts w:ascii="Times New Roman" w:eastAsia="Times New Roman" w:hAnsi="Times New Roman" w:cs="Times New Roman"/>
          <w:i/>
          <w:sz w:val="26"/>
          <w:szCs w:val="26"/>
          <w:highlight w:val="white"/>
        </w:rPr>
        <w:t>. J. Soil Sci. Plant Nutrition, 21, 104–118.</w:t>
      </w:r>
    </w:p>
    <w:p w14:paraId="2F272930"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sz w:val="26"/>
          <w:szCs w:val="26"/>
        </w:rPr>
        <w:t>Pal P., Yadav K., Kumar K. and Singh N. (2016). Effect of Gibberellic Acid and Potassium</w:t>
      </w:r>
      <w:r>
        <w:rPr>
          <w:sz w:val="26"/>
          <w:szCs w:val="26"/>
        </w:rPr>
        <w:t xml:space="preserve"> Foliar Sprays on Productive Physiological and Biochemical Parameters of Parthenocarpic Cucumber cv. ‘SEVEN STAR F1’. </w:t>
      </w:r>
      <w:r>
        <w:rPr>
          <w:i/>
          <w:sz w:val="26"/>
          <w:szCs w:val="26"/>
        </w:rPr>
        <w:t>Journal of Horticultural Research, v</w:t>
      </w:r>
      <w:r>
        <w:rPr>
          <w:sz w:val="26"/>
          <w:szCs w:val="26"/>
        </w:rPr>
        <w:t xml:space="preserve">ol. 24(1): 93-100  </w:t>
      </w:r>
    </w:p>
    <w:p w14:paraId="0C63CFC3"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Panayotov N, Stoeva N. (2004). Leaf Gas-exchange and Content of Plastid Pigments i</w:t>
      </w:r>
      <w:r>
        <w:rPr>
          <w:rFonts w:ascii="Times New Roman" w:eastAsia="Times New Roman" w:hAnsi="Times New Roman" w:cs="Times New Roman"/>
          <w:sz w:val="26"/>
          <w:szCs w:val="26"/>
        </w:rPr>
        <w:t xml:space="preserve">n Pepper Plants after Application of Leaf Fertilizer Hortigrow, </w:t>
      </w:r>
      <w:r>
        <w:rPr>
          <w:rFonts w:ascii="Times New Roman" w:eastAsia="Times New Roman" w:hAnsi="Times New Roman" w:cs="Times New Roman"/>
          <w:i/>
          <w:sz w:val="26"/>
          <w:szCs w:val="26"/>
        </w:rPr>
        <w:t>Scientific Researches on the Union of Scientists in Bulgaria-Plovdiv</w:t>
      </w:r>
      <w:r>
        <w:rPr>
          <w:rFonts w:ascii="Times New Roman" w:eastAsia="Times New Roman" w:hAnsi="Times New Roman" w:cs="Times New Roman"/>
          <w:sz w:val="26"/>
          <w:szCs w:val="26"/>
        </w:rPr>
        <w:t>, series B. Natural and Humanitarians Science, vol.V., Union of Scientists Session 22 October; 90-94. Bulgarian.</w:t>
      </w:r>
    </w:p>
    <w:p w14:paraId="6C261D97" w14:textId="77777777" w:rsidR="0091698C" w:rsidRDefault="005704CE">
      <w:pPr>
        <w:tabs>
          <w:tab w:val="left" w:pos="180"/>
          <w:tab w:val="left" w:pos="360"/>
          <w:tab w:val="left" w:pos="810"/>
        </w:tabs>
        <w:spacing w:line="360" w:lineRule="auto"/>
        <w:ind w:left="720" w:hanging="720"/>
        <w:rPr>
          <w:rStyle w:val="Hyperlink"/>
          <w:rFonts w:ascii="Times New Roman" w:eastAsia="Times New Roman" w:hAnsi="Times New Roman" w:cs="Times New Roman"/>
          <w:i/>
          <w:sz w:val="26"/>
          <w:szCs w:val="26"/>
          <w:u w:val="none"/>
        </w:rPr>
      </w:pPr>
      <w:r>
        <w:rPr>
          <w:rFonts w:ascii="Times New Roman" w:eastAsia="Times New Roman" w:hAnsi="Times New Roman" w:cs="Times New Roman"/>
          <w:sz w:val="26"/>
          <w:szCs w:val="26"/>
        </w:rPr>
        <w:t xml:space="preserve">Pangaribuan D.H., Sarno, Hendarto K., Priyanto, Darma A. K., Aprillia T. (2019). Liquid organic fertilizer from plant extracts improves the growth, yield and quality of sweet corn (Zea mays L. Var. Saccharata). </w:t>
      </w:r>
      <w:r>
        <w:rPr>
          <w:rFonts w:ascii="Times New Roman" w:eastAsia="Times New Roman" w:hAnsi="Times New Roman" w:cs="Times New Roman"/>
          <w:i/>
          <w:sz w:val="26"/>
          <w:szCs w:val="26"/>
        </w:rPr>
        <w:t>Pertanika J Trop Agric Sci.; 42: 1157–1166.</w:t>
      </w:r>
    </w:p>
    <w:p w14:paraId="0D4A1B13"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Pr>
          <w:rFonts w:ascii="Times New Roman" w:eastAsia="Times New Roman" w:hAnsi="Times New Roman" w:cs="Times New Roman"/>
          <w:sz w:val="26"/>
          <w:szCs w:val="26"/>
        </w:rPr>
        <w:t xml:space="preserve">atil M. V. K., Kandhare A. D., Bhise S. D. (2012). Effect of Aqueous Extract of </w:t>
      </w:r>
      <w:r>
        <w:rPr>
          <w:rFonts w:ascii="Times New Roman" w:eastAsia="Times New Roman" w:hAnsi="Times New Roman" w:cs="Times New Roman"/>
          <w:i/>
          <w:sz w:val="26"/>
          <w:szCs w:val="26"/>
        </w:rPr>
        <w:t>Cucumis sativus Linn</w:t>
      </w:r>
      <w:r>
        <w:rPr>
          <w:rFonts w:ascii="Times New Roman" w:eastAsia="Times New Roman" w:hAnsi="Times New Roman" w:cs="Times New Roman"/>
          <w:sz w:val="26"/>
          <w:szCs w:val="26"/>
        </w:rPr>
        <w:t xml:space="preserve">. Fruit in Ulcerative Colitis in Laboratory Animals. </w:t>
      </w:r>
      <w:r>
        <w:rPr>
          <w:rFonts w:ascii="Times New Roman" w:eastAsia="Times New Roman" w:hAnsi="Times New Roman" w:cs="Times New Roman"/>
          <w:i/>
          <w:sz w:val="26"/>
          <w:szCs w:val="26"/>
        </w:rPr>
        <w:t xml:space="preserve">Asian </w:t>
      </w:r>
      <w:r>
        <w:rPr>
          <w:rFonts w:ascii="Times New Roman" w:eastAsia="Times New Roman" w:hAnsi="Times New Roman" w:cs="Times New Roman"/>
          <w:i/>
          <w:sz w:val="26"/>
          <w:szCs w:val="26"/>
        </w:rPr>
        <w:lastRenderedPageBreak/>
        <w:t xml:space="preserve">Pacific Journal of Tropical Biomedicine 2: 962-969. </w:t>
      </w:r>
      <w:r>
        <w:rPr>
          <w:rFonts w:ascii="Times New Roman" w:eastAsia="Times New Roman" w:hAnsi="Times New Roman" w:cs="Times New Roman"/>
          <w:sz w:val="26"/>
          <w:szCs w:val="26"/>
        </w:rPr>
        <w:t>DOI: 10.1016/S2221-1691(12)60344-X.</w:t>
      </w:r>
    </w:p>
    <w:p w14:paraId="6EFD6D0F"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Radford, </w:t>
      </w:r>
      <w:r>
        <w:rPr>
          <w:rFonts w:ascii="Times New Roman" w:eastAsia="Times New Roman" w:hAnsi="Times New Roman" w:cs="Times New Roman"/>
          <w:sz w:val="26"/>
          <w:szCs w:val="26"/>
        </w:rPr>
        <w:t>P.J. (1967) Growth Analysis Formulae</w:t>
      </w:r>
      <w:r>
        <w:rPr>
          <w:rFonts w:ascii="Times New Roman" w:eastAsia="Times New Roman" w:hAnsi="Times New Roman" w:cs="Times New Roman"/>
          <w:i/>
          <w:sz w:val="26"/>
          <w:szCs w:val="26"/>
        </w:rPr>
        <w:t>: Their Use and Abuse. Crop Science, 7, 171-175. https://doi.org/10.2135/cropsci1967.0011183X000700030001x</w:t>
      </w:r>
    </w:p>
    <w:p w14:paraId="0B4DCB65"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Sangha J. S., Kelloway S., Critchley A. T., Prithiviraj B. (2014). Chapter seven. seaweed (macroagae) and their e</w:t>
      </w:r>
      <w:r>
        <w:rPr>
          <w:rFonts w:ascii="Times New Roman" w:eastAsia="Times New Roman" w:hAnsi="Times New Roman" w:cs="Times New Roman"/>
          <w:sz w:val="26"/>
          <w:szCs w:val="26"/>
        </w:rPr>
        <w:t>xtracts as contributors of plant productivity and quality. Vol .71 :189-219.</w:t>
      </w:r>
    </w:p>
    <w:p w14:paraId="42808761"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Wehner T. C., Guner N. (2004), Growth Stage, Flowering pattern, Yield and Harvest Date prediction of Four Types of Cucumber Tested at 10 Planting Dates. Proc. XXVI IHC. </w:t>
      </w:r>
      <w:r>
        <w:rPr>
          <w:rFonts w:ascii="Times New Roman" w:eastAsia="Times New Roman" w:hAnsi="Times New Roman" w:cs="Times New Roman"/>
          <w:i/>
          <w:sz w:val="26"/>
          <w:szCs w:val="26"/>
        </w:rPr>
        <w:t>Advances i</w:t>
      </w:r>
      <w:r>
        <w:rPr>
          <w:rFonts w:ascii="Times New Roman" w:eastAsia="Times New Roman" w:hAnsi="Times New Roman" w:cs="Times New Roman"/>
          <w:i/>
          <w:sz w:val="26"/>
          <w:szCs w:val="26"/>
        </w:rPr>
        <w:t>n Vegetable Breeding(Eds) J. D. McCreight and E. Ryder Acta. Hort., 637, ISHS 2004</w:t>
      </w:r>
    </w:p>
    <w:p w14:paraId="57D67C16" w14:textId="77777777" w:rsidR="0091698C" w:rsidRDefault="005704CE">
      <w:pPr>
        <w:tabs>
          <w:tab w:val="left" w:pos="180"/>
          <w:tab w:val="left" w:pos="360"/>
          <w:tab w:val="left" w:pos="810"/>
        </w:tabs>
        <w:spacing w:line="36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Wojcik P. (2004). Uptake of mineral nutrient from foliar fertilization. </w:t>
      </w:r>
      <w:r>
        <w:rPr>
          <w:rFonts w:ascii="Times New Roman" w:eastAsia="Times New Roman" w:hAnsi="Times New Roman" w:cs="Times New Roman"/>
          <w:i/>
          <w:sz w:val="26"/>
          <w:szCs w:val="26"/>
        </w:rPr>
        <w:t>Journal of Fruit and Ornamental Plant Research, Special edition. 2004; 12:201-218.</w:t>
      </w:r>
    </w:p>
    <w:p w14:paraId="5A634EC1" w14:textId="77777777" w:rsidR="0091698C" w:rsidRDefault="0091698C"/>
    <w:p w14:paraId="2ED11822" w14:textId="77777777" w:rsidR="0091698C" w:rsidRDefault="0091698C">
      <w:pPr>
        <w:spacing w:line="360" w:lineRule="auto"/>
        <w:rPr>
          <w:rFonts w:ascii="Times New Roman" w:eastAsia="Times New Roman" w:hAnsi="Times New Roman" w:cs="Times New Roman"/>
          <w:sz w:val="28"/>
          <w:szCs w:val="28"/>
        </w:rPr>
      </w:pPr>
    </w:p>
    <w:p w14:paraId="269797E9" w14:textId="77777777" w:rsidR="0091698C" w:rsidRDefault="0091698C">
      <w:pPr>
        <w:spacing w:line="360" w:lineRule="auto"/>
        <w:rPr>
          <w:rFonts w:ascii="Times New Roman" w:eastAsia="Times New Roman" w:hAnsi="Times New Roman" w:cs="Times New Roman"/>
          <w:sz w:val="28"/>
          <w:szCs w:val="28"/>
        </w:rPr>
      </w:pPr>
    </w:p>
    <w:p w14:paraId="20AB8B08" w14:textId="77777777" w:rsidR="0091698C" w:rsidRDefault="0091698C">
      <w:pPr>
        <w:spacing w:line="276" w:lineRule="auto"/>
        <w:rPr>
          <w:rFonts w:ascii="Times New Roman" w:eastAsia="Times New Roman" w:hAnsi="Times New Roman" w:cs="Times New Roman"/>
          <w:sz w:val="28"/>
          <w:szCs w:val="28"/>
        </w:rPr>
      </w:pPr>
    </w:p>
    <w:sectPr w:rsidR="0091698C">
      <w:headerReference w:type="even" r:id="rId8"/>
      <w:headerReference w:type="default" r:id="rId9"/>
      <w:footerReference w:type="even" r:id="rId10"/>
      <w:footerReference w:type="default" r:id="rId11"/>
      <w:headerReference w:type="first" r:id="rId12"/>
      <w:footerReference w:type="first" r:id="rId13"/>
      <w:pgSz w:w="11907" w:h="16839"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FCA9" w14:textId="77777777" w:rsidR="005704CE" w:rsidRDefault="005704CE" w:rsidP="009E2702">
      <w:pPr>
        <w:spacing w:after="0" w:line="240" w:lineRule="auto"/>
      </w:pPr>
      <w:r>
        <w:separator/>
      </w:r>
    </w:p>
  </w:endnote>
  <w:endnote w:type="continuationSeparator" w:id="0">
    <w:p w14:paraId="3CD810E2" w14:textId="77777777" w:rsidR="005704CE" w:rsidRDefault="005704CE" w:rsidP="009E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anumGothic">
    <w:altName w:val="Malgun Gothic"/>
    <w:charset w:val="81"/>
    <w:family w:val="auto"/>
    <w:pitch w:val="variable"/>
    <w:sig w:usb0="80000003" w:usb1="09D7FCEB" w:usb2="00000010"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DA93" w14:textId="77777777" w:rsidR="009E2702" w:rsidRDefault="009E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61C6" w14:textId="77777777" w:rsidR="009E2702" w:rsidRDefault="009E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7DB6" w14:textId="77777777" w:rsidR="009E2702" w:rsidRDefault="009E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8D98" w14:textId="77777777" w:rsidR="005704CE" w:rsidRDefault="005704CE" w:rsidP="009E2702">
      <w:pPr>
        <w:spacing w:after="0" w:line="240" w:lineRule="auto"/>
      </w:pPr>
      <w:r>
        <w:separator/>
      </w:r>
    </w:p>
  </w:footnote>
  <w:footnote w:type="continuationSeparator" w:id="0">
    <w:p w14:paraId="189AA155" w14:textId="77777777" w:rsidR="005704CE" w:rsidRDefault="005704CE" w:rsidP="009E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DFD6" w14:textId="5EC8EBB3" w:rsidR="009E2702" w:rsidRDefault="009E2702">
    <w:pPr>
      <w:pStyle w:val="Header"/>
    </w:pPr>
    <w:r>
      <w:rPr>
        <w:noProof/>
      </w:rPr>
      <w:pict w14:anchorId="54947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10"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NanumGothic&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AB7D" w14:textId="585316C8" w:rsidR="009E2702" w:rsidRDefault="009E2702">
    <w:pPr>
      <w:pStyle w:val="Header"/>
    </w:pPr>
    <w:r>
      <w:rPr>
        <w:noProof/>
      </w:rPr>
      <w:pict w14:anchorId="591A1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11"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NanumGothic&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B664" w14:textId="1E9FA020" w:rsidR="009E2702" w:rsidRDefault="009E2702">
    <w:pPr>
      <w:pStyle w:val="Header"/>
    </w:pPr>
    <w:r>
      <w:rPr>
        <w:noProof/>
      </w:rPr>
      <w:pict w14:anchorId="1328C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64109"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NanumGothic&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9549413"/>
    <w:lvl w:ilvl="0" w:tplc="9A60D9A0">
      <w:start w:val="1"/>
      <w:numFmt w:val="bullet"/>
      <w:lvlText w:val="§"/>
      <w:lvlJc w:val="left"/>
      <w:pPr>
        <w:ind w:left="720" w:hanging="360"/>
      </w:pPr>
      <w:rPr>
        <w:rFonts w:ascii="Wingdings" w:hAnsi="Wingdings" w:hint="default"/>
      </w:rPr>
    </w:lvl>
    <w:lvl w:ilvl="1" w:tplc="8196CE72">
      <w:start w:val="1"/>
      <w:numFmt w:val="bullet"/>
      <w:lvlText w:val="o"/>
      <w:lvlJc w:val="left"/>
      <w:pPr>
        <w:ind w:left="1440" w:hanging="360"/>
      </w:pPr>
      <w:rPr>
        <w:rFonts w:ascii="Courier New" w:hAnsi="Courier New" w:cs="Courier New" w:hint="default"/>
      </w:rPr>
    </w:lvl>
    <w:lvl w:ilvl="2" w:tplc="956A7490">
      <w:start w:val="1"/>
      <w:numFmt w:val="bullet"/>
      <w:lvlText w:val="§"/>
      <w:lvlJc w:val="left"/>
      <w:pPr>
        <w:ind w:left="2160" w:hanging="360"/>
      </w:pPr>
      <w:rPr>
        <w:rFonts w:ascii="Wingdings" w:hAnsi="Wingdings" w:hint="default"/>
      </w:rPr>
    </w:lvl>
    <w:lvl w:ilvl="3" w:tplc="3CC0ED6E">
      <w:start w:val="1"/>
      <w:numFmt w:val="bullet"/>
      <w:lvlText w:val="·"/>
      <w:lvlJc w:val="left"/>
      <w:pPr>
        <w:ind w:left="2880" w:hanging="360"/>
      </w:pPr>
      <w:rPr>
        <w:rFonts w:ascii="Symbol" w:hAnsi="Symbol" w:hint="default"/>
      </w:rPr>
    </w:lvl>
    <w:lvl w:ilvl="4" w:tplc="58042020">
      <w:start w:val="1"/>
      <w:numFmt w:val="bullet"/>
      <w:lvlText w:val="o"/>
      <w:lvlJc w:val="left"/>
      <w:pPr>
        <w:ind w:left="3600" w:hanging="360"/>
      </w:pPr>
      <w:rPr>
        <w:rFonts w:ascii="Courier New" w:hAnsi="Courier New" w:cs="Courier New" w:hint="default"/>
      </w:rPr>
    </w:lvl>
    <w:lvl w:ilvl="5" w:tplc="CED2F6A6">
      <w:start w:val="1"/>
      <w:numFmt w:val="bullet"/>
      <w:lvlText w:val="§"/>
      <w:lvlJc w:val="left"/>
      <w:pPr>
        <w:ind w:left="4320" w:hanging="360"/>
      </w:pPr>
      <w:rPr>
        <w:rFonts w:ascii="Wingdings" w:hAnsi="Wingdings" w:hint="default"/>
      </w:rPr>
    </w:lvl>
    <w:lvl w:ilvl="6" w:tplc="F88CA5B0">
      <w:start w:val="1"/>
      <w:numFmt w:val="bullet"/>
      <w:lvlText w:val="·"/>
      <w:lvlJc w:val="left"/>
      <w:pPr>
        <w:ind w:left="5040" w:hanging="360"/>
      </w:pPr>
      <w:rPr>
        <w:rFonts w:ascii="Symbol" w:hAnsi="Symbol" w:hint="default"/>
      </w:rPr>
    </w:lvl>
    <w:lvl w:ilvl="7" w:tplc="CD6406E2">
      <w:start w:val="1"/>
      <w:numFmt w:val="bullet"/>
      <w:lvlText w:val="o"/>
      <w:lvlJc w:val="left"/>
      <w:pPr>
        <w:ind w:left="5760" w:hanging="360"/>
      </w:pPr>
      <w:rPr>
        <w:rFonts w:ascii="Courier New" w:hAnsi="Courier New" w:cs="Courier New" w:hint="default"/>
      </w:rPr>
    </w:lvl>
    <w:lvl w:ilvl="8" w:tplc="6616B10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8187485"/>
    <w:lvl w:ilvl="0" w:tplc="B4AA7CB6">
      <w:start w:val="1"/>
      <w:numFmt w:val="lowerLetter"/>
      <w:lvlText w:val="%1)"/>
      <w:lvlJc w:val="left"/>
      <w:pPr>
        <w:ind w:left="720" w:hanging="360"/>
      </w:pPr>
      <w:rPr>
        <w:rFonts w:hint="default"/>
      </w:rPr>
    </w:lvl>
    <w:lvl w:ilvl="1" w:tplc="E2162C8E">
      <w:start w:val="1"/>
      <w:numFmt w:val="lowerLetter"/>
      <w:lvlText w:val="%2."/>
      <w:lvlJc w:val="left"/>
      <w:pPr>
        <w:ind w:left="1440" w:hanging="360"/>
      </w:pPr>
    </w:lvl>
    <w:lvl w:ilvl="2" w:tplc="8C041A8A">
      <w:start w:val="1"/>
      <w:numFmt w:val="lowerRoman"/>
      <w:lvlText w:val="%3."/>
      <w:lvlJc w:val="right"/>
      <w:pPr>
        <w:ind w:left="2160" w:hanging="180"/>
      </w:pPr>
    </w:lvl>
    <w:lvl w:ilvl="3" w:tplc="775094D8">
      <w:start w:val="1"/>
      <w:numFmt w:val="decimal"/>
      <w:lvlText w:val="%4."/>
      <w:lvlJc w:val="left"/>
      <w:pPr>
        <w:ind w:left="2880" w:hanging="360"/>
      </w:pPr>
    </w:lvl>
    <w:lvl w:ilvl="4" w:tplc="AF248572">
      <w:start w:val="1"/>
      <w:numFmt w:val="lowerLetter"/>
      <w:lvlText w:val="%5."/>
      <w:lvlJc w:val="left"/>
      <w:pPr>
        <w:ind w:left="3600" w:hanging="360"/>
      </w:pPr>
    </w:lvl>
    <w:lvl w:ilvl="5" w:tplc="E138BD0E">
      <w:start w:val="1"/>
      <w:numFmt w:val="lowerRoman"/>
      <w:lvlText w:val="%6."/>
      <w:lvlJc w:val="right"/>
      <w:pPr>
        <w:ind w:left="4320" w:hanging="180"/>
      </w:pPr>
    </w:lvl>
    <w:lvl w:ilvl="6" w:tplc="78A005DE">
      <w:start w:val="1"/>
      <w:numFmt w:val="decimal"/>
      <w:lvlText w:val="%7."/>
      <w:lvlJc w:val="left"/>
      <w:pPr>
        <w:ind w:left="5040" w:hanging="360"/>
      </w:pPr>
    </w:lvl>
    <w:lvl w:ilvl="7" w:tplc="679C4F1A">
      <w:start w:val="1"/>
      <w:numFmt w:val="lowerLetter"/>
      <w:lvlText w:val="%8."/>
      <w:lvlJc w:val="left"/>
      <w:pPr>
        <w:ind w:left="5760" w:hanging="360"/>
      </w:pPr>
    </w:lvl>
    <w:lvl w:ilvl="8" w:tplc="2C7272C4">
      <w:start w:val="1"/>
      <w:numFmt w:val="lowerRoman"/>
      <w:lvlText w:val="%9."/>
      <w:lvlJc w:val="right"/>
      <w:pPr>
        <w:ind w:left="6480" w:hanging="180"/>
      </w:pPr>
    </w:lvl>
  </w:abstractNum>
  <w:abstractNum w:abstractNumId="2" w15:restartNumberingAfterBreak="0">
    <w:nsid w:val="00000003"/>
    <w:multiLevelType w:val="hybridMultilevel"/>
    <w:tmpl w:val="B1EAF648"/>
    <w:lvl w:ilvl="0" w:tplc="197AD8F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DC58B0E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473D4"/>
    <w:multiLevelType w:val="hybridMultilevel"/>
    <w:tmpl w:val="454086A0"/>
    <w:lvl w:ilvl="0" w:tplc="1A383968">
      <w:start w:val="1"/>
      <w:numFmt w:val="bullet"/>
      <w:lvlText w:val="§"/>
      <w:lvlJc w:val="left"/>
      <w:pPr>
        <w:ind w:left="720" w:hanging="360"/>
      </w:pPr>
      <w:rPr>
        <w:rFonts w:ascii="Wingdings" w:hAnsi="Wingdings" w:hint="default"/>
      </w:rPr>
    </w:lvl>
    <w:lvl w:ilvl="1" w:tplc="9536D2A2">
      <w:start w:val="1"/>
      <w:numFmt w:val="bullet"/>
      <w:lvlText w:val="o"/>
      <w:lvlJc w:val="left"/>
      <w:pPr>
        <w:ind w:left="1440" w:hanging="360"/>
      </w:pPr>
      <w:rPr>
        <w:rFonts w:ascii="Courier New" w:hAnsi="Courier New" w:cs="Courier New" w:hint="default"/>
      </w:rPr>
    </w:lvl>
    <w:lvl w:ilvl="2" w:tplc="230AA91E">
      <w:start w:val="1"/>
      <w:numFmt w:val="bullet"/>
      <w:lvlText w:val="§"/>
      <w:lvlJc w:val="left"/>
      <w:pPr>
        <w:ind w:left="2160" w:hanging="360"/>
      </w:pPr>
      <w:rPr>
        <w:rFonts w:ascii="Wingdings" w:hAnsi="Wingdings" w:hint="default"/>
      </w:rPr>
    </w:lvl>
    <w:lvl w:ilvl="3" w:tplc="92A44178">
      <w:start w:val="1"/>
      <w:numFmt w:val="bullet"/>
      <w:lvlText w:val="·"/>
      <w:lvlJc w:val="left"/>
      <w:pPr>
        <w:ind w:left="2880" w:hanging="360"/>
      </w:pPr>
      <w:rPr>
        <w:rFonts w:ascii="Symbol" w:hAnsi="Symbol" w:hint="default"/>
      </w:rPr>
    </w:lvl>
    <w:lvl w:ilvl="4" w:tplc="04464D88">
      <w:start w:val="1"/>
      <w:numFmt w:val="bullet"/>
      <w:lvlText w:val="o"/>
      <w:lvlJc w:val="left"/>
      <w:pPr>
        <w:ind w:left="3600" w:hanging="360"/>
      </w:pPr>
      <w:rPr>
        <w:rFonts w:ascii="Courier New" w:hAnsi="Courier New" w:cs="Courier New" w:hint="default"/>
      </w:rPr>
    </w:lvl>
    <w:lvl w:ilvl="5" w:tplc="DDC42218">
      <w:start w:val="1"/>
      <w:numFmt w:val="bullet"/>
      <w:lvlText w:val="§"/>
      <w:lvlJc w:val="left"/>
      <w:pPr>
        <w:ind w:left="4320" w:hanging="360"/>
      </w:pPr>
      <w:rPr>
        <w:rFonts w:ascii="Wingdings" w:hAnsi="Wingdings" w:hint="default"/>
      </w:rPr>
    </w:lvl>
    <w:lvl w:ilvl="6" w:tplc="5D608F9A">
      <w:start w:val="1"/>
      <w:numFmt w:val="bullet"/>
      <w:lvlText w:val="·"/>
      <w:lvlJc w:val="left"/>
      <w:pPr>
        <w:ind w:left="5040" w:hanging="360"/>
      </w:pPr>
      <w:rPr>
        <w:rFonts w:ascii="Symbol" w:hAnsi="Symbol" w:hint="default"/>
      </w:rPr>
    </w:lvl>
    <w:lvl w:ilvl="7" w:tplc="A200424A">
      <w:start w:val="1"/>
      <w:numFmt w:val="bullet"/>
      <w:lvlText w:val="o"/>
      <w:lvlJc w:val="left"/>
      <w:pPr>
        <w:ind w:left="5760" w:hanging="360"/>
      </w:pPr>
      <w:rPr>
        <w:rFonts w:ascii="Courier New" w:hAnsi="Courier New" w:cs="Courier New" w:hint="default"/>
      </w:rPr>
    </w:lvl>
    <w:lvl w:ilvl="8" w:tplc="67629AB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98C"/>
    <w:rsid w:val="000F10C7"/>
    <w:rsid w:val="003A5D0C"/>
    <w:rsid w:val="00442DBE"/>
    <w:rsid w:val="005704CE"/>
    <w:rsid w:val="008603EB"/>
    <w:rsid w:val="0091698C"/>
    <w:rsid w:val="009353AB"/>
    <w:rsid w:val="009E2702"/>
    <w:rsid w:val="00CD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7E97C"/>
  <w15:docId w15:val="{8A1B5AC0-17EB-49B5-8F1A-9D39381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160"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NanumGothic" w:hAnsi="Tahoma" w:cs="Tahoma"/>
      <w:sz w:val="16"/>
      <w:szCs w:val="16"/>
    </w:rPr>
  </w:style>
  <w:style w:type="table" w:styleId="TableGrid">
    <w:name w:val="Table Grid"/>
    <w:basedOn w:val="TableNormal"/>
    <w:uiPriority w:val="3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character" w:styleId="SubtleEmphasis">
    <w:name w:val="Subtle Emphasis"/>
    <w:basedOn w:val="DefaultParagraphFont"/>
    <w:uiPriority w:val="19"/>
    <w:qFormat/>
    <w:rPr>
      <w:i/>
      <w:iCs/>
      <w:color w:val="808080"/>
    </w:rPr>
  </w:style>
  <w:style w:type="character" w:styleId="UnresolvedMention">
    <w:name w:val="Unresolved Mention"/>
    <w:basedOn w:val="DefaultParagraphFont"/>
    <w:uiPriority w:val="99"/>
    <w:semiHidden/>
    <w:unhideWhenUsed/>
    <w:rsid w:val="003A5D0C"/>
    <w:rPr>
      <w:color w:val="605E5C"/>
      <w:shd w:val="clear" w:color="auto" w:fill="E1DFDD"/>
    </w:rPr>
  </w:style>
  <w:style w:type="paragraph" w:styleId="Header">
    <w:name w:val="header"/>
    <w:basedOn w:val="Normal"/>
    <w:link w:val="HeaderChar"/>
    <w:uiPriority w:val="99"/>
    <w:unhideWhenUsed/>
    <w:rsid w:val="009E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702"/>
    <w:rPr>
      <w:rFonts w:ascii="NanumGothic" w:eastAsia="NanumGothic" w:hAnsi="NanumGothic" w:cs="NanumGothic"/>
    </w:rPr>
  </w:style>
  <w:style w:type="paragraph" w:styleId="Footer">
    <w:name w:val="footer"/>
    <w:basedOn w:val="Normal"/>
    <w:link w:val="FooterChar"/>
    <w:uiPriority w:val="99"/>
    <w:unhideWhenUsed/>
    <w:rsid w:val="009E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702"/>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586/aa.73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5936</Words>
  <Characters>33836</Characters>
  <Application>Microsoft Office Word</Application>
  <DocSecurity>0</DocSecurity>
  <Lines>281</Lines>
  <Paragraphs>79</Paragraphs>
  <ScaleCrop>false</ScaleCrop>
  <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Nnadi Kelechi Joseph</dc:creator>
  <cp:lastModifiedBy>SDI 1084</cp:lastModifiedBy>
  <cp:revision>8</cp:revision>
  <dcterms:created xsi:type="dcterms:W3CDTF">2025-02-25T00:19:00Z</dcterms:created>
  <dcterms:modified xsi:type="dcterms:W3CDTF">2025-02-28T11:48:00Z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f31ca5aff6994db09639ba4ec8194f2c</vt:lpwstr>
  </property>
</Properties>
</file>