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029AE" w14:textId="6441D7AA" w:rsidR="00CE2828" w:rsidRDefault="00B92C50" w:rsidP="00B92C50">
      <w:pPr>
        <w:jc w:val="center"/>
        <w:rPr>
          <w:rFonts w:asciiTheme="majorBidi" w:hAnsiTheme="majorBidi" w:cstheme="majorBidi"/>
          <w:b/>
          <w:bCs/>
          <w:sz w:val="24"/>
          <w:szCs w:val="24"/>
          <w:lang w:val="en-GB"/>
        </w:rPr>
      </w:pPr>
      <w:r w:rsidRPr="00B92C50">
        <w:rPr>
          <w:rFonts w:asciiTheme="majorBidi" w:hAnsiTheme="majorBidi" w:cstheme="majorBidi"/>
          <w:b/>
          <w:bCs/>
          <w:sz w:val="24"/>
          <w:szCs w:val="24"/>
          <w:lang w:val="en-GB"/>
        </w:rPr>
        <w:t>Growth Implications of Energy Use in Nigeria: Evidence from the Service Sector</w:t>
      </w:r>
    </w:p>
    <w:p w14:paraId="1BEF40E4" w14:textId="77777777" w:rsidR="006803C8" w:rsidRDefault="006803C8" w:rsidP="006803C8">
      <w:pPr>
        <w:jc w:val="center"/>
        <w:rPr>
          <w:rFonts w:asciiTheme="majorBidi" w:hAnsiTheme="majorBidi" w:cstheme="majorBidi"/>
          <w:b/>
          <w:bCs/>
          <w:sz w:val="24"/>
          <w:szCs w:val="24"/>
          <w:lang w:val="en-GB"/>
        </w:rPr>
      </w:pPr>
    </w:p>
    <w:p w14:paraId="6BCE37A6" w14:textId="77777777" w:rsidR="00B92C50" w:rsidRDefault="00B92C50" w:rsidP="00B92C50">
      <w:pPr>
        <w:jc w:val="center"/>
        <w:rPr>
          <w:b/>
          <w:bCs/>
        </w:rPr>
      </w:pPr>
    </w:p>
    <w:p w14:paraId="6139C76D" w14:textId="77777777" w:rsidR="00B92C50" w:rsidRDefault="00B92C50" w:rsidP="00B92C50">
      <w:pPr>
        <w:jc w:val="center"/>
      </w:pPr>
      <w:r>
        <w:rPr>
          <w:b/>
          <w:bCs/>
        </w:rPr>
        <w:t>ABSTRACT</w:t>
      </w:r>
    </w:p>
    <w:p w14:paraId="42A1B076" w14:textId="10DDE8F4" w:rsidR="002221C5" w:rsidRDefault="00B92C50" w:rsidP="007B5C8C">
      <w:pPr>
        <w:spacing w:line="240" w:lineRule="auto"/>
        <w:jc w:val="both"/>
        <w:rPr>
          <w:rFonts w:asciiTheme="majorBidi" w:hAnsiTheme="majorBidi" w:cstheme="majorBidi"/>
          <w:sz w:val="24"/>
          <w:szCs w:val="24"/>
        </w:rPr>
      </w:pPr>
      <w:r w:rsidRPr="002221C5">
        <w:rPr>
          <w:rFonts w:ascii="Times New Roman" w:hAnsi="Times New Roman" w:cs="Times New Roman"/>
          <w:sz w:val="24"/>
          <w:szCs w:val="24"/>
        </w:rPr>
        <w:t xml:space="preserve">This study </w:t>
      </w:r>
      <w:r w:rsidR="007A6336" w:rsidRPr="002221C5">
        <w:rPr>
          <w:rFonts w:ascii="Times New Roman" w:hAnsi="Times New Roman" w:cs="Times New Roman"/>
          <w:sz w:val="24"/>
          <w:szCs w:val="24"/>
          <w:lang w:val="en-GB"/>
        </w:rPr>
        <w:t xml:space="preserve">investigates the link </w:t>
      </w:r>
      <w:r w:rsidR="002221C5" w:rsidRPr="002221C5">
        <w:rPr>
          <w:rFonts w:ascii="Times New Roman" w:hAnsi="Times New Roman" w:cs="Times New Roman"/>
          <w:sz w:val="24"/>
          <w:szCs w:val="24"/>
          <w:lang w:val="en-GB"/>
        </w:rPr>
        <w:t xml:space="preserve">between </w:t>
      </w:r>
      <w:r w:rsidRPr="002221C5">
        <w:rPr>
          <w:rFonts w:ascii="Times New Roman" w:hAnsi="Times New Roman" w:cs="Times New Roman"/>
          <w:sz w:val="24"/>
          <w:szCs w:val="24"/>
        </w:rPr>
        <w:t xml:space="preserve">energy use </w:t>
      </w:r>
      <w:r w:rsidR="002221C5" w:rsidRPr="002221C5">
        <w:rPr>
          <w:rFonts w:ascii="Times New Roman" w:hAnsi="Times New Roman" w:cs="Times New Roman"/>
          <w:sz w:val="24"/>
          <w:szCs w:val="24"/>
          <w:lang w:val="en-GB"/>
        </w:rPr>
        <w:t>and service sector growth</w:t>
      </w:r>
      <w:r w:rsidRPr="002221C5">
        <w:rPr>
          <w:rFonts w:ascii="Times New Roman" w:hAnsi="Times New Roman" w:cs="Times New Roman"/>
          <w:sz w:val="24"/>
          <w:szCs w:val="24"/>
        </w:rPr>
        <w:t xml:space="preserve"> in Nigeria. </w:t>
      </w:r>
      <w:r w:rsidR="002221C5" w:rsidRPr="002221C5">
        <w:rPr>
          <w:rFonts w:ascii="Times New Roman" w:hAnsi="Times New Roman" w:cs="Times New Roman"/>
          <w:color w:val="222222"/>
          <w:sz w:val="24"/>
          <w:szCs w:val="24"/>
          <w:shd w:val="clear" w:color="auto" w:fill="FFFFFF"/>
          <w:lang w:val="en-GB"/>
        </w:rPr>
        <w:t>T</w:t>
      </w:r>
      <w:r w:rsidRPr="002221C5">
        <w:rPr>
          <w:rFonts w:ascii="Times New Roman" w:hAnsi="Times New Roman" w:cs="Times New Roman"/>
          <w:color w:val="222222"/>
          <w:sz w:val="24"/>
          <w:szCs w:val="24"/>
          <w:shd w:val="clear" w:color="auto" w:fill="FFFFFF"/>
        </w:rPr>
        <w:t>he time series data for each of the variables were obtained from secondary sources including the</w:t>
      </w:r>
      <w:r w:rsidRPr="002221C5">
        <w:rPr>
          <w:rFonts w:ascii="Times New Roman" w:hAnsi="Times New Roman" w:cs="Times New Roman"/>
          <w:sz w:val="24"/>
          <w:szCs w:val="24"/>
        </w:rPr>
        <w:t xml:space="preserve"> World Bank, </w:t>
      </w:r>
      <w:r w:rsidRPr="002221C5">
        <w:rPr>
          <w:rFonts w:ascii="Times New Roman" w:hAnsi="Times New Roman" w:cs="Times New Roman"/>
          <w:bCs/>
          <w:sz w:val="24"/>
          <w:szCs w:val="24"/>
        </w:rPr>
        <w:t xml:space="preserve">International Energy Agency (IEA) and Organisation of Economic Cooperation and Development (OECD) National Data Accounts. This study utilized descriptive statistics, unit root test, cointegration and least squares estimation method alongside the post-estimation tests to analyze the datasets and evaluate the estimated autoregressive distributed lag (ARDL) model. </w:t>
      </w:r>
      <w:r w:rsidR="002221C5" w:rsidRPr="002221C5">
        <w:rPr>
          <w:rFonts w:ascii="Times New Roman" w:hAnsi="Times New Roman" w:cs="Times New Roman"/>
          <w:bCs/>
          <w:sz w:val="24"/>
          <w:szCs w:val="24"/>
          <w:lang w:val="en-GB"/>
        </w:rPr>
        <w:t xml:space="preserve">The findings showed </w:t>
      </w:r>
      <w:r w:rsidR="002221C5" w:rsidRPr="002221C5">
        <w:rPr>
          <w:rFonts w:ascii="Times New Roman" w:hAnsi="Times New Roman" w:cs="Times New Roman"/>
          <w:sz w:val="24"/>
          <w:szCs w:val="24"/>
        </w:rPr>
        <w:t xml:space="preserve">that fossil fuel use positively and significantly affects the service sector value added to GDP. As observed from the short-run results, the service sector value added increased by </w:t>
      </w:r>
      <w:r w:rsidR="002221C5" w:rsidRPr="002221C5">
        <w:rPr>
          <w:rFonts w:ascii="Times New Roman" w:hAnsi="Times New Roman" w:cs="Times New Roman"/>
          <w:color w:val="000000"/>
          <w:sz w:val="24"/>
          <w:szCs w:val="24"/>
        </w:rPr>
        <w:t xml:space="preserve">11.026% following a percentage increase in fossil fuel energy use. At the same time, evidence of a positive and significant effect of renewable energy use on the service sector value added was established in both the short and long run. The results further showed that total electricity use has a positive and significant effect on the service sector value added in both the long and short run. In particular, the long-run results showed that the service sector value added increased by 1.83% as a result of a percentage increase in the total electricity usage by the firms in the sector. This finding suggests that the availability of electricity offers an opportunity for the growth of the service sector. On the other hand, the results showed that alternative energy use affected the service sector value added negatively in both the short and long run. </w:t>
      </w:r>
      <w:r w:rsidR="00466C93">
        <w:rPr>
          <w:rFonts w:ascii="Times New Roman" w:hAnsi="Times New Roman" w:cs="Times New Roman"/>
          <w:color w:val="000000"/>
          <w:sz w:val="24"/>
          <w:szCs w:val="24"/>
          <w:lang w:val="en-GB"/>
        </w:rPr>
        <w:t xml:space="preserve">Thus, </w:t>
      </w:r>
      <w:r w:rsidR="00466C93" w:rsidRPr="00C62389">
        <w:rPr>
          <w:rFonts w:ascii="Times New Roman" w:hAnsi="Times New Roman" w:cs="Times New Roman"/>
          <w:color w:val="000000"/>
          <w:sz w:val="24"/>
          <w:szCs w:val="24"/>
          <w:lang w:val="en-GB"/>
        </w:rPr>
        <w:t xml:space="preserve">it is recommended that </w:t>
      </w:r>
      <w:r w:rsidR="00466C93" w:rsidRPr="00C62389">
        <w:rPr>
          <w:rFonts w:asciiTheme="majorBidi" w:hAnsiTheme="majorBidi" w:cstheme="majorBidi"/>
          <w:color w:val="000000"/>
          <w:sz w:val="24"/>
          <w:szCs w:val="24"/>
          <w:lang w:val="en-GB"/>
        </w:rPr>
        <w:t>g</w:t>
      </w:r>
      <w:r w:rsidR="00466C93" w:rsidRPr="00C62389">
        <w:rPr>
          <w:rFonts w:asciiTheme="majorBidi" w:hAnsiTheme="majorBidi" w:cstheme="majorBidi"/>
          <w:color w:val="000000"/>
          <w:sz w:val="24"/>
          <w:szCs w:val="24"/>
        </w:rPr>
        <w:t xml:space="preserve">overnments at all levels should incentivize investments in renewable energy by providing </w:t>
      </w:r>
      <w:r w:rsidR="00466C93" w:rsidRPr="00C62389">
        <w:rPr>
          <w:rFonts w:asciiTheme="majorBidi" w:hAnsiTheme="majorBidi" w:cstheme="majorBidi"/>
          <w:sz w:val="24"/>
          <w:szCs w:val="24"/>
        </w:rPr>
        <w:t xml:space="preserve">tax breaks, grants, and subsidies for businesses that invest in renewable energy technologies to foster the long-term development of the </w:t>
      </w:r>
      <w:r w:rsidR="00466C93">
        <w:rPr>
          <w:rFonts w:asciiTheme="majorBidi" w:hAnsiTheme="majorBidi" w:cstheme="majorBidi"/>
          <w:sz w:val="24"/>
          <w:szCs w:val="24"/>
          <w:lang w:val="en-GB"/>
        </w:rPr>
        <w:t>service</w:t>
      </w:r>
      <w:r w:rsidR="00466C93" w:rsidRPr="00C62389">
        <w:rPr>
          <w:rFonts w:asciiTheme="majorBidi" w:hAnsiTheme="majorBidi" w:cstheme="majorBidi"/>
          <w:sz w:val="24"/>
          <w:szCs w:val="24"/>
        </w:rPr>
        <w:t xml:space="preserve"> sector.</w:t>
      </w:r>
    </w:p>
    <w:p w14:paraId="00D35D36" w14:textId="425F63A9" w:rsidR="00466C93" w:rsidRPr="00FF3530" w:rsidRDefault="00466C93" w:rsidP="007B5C8C">
      <w:pPr>
        <w:spacing w:line="240" w:lineRule="auto"/>
        <w:jc w:val="both"/>
        <w:rPr>
          <w:rFonts w:ascii="Times New Roman" w:hAnsi="Times New Roman" w:cs="Times New Roman"/>
          <w:bCs/>
          <w:i/>
          <w:iCs/>
          <w:sz w:val="20"/>
          <w:szCs w:val="20"/>
          <w:lang w:val="en-GB"/>
        </w:rPr>
      </w:pPr>
      <w:r w:rsidRPr="003767F1">
        <w:rPr>
          <w:rFonts w:asciiTheme="majorBidi" w:hAnsiTheme="majorBidi" w:cstheme="majorBidi"/>
          <w:b/>
          <w:bCs/>
          <w:i/>
          <w:iCs/>
          <w:sz w:val="24"/>
          <w:szCs w:val="24"/>
          <w:lang w:val="en-GB"/>
        </w:rPr>
        <w:t>Keywords</w:t>
      </w:r>
      <w:r>
        <w:rPr>
          <w:rFonts w:asciiTheme="majorBidi" w:hAnsiTheme="majorBidi" w:cstheme="majorBidi"/>
          <w:sz w:val="24"/>
          <w:szCs w:val="24"/>
          <w:lang w:val="en-GB"/>
        </w:rPr>
        <w:t xml:space="preserve">: </w:t>
      </w:r>
      <w:r w:rsidR="003767F1">
        <w:rPr>
          <w:rFonts w:asciiTheme="majorBidi" w:hAnsiTheme="majorBidi" w:cstheme="majorBidi"/>
          <w:sz w:val="24"/>
          <w:szCs w:val="24"/>
          <w:lang w:val="en-GB"/>
        </w:rPr>
        <w:t xml:space="preserve">Energy use, service sector, fossil fuel, </w:t>
      </w:r>
      <w:r w:rsidR="00FF3530" w:rsidRPr="002221C5">
        <w:rPr>
          <w:rFonts w:ascii="Times New Roman" w:hAnsi="Times New Roman" w:cs="Times New Roman"/>
          <w:color w:val="000000"/>
          <w:sz w:val="24"/>
          <w:szCs w:val="24"/>
        </w:rPr>
        <w:t>renewable energy</w:t>
      </w:r>
      <w:r w:rsidR="00FF3530">
        <w:rPr>
          <w:rFonts w:ascii="Times New Roman" w:hAnsi="Times New Roman" w:cs="Times New Roman"/>
          <w:color w:val="000000"/>
          <w:sz w:val="24"/>
          <w:szCs w:val="24"/>
          <w:lang w:val="en-GB"/>
        </w:rPr>
        <w:t xml:space="preserve">, </w:t>
      </w:r>
      <w:r w:rsidR="00FF3530" w:rsidRPr="002221C5">
        <w:rPr>
          <w:rFonts w:ascii="Times New Roman" w:hAnsi="Times New Roman" w:cs="Times New Roman"/>
          <w:color w:val="000000"/>
          <w:sz w:val="24"/>
          <w:szCs w:val="24"/>
        </w:rPr>
        <w:t xml:space="preserve">electricity usage </w:t>
      </w:r>
      <w:r w:rsidR="00FF3530">
        <w:rPr>
          <w:rFonts w:ascii="Times New Roman" w:hAnsi="Times New Roman" w:cs="Times New Roman"/>
          <w:color w:val="000000"/>
          <w:sz w:val="24"/>
          <w:szCs w:val="24"/>
          <w:lang w:val="en-GB"/>
        </w:rPr>
        <w:t>and Nigeria</w:t>
      </w:r>
    </w:p>
    <w:p w14:paraId="3C0CB69B" w14:textId="68C40286" w:rsidR="00B92C50" w:rsidRPr="004136F9" w:rsidRDefault="00B92C50" w:rsidP="002221C5">
      <w:pPr>
        <w:spacing w:line="240" w:lineRule="auto"/>
        <w:jc w:val="both"/>
        <w:rPr>
          <w:rFonts w:ascii="Times New Roman" w:hAnsi="Times New Roman" w:cs="Times New Roman"/>
          <w:b/>
          <w:bCs/>
          <w:sz w:val="24"/>
          <w:szCs w:val="24"/>
          <w:lang w:val="en-GB"/>
        </w:rPr>
      </w:pPr>
      <w:r w:rsidRPr="004136F9">
        <w:rPr>
          <w:rFonts w:ascii="Times New Roman" w:hAnsi="Times New Roman" w:cs="Times New Roman"/>
          <w:b/>
          <w:bCs/>
          <w:sz w:val="24"/>
          <w:szCs w:val="24"/>
          <w:lang w:val="en-GB"/>
        </w:rPr>
        <w:t>1. Introduction</w:t>
      </w:r>
    </w:p>
    <w:p w14:paraId="66CFD2B3" w14:textId="46F2DF2F" w:rsidR="00C0456D" w:rsidRDefault="00B14C4B" w:rsidP="00C0456D">
      <w:pPr>
        <w:spacing w:line="360" w:lineRule="auto"/>
        <w:jc w:val="both"/>
      </w:pPr>
      <w:r w:rsidRPr="00397D77">
        <w:rPr>
          <w:rFonts w:ascii="Times New Roman" w:eastAsia="Times New Roman" w:hAnsi="Times New Roman" w:cs="Times New Roman"/>
          <w:sz w:val="24"/>
          <w:szCs w:val="24"/>
        </w:rPr>
        <w:t>Globally, energy is acknowledged as a vital component of any nation's economic expansion. This is so because energy commodities support economic growth and development by increasing income and productivity and providing jobs for the world's growing population (Babatunde, 2016). Therefore, the goal of the efficient energy market is to supply energy commodities to power the agriculture, industrial and service sectors of the economy (Bernard and Oludare, 2016).</w:t>
      </w:r>
      <w:r>
        <w:rPr>
          <w:rFonts w:ascii="Times New Roman" w:eastAsia="Times New Roman" w:hAnsi="Times New Roman" w:cs="Times New Roman"/>
          <w:sz w:val="24"/>
          <w:szCs w:val="24"/>
          <w:lang w:val="en-GB"/>
        </w:rPr>
        <w:t xml:space="preserve"> </w:t>
      </w:r>
      <w:r w:rsidRPr="008C44D4">
        <w:rPr>
          <w:rFonts w:ascii="Times New Roman" w:eastAsia="Times New Roman" w:hAnsi="Times New Roman" w:cs="Times New Roman"/>
          <w:sz w:val="24"/>
          <w:szCs w:val="24"/>
        </w:rPr>
        <w:t xml:space="preserve">The need for energy </w:t>
      </w:r>
      <w:r>
        <w:rPr>
          <w:rFonts w:ascii="Times New Roman" w:eastAsia="Times New Roman" w:hAnsi="Times New Roman" w:cs="Times New Roman"/>
          <w:sz w:val="24"/>
          <w:szCs w:val="24"/>
        </w:rPr>
        <w:t>use</w:t>
      </w:r>
      <w:r w:rsidRPr="008C44D4">
        <w:rPr>
          <w:rFonts w:ascii="Times New Roman" w:eastAsia="Times New Roman" w:hAnsi="Times New Roman" w:cs="Times New Roman"/>
          <w:sz w:val="24"/>
          <w:szCs w:val="24"/>
        </w:rPr>
        <w:t xml:space="preserve"> has </w:t>
      </w:r>
      <w:r>
        <w:rPr>
          <w:rFonts w:ascii="Times New Roman" w:eastAsia="Times New Roman" w:hAnsi="Times New Roman" w:cs="Times New Roman"/>
          <w:sz w:val="24"/>
          <w:szCs w:val="24"/>
        </w:rPr>
        <w:t xml:space="preserve">equally increased in </w:t>
      </w:r>
      <w:r w:rsidRPr="008C44D4">
        <w:rPr>
          <w:rFonts w:ascii="Times New Roman" w:eastAsia="Times New Roman" w:hAnsi="Times New Roman" w:cs="Times New Roman"/>
          <w:sz w:val="24"/>
          <w:szCs w:val="24"/>
        </w:rPr>
        <w:t xml:space="preserve">Africa. This is because the continent's economic </w:t>
      </w:r>
      <w:r>
        <w:rPr>
          <w:rFonts w:ascii="Times New Roman" w:eastAsia="Times New Roman" w:hAnsi="Times New Roman" w:cs="Times New Roman"/>
          <w:sz w:val="24"/>
          <w:szCs w:val="24"/>
        </w:rPr>
        <w:t>growth</w:t>
      </w:r>
      <w:r w:rsidRPr="008C44D4">
        <w:rPr>
          <w:rFonts w:ascii="Times New Roman" w:eastAsia="Times New Roman" w:hAnsi="Times New Roman" w:cs="Times New Roman"/>
          <w:sz w:val="24"/>
          <w:szCs w:val="24"/>
        </w:rPr>
        <w:t xml:space="preserve"> and development strategy still heavily relies on the </w:t>
      </w:r>
      <w:r>
        <w:rPr>
          <w:rFonts w:ascii="Times New Roman" w:eastAsia="Times New Roman" w:hAnsi="Times New Roman" w:cs="Times New Roman"/>
          <w:sz w:val="24"/>
          <w:szCs w:val="24"/>
        </w:rPr>
        <w:t xml:space="preserve">development of the energy sector </w:t>
      </w:r>
      <w:r w:rsidRPr="008C44D4">
        <w:rPr>
          <w:rFonts w:ascii="Times New Roman" w:eastAsia="Times New Roman" w:hAnsi="Times New Roman" w:cs="Times New Roman"/>
          <w:sz w:val="24"/>
          <w:szCs w:val="24"/>
        </w:rPr>
        <w:t xml:space="preserve">(Esso </w:t>
      </w:r>
      <w:r>
        <w:rPr>
          <w:rFonts w:ascii="Times New Roman" w:eastAsia="Times New Roman" w:hAnsi="Times New Roman" w:cs="Times New Roman"/>
          <w:sz w:val="24"/>
          <w:szCs w:val="24"/>
        </w:rPr>
        <w:t>and</w:t>
      </w:r>
      <w:r w:rsidRPr="008C44D4">
        <w:rPr>
          <w:rFonts w:ascii="Times New Roman" w:eastAsia="Times New Roman" w:hAnsi="Times New Roman" w:cs="Times New Roman"/>
          <w:sz w:val="24"/>
          <w:szCs w:val="24"/>
        </w:rPr>
        <w:t xml:space="preserve"> Loesse, 2017). </w:t>
      </w:r>
      <w:r w:rsidR="00C0456D" w:rsidRPr="004B7AF3">
        <w:rPr>
          <w:rFonts w:asciiTheme="majorBidi" w:eastAsia="Times New Roman" w:hAnsiTheme="majorBidi" w:cstheme="majorBidi"/>
          <w:sz w:val="24"/>
          <w:szCs w:val="24"/>
          <w:lang w:val="en-GB"/>
        </w:rPr>
        <w:t xml:space="preserve">Notwithstanding the </w:t>
      </w:r>
      <w:r w:rsidR="00C0456D" w:rsidRPr="004B7AF3">
        <w:rPr>
          <w:rFonts w:asciiTheme="majorBidi" w:hAnsiTheme="majorBidi" w:cstheme="majorBidi"/>
          <w:sz w:val="24"/>
          <w:szCs w:val="24"/>
        </w:rPr>
        <w:t xml:space="preserve">abundant renewable energy resources </w:t>
      </w:r>
      <w:r w:rsidR="00C0456D" w:rsidRPr="004B7AF3">
        <w:rPr>
          <w:rFonts w:asciiTheme="majorBidi" w:hAnsiTheme="majorBidi" w:cstheme="majorBidi"/>
          <w:sz w:val="24"/>
          <w:szCs w:val="24"/>
          <w:lang w:val="en-GB"/>
        </w:rPr>
        <w:t xml:space="preserve">in Africa, </w:t>
      </w:r>
      <w:r w:rsidR="004B7AF3" w:rsidRPr="004B7AF3">
        <w:rPr>
          <w:rFonts w:asciiTheme="majorBidi" w:hAnsiTheme="majorBidi" w:cstheme="majorBidi"/>
          <w:sz w:val="24"/>
          <w:szCs w:val="24"/>
          <w:lang w:val="en-GB"/>
        </w:rPr>
        <w:t xml:space="preserve">the </w:t>
      </w:r>
      <w:r w:rsidR="00C0456D" w:rsidRPr="004B7AF3">
        <w:rPr>
          <w:rFonts w:asciiTheme="majorBidi" w:hAnsiTheme="majorBidi" w:cstheme="majorBidi"/>
          <w:sz w:val="24"/>
          <w:szCs w:val="24"/>
          <w:lang w:val="en-GB"/>
        </w:rPr>
        <w:t>transition to modern and clean energy has been difficult considering the infrastructural deficits and financial constraints, among others</w:t>
      </w:r>
      <w:r w:rsidR="004B7AF3" w:rsidRPr="004B7AF3">
        <w:rPr>
          <w:rFonts w:asciiTheme="majorBidi" w:hAnsiTheme="majorBidi" w:cstheme="majorBidi"/>
          <w:sz w:val="24"/>
          <w:szCs w:val="24"/>
          <w:lang w:val="en-GB"/>
        </w:rPr>
        <w:t xml:space="preserve"> (Ezekwe &amp; Chidi, 2024)</w:t>
      </w:r>
      <w:r w:rsidR="00C0456D" w:rsidRPr="004B7AF3">
        <w:rPr>
          <w:rFonts w:asciiTheme="majorBidi" w:hAnsiTheme="majorBidi" w:cstheme="majorBidi"/>
          <w:sz w:val="24"/>
          <w:szCs w:val="24"/>
          <w:lang w:val="en-GB"/>
        </w:rPr>
        <w:t>.</w:t>
      </w:r>
      <w:r w:rsidR="00C0456D">
        <w:t xml:space="preserve"> </w:t>
      </w:r>
    </w:p>
    <w:p w14:paraId="64BE97C5" w14:textId="4DD30BC5" w:rsidR="00B14C4B" w:rsidRPr="00C04647" w:rsidRDefault="00C0456D" w:rsidP="00C0456D">
      <w:pPr>
        <w:spacing w:line="360" w:lineRule="auto"/>
        <w:jc w:val="both"/>
        <w:rPr>
          <w:rFonts w:ascii="Times New Roman" w:eastAsia="Times New Roman" w:hAnsi="Times New Roman" w:cs="Times New Roman"/>
          <w:sz w:val="24"/>
          <w:szCs w:val="24"/>
        </w:rPr>
      </w:pPr>
      <w:r>
        <w:rPr>
          <w:lang w:val="en-GB"/>
        </w:rPr>
        <w:lastRenderedPageBreak/>
        <w:t>S</w:t>
      </w:r>
      <w:r w:rsidR="00B14C4B" w:rsidRPr="00C04647">
        <w:rPr>
          <w:rFonts w:ascii="Times New Roman" w:eastAsia="Times New Roman" w:hAnsi="Times New Roman" w:cs="Times New Roman"/>
          <w:sz w:val="24"/>
          <w:szCs w:val="24"/>
        </w:rPr>
        <w:t xml:space="preserve">everal issues, including an inconsistent energy supply, have plagued West Africa's energy sector </w:t>
      </w:r>
      <w:r w:rsidR="00B14C4B">
        <w:rPr>
          <w:rFonts w:ascii="Times New Roman" w:eastAsia="Times New Roman" w:hAnsi="Times New Roman" w:cs="Times New Roman"/>
          <w:sz w:val="24"/>
          <w:szCs w:val="24"/>
        </w:rPr>
        <w:t>over</w:t>
      </w:r>
      <w:r w:rsidR="00B14C4B" w:rsidRPr="00C04647">
        <w:rPr>
          <w:rFonts w:ascii="Times New Roman" w:eastAsia="Times New Roman" w:hAnsi="Times New Roman" w:cs="Times New Roman"/>
          <w:sz w:val="24"/>
          <w:szCs w:val="24"/>
        </w:rPr>
        <w:t xml:space="preserve"> the years (Babatunde, 2013).</w:t>
      </w:r>
      <w:r w:rsidR="00B14C4B">
        <w:rPr>
          <w:rFonts w:ascii="Times New Roman" w:eastAsia="Times New Roman" w:hAnsi="Times New Roman" w:cs="Times New Roman"/>
          <w:sz w:val="24"/>
          <w:szCs w:val="24"/>
        </w:rPr>
        <w:t xml:space="preserve"> </w:t>
      </w:r>
      <w:r w:rsidR="00B14C4B" w:rsidRPr="005C4FF7">
        <w:rPr>
          <w:rFonts w:ascii="Times New Roman" w:eastAsia="Times New Roman" w:hAnsi="Times New Roman" w:cs="Times New Roman"/>
          <w:sz w:val="24"/>
          <w:szCs w:val="24"/>
        </w:rPr>
        <w:t>On the other hand, the majority of the energy produced in the Central and Eastern regions of Africa comes from hydropower.</w:t>
      </w:r>
      <w:r w:rsidR="00B14C4B">
        <w:rPr>
          <w:rFonts w:ascii="Times New Roman" w:eastAsia="Times New Roman" w:hAnsi="Times New Roman" w:cs="Times New Roman"/>
          <w:sz w:val="24"/>
          <w:szCs w:val="24"/>
        </w:rPr>
        <w:t xml:space="preserve"> </w:t>
      </w:r>
      <w:r w:rsidR="00B14C4B" w:rsidRPr="00C04647">
        <w:rPr>
          <w:rFonts w:ascii="Times New Roman" w:eastAsia="Times New Roman" w:hAnsi="Times New Roman" w:cs="Times New Roman"/>
          <w:sz w:val="24"/>
          <w:szCs w:val="24"/>
        </w:rPr>
        <w:t xml:space="preserve">In Nigeria, energy </w:t>
      </w:r>
      <w:r w:rsidR="00B14C4B">
        <w:rPr>
          <w:rFonts w:ascii="Times New Roman" w:eastAsia="Times New Roman" w:hAnsi="Times New Roman" w:cs="Times New Roman"/>
          <w:sz w:val="24"/>
          <w:szCs w:val="24"/>
        </w:rPr>
        <w:t>use has</w:t>
      </w:r>
      <w:r w:rsidR="00B14C4B" w:rsidRPr="00C04647">
        <w:rPr>
          <w:rFonts w:ascii="Times New Roman" w:eastAsia="Times New Roman" w:hAnsi="Times New Roman" w:cs="Times New Roman"/>
          <w:sz w:val="24"/>
          <w:szCs w:val="24"/>
        </w:rPr>
        <w:t xml:space="preserve"> been considered </w:t>
      </w:r>
      <w:r w:rsidR="00B14C4B">
        <w:rPr>
          <w:rFonts w:ascii="Times New Roman" w:eastAsia="Times New Roman" w:hAnsi="Times New Roman" w:cs="Times New Roman"/>
          <w:sz w:val="24"/>
          <w:szCs w:val="24"/>
        </w:rPr>
        <w:t xml:space="preserve">a growth enabler </w:t>
      </w:r>
      <w:r w:rsidR="00B14C4B" w:rsidRPr="00C04647">
        <w:rPr>
          <w:rFonts w:ascii="Times New Roman" w:eastAsia="Times New Roman" w:hAnsi="Times New Roman" w:cs="Times New Roman"/>
          <w:sz w:val="24"/>
          <w:szCs w:val="24"/>
        </w:rPr>
        <w:t>for all</w:t>
      </w:r>
      <w:r w:rsidR="00B14C4B">
        <w:rPr>
          <w:rFonts w:ascii="Times New Roman" w:eastAsia="Times New Roman" w:hAnsi="Times New Roman" w:cs="Times New Roman"/>
          <w:sz w:val="24"/>
          <w:szCs w:val="24"/>
        </w:rPr>
        <w:t xml:space="preserve"> </w:t>
      </w:r>
      <w:r w:rsidR="00B14C4B" w:rsidRPr="00C04647">
        <w:rPr>
          <w:rFonts w:ascii="Times New Roman" w:eastAsia="Times New Roman" w:hAnsi="Times New Roman" w:cs="Times New Roman"/>
          <w:sz w:val="24"/>
          <w:szCs w:val="24"/>
        </w:rPr>
        <w:t xml:space="preserve">sectors </w:t>
      </w:r>
      <w:r w:rsidR="00B14C4B">
        <w:rPr>
          <w:rFonts w:ascii="Times New Roman" w:eastAsia="Times New Roman" w:hAnsi="Times New Roman" w:cs="Times New Roman"/>
          <w:sz w:val="24"/>
          <w:szCs w:val="24"/>
        </w:rPr>
        <w:t>of</w:t>
      </w:r>
      <w:r w:rsidR="00B14C4B" w:rsidRPr="00C04647">
        <w:rPr>
          <w:rFonts w:ascii="Times New Roman" w:eastAsia="Times New Roman" w:hAnsi="Times New Roman" w:cs="Times New Roman"/>
          <w:sz w:val="24"/>
          <w:szCs w:val="24"/>
        </w:rPr>
        <w:t xml:space="preserve"> the economy.</w:t>
      </w:r>
      <w:r w:rsidR="00B14C4B">
        <w:rPr>
          <w:rFonts w:ascii="Times New Roman" w:eastAsia="Times New Roman" w:hAnsi="Times New Roman" w:cs="Times New Roman"/>
          <w:sz w:val="24"/>
          <w:szCs w:val="24"/>
        </w:rPr>
        <w:t xml:space="preserve"> According</w:t>
      </w:r>
      <w:r w:rsidR="00B14C4B" w:rsidRPr="00C04647">
        <w:rPr>
          <w:rFonts w:ascii="Times New Roman" w:eastAsia="Times New Roman" w:hAnsi="Times New Roman" w:cs="Times New Roman"/>
          <w:sz w:val="24"/>
          <w:szCs w:val="24"/>
        </w:rPr>
        <w:t xml:space="preserve"> to Odularu and Okonkwo (2019), the reason for this is that energy is the foundation of wealth creation at the core of operations, facilitating the activities of other sectors of the Nigerian economy to spur economic growth.</w:t>
      </w:r>
      <w:r w:rsidR="00B14C4B">
        <w:rPr>
          <w:rFonts w:ascii="Times New Roman" w:eastAsia="Times New Roman" w:hAnsi="Times New Roman" w:cs="Times New Roman"/>
          <w:sz w:val="24"/>
          <w:szCs w:val="24"/>
        </w:rPr>
        <w:t xml:space="preserve"> It is also argued in extant literature that energy use in </w:t>
      </w:r>
      <w:r w:rsidR="00B14C4B" w:rsidRPr="00C04647">
        <w:rPr>
          <w:rFonts w:ascii="Times New Roman" w:eastAsia="Times New Roman" w:hAnsi="Times New Roman" w:cs="Times New Roman"/>
          <w:sz w:val="24"/>
          <w:szCs w:val="24"/>
        </w:rPr>
        <w:t>Nigeria usually consolidate</w:t>
      </w:r>
      <w:r w:rsidR="00B14C4B">
        <w:rPr>
          <w:rFonts w:ascii="Times New Roman" w:eastAsia="Times New Roman" w:hAnsi="Times New Roman" w:cs="Times New Roman"/>
          <w:sz w:val="24"/>
          <w:szCs w:val="24"/>
        </w:rPr>
        <w:t>s</w:t>
      </w:r>
      <w:r w:rsidR="00B14C4B" w:rsidRPr="00C04647">
        <w:rPr>
          <w:rFonts w:ascii="Times New Roman" w:eastAsia="Times New Roman" w:hAnsi="Times New Roman" w:cs="Times New Roman"/>
          <w:sz w:val="24"/>
          <w:szCs w:val="24"/>
        </w:rPr>
        <w:t xml:space="preserve"> the activities of other sectors which often provide essential</w:t>
      </w:r>
      <w:r w:rsidR="00B14C4B">
        <w:rPr>
          <w:rFonts w:ascii="Times New Roman" w:eastAsia="Times New Roman" w:hAnsi="Times New Roman" w:cs="Times New Roman"/>
          <w:sz w:val="24"/>
          <w:szCs w:val="24"/>
        </w:rPr>
        <w:t xml:space="preserve"> </w:t>
      </w:r>
      <w:r w:rsidR="00B14C4B" w:rsidRPr="00C04647">
        <w:rPr>
          <w:rFonts w:ascii="Times New Roman" w:eastAsia="Times New Roman" w:hAnsi="Times New Roman" w:cs="Times New Roman"/>
          <w:sz w:val="24"/>
          <w:szCs w:val="24"/>
        </w:rPr>
        <w:t>services to direct production activities in agriculture, manufacturing, mining</w:t>
      </w:r>
      <w:r w:rsidR="00B14C4B">
        <w:rPr>
          <w:rFonts w:ascii="Times New Roman" w:eastAsia="Times New Roman" w:hAnsi="Times New Roman" w:cs="Times New Roman"/>
          <w:sz w:val="24"/>
          <w:szCs w:val="24"/>
        </w:rPr>
        <w:t xml:space="preserve"> and other sectors of the economy.</w:t>
      </w:r>
    </w:p>
    <w:p w14:paraId="0C2C8D50" w14:textId="32148FB8" w:rsidR="00B14C4B" w:rsidRDefault="00146653" w:rsidP="00B2072A">
      <w:pPr>
        <w:spacing w:line="360" w:lineRule="auto"/>
        <w:jc w:val="both"/>
        <w:rPr>
          <w:rFonts w:ascii="Times New Roman" w:eastAsia="Times New Roman" w:hAnsi="Times New Roman" w:cs="Times New Roman"/>
          <w:sz w:val="24"/>
          <w:szCs w:val="24"/>
          <w:lang w:val="en-GB"/>
        </w:rPr>
      </w:pPr>
      <w:r w:rsidRPr="00514770">
        <w:rPr>
          <w:rFonts w:ascii="Times New Roman" w:eastAsia="Times New Roman" w:hAnsi="Times New Roman" w:cs="Times New Roman"/>
          <w:sz w:val="24"/>
          <w:szCs w:val="24"/>
        </w:rPr>
        <w:t xml:space="preserve">Despite the importance of reliable and adequate energy access, few studies document the relationship between energy use and </w:t>
      </w:r>
      <w:r>
        <w:rPr>
          <w:rFonts w:ascii="Times New Roman" w:eastAsia="Times New Roman" w:hAnsi="Times New Roman" w:cs="Times New Roman"/>
          <w:sz w:val="24"/>
          <w:szCs w:val="24"/>
          <w:lang w:val="en-GB"/>
        </w:rPr>
        <w:t>service sector</w:t>
      </w:r>
      <w:r w:rsidRPr="00514770">
        <w:rPr>
          <w:rFonts w:ascii="Times New Roman" w:eastAsia="Times New Roman" w:hAnsi="Times New Roman" w:cs="Times New Roman"/>
          <w:sz w:val="24"/>
          <w:szCs w:val="24"/>
        </w:rPr>
        <w:t xml:space="preserve"> performance. This is worrisome given that an </w:t>
      </w:r>
      <w:r w:rsidRPr="00514770">
        <w:rPr>
          <w:rFonts w:ascii="Times New Roman" w:hAnsi="Times New Roman" w:cs="Times New Roman"/>
          <w:color w:val="1F1F1F"/>
          <w:sz w:val="24"/>
          <w:szCs w:val="24"/>
        </w:rPr>
        <w:t>increase in energy use not backed by improved economic performance points to energy inefficiency.</w:t>
      </w:r>
      <w:r w:rsidR="00BE1681">
        <w:rPr>
          <w:rFonts w:ascii="Times New Roman" w:hAnsi="Times New Roman" w:cs="Times New Roman"/>
          <w:color w:val="1F1F1F"/>
          <w:sz w:val="24"/>
          <w:szCs w:val="24"/>
          <w:lang w:val="en-GB"/>
        </w:rPr>
        <w:t xml:space="preserve"> Thus, </w:t>
      </w:r>
      <w:r w:rsidR="00BE1681">
        <w:rPr>
          <w:rFonts w:ascii="Times New Roman" w:eastAsia="Times New Roman" w:hAnsi="Times New Roman" w:cs="Times New Roman"/>
          <w:sz w:val="24"/>
          <w:szCs w:val="24"/>
        </w:rPr>
        <w:t xml:space="preserve">it becomes imperative to investigate how energy use has contributed to </w:t>
      </w:r>
      <w:r w:rsidR="00BE1681">
        <w:rPr>
          <w:rFonts w:ascii="Times New Roman" w:eastAsia="Times New Roman" w:hAnsi="Times New Roman" w:cs="Times New Roman"/>
          <w:sz w:val="24"/>
          <w:szCs w:val="24"/>
          <w:lang w:val="en-GB"/>
        </w:rPr>
        <w:t xml:space="preserve">service sector value added to GDP </w:t>
      </w:r>
      <w:r w:rsidR="00BE1681">
        <w:rPr>
          <w:rFonts w:ascii="Times New Roman" w:eastAsia="Times New Roman" w:hAnsi="Times New Roman" w:cs="Times New Roman"/>
          <w:sz w:val="24"/>
          <w:szCs w:val="24"/>
        </w:rPr>
        <w:t xml:space="preserve">in </w:t>
      </w:r>
      <w:r w:rsidR="00390CA8">
        <w:rPr>
          <w:rFonts w:ascii="Times New Roman" w:eastAsia="Times New Roman" w:hAnsi="Times New Roman" w:cs="Times New Roman"/>
          <w:sz w:val="24"/>
          <w:szCs w:val="24"/>
          <w:lang w:val="en-GB"/>
        </w:rPr>
        <w:t xml:space="preserve">Nigeria. </w:t>
      </w:r>
      <w:r w:rsidR="003C4099">
        <w:rPr>
          <w:rFonts w:ascii="Times New Roman" w:eastAsia="Times New Roman" w:hAnsi="Times New Roman" w:cs="Times New Roman"/>
          <w:sz w:val="24"/>
          <w:szCs w:val="24"/>
          <w:lang w:val="en-GB"/>
        </w:rPr>
        <w:t xml:space="preserve">The study is organised into five sections. Following the </w:t>
      </w:r>
      <w:r w:rsidR="00D71239">
        <w:rPr>
          <w:rFonts w:ascii="Times New Roman" w:eastAsia="Times New Roman" w:hAnsi="Times New Roman" w:cs="Times New Roman"/>
          <w:sz w:val="24"/>
          <w:szCs w:val="24"/>
          <w:lang w:val="en-GB"/>
        </w:rPr>
        <w:t xml:space="preserve">introduction, Sections 2 and 3 </w:t>
      </w:r>
      <w:r w:rsidR="00A327CD">
        <w:rPr>
          <w:rFonts w:ascii="Times New Roman" w:eastAsia="Times New Roman" w:hAnsi="Times New Roman" w:cs="Times New Roman"/>
          <w:sz w:val="24"/>
          <w:szCs w:val="24"/>
          <w:lang w:val="en-GB"/>
        </w:rPr>
        <w:t xml:space="preserve">provided the literature review and </w:t>
      </w:r>
      <w:r w:rsidR="00004CB7">
        <w:rPr>
          <w:rFonts w:ascii="Times New Roman" w:eastAsia="Times New Roman" w:hAnsi="Times New Roman" w:cs="Times New Roman"/>
          <w:sz w:val="24"/>
          <w:szCs w:val="24"/>
          <w:lang w:val="en-GB"/>
        </w:rPr>
        <w:t xml:space="preserve">methodology respectively. </w:t>
      </w:r>
      <w:r w:rsidR="002F5717">
        <w:rPr>
          <w:rFonts w:ascii="Times New Roman" w:eastAsia="Times New Roman" w:hAnsi="Times New Roman" w:cs="Times New Roman"/>
          <w:sz w:val="24"/>
          <w:szCs w:val="24"/>
          <w:lang w:val="en-GB"/>
        </w:rPr>
        <w:t>Additionally, section 4</w:t>
      </w:r>
      <w:r w:rsidR="007D2140">
        <w:rPr>
          <w:rFonts w:ascii="Times New Roman" w:eastAsia="Times New Roman" w:hAnsi="Times New Roman" w:cs="Times New Roman"/>
          <w:sz w:val="24"/>
          <w:szCs w:val="24"/>
          <w:lang w:val="en-GB"/>
        </w:rPr>
        <w:t xml:space="preserve"> </w:t>
      </w:r>
      <w:r w:rsidR="00327328">
        <w:rPr>
          <w:rFonts w:ascii="Times New Roman" w:eastAsia="Times New Roman" w:hAnsi="Times New Roman" w:cs="Times New Roman"/>
          <w:sz w:val="24"/>
          <w:szCs w:val="24"/>
          <w:lang w:val="en-GB"/>
        </w:rPr>
        <w:t xml:space="preserve">provides the results and discussion while section 5 concludes the paper. </w:t>
      </w:r>
    </w:p>
    <w:p w14:paraId="4FE6EBB9" w14:textId="2DEA2510" w:rsidR="00B2072A" w:rsidRDefault="00B2072A" w:rsidP="00B2072A">
      <w:pPr>
        <w:spacing w:line="36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2. Related Literature</w:t>
      </w:r>
    </w:p>
    <w:p w14:paraId="35210BA6" w14:textId="085B4962" w:rsidR="00B2072A" w:rsidRPr="00952AF5" w:rsidRDefault="00B2072A" w:rsidP="00952AF5">
      <w:pPr>
        <w:spacing w:line="360" w:lineRule="auto"/>
        <w:jc w:val="both"/>
        <w:rPr>
          <w:rFonts w:ascii="Times New Roman" w:eastAsia="Times New Roman" w:hAnsi="Times New Roman" w:cs="Times New Roman"/>
          <w:b/>
          <w:bCs/>
          <w:sz w:val="24"/>
          <w:szCs w:val="24"/>
          <w:lang w:val="en-GB"/>
        </w:rPr>
      </w:pPr>
      <w:r w:rsidRPr="00952AF5">
        <w:rPr>
          <w:rFonts w:ascii="Times New Roman" w:eastAsia="Times New Roman" w:hAnsi="Times New Roman" w:cs="Times New Roman"/>
          <w:b/>
          <w:bCs/>
          <w:sz w:val="24"/>
          <w:szCs w:val="24"/>
          <w:lang w:val="en-GB"/>
        </w:rPr>
        <w:t xml:space="preserve">2.1 </w:t>
      </w:r>
      <w:r w:rsidR="009F6B8A" w:rsidRPr="00952AF5">
        <w:rPr>
          <w:rFonts w:ascii="Times New Roman" w:eastAsia="Times New Roman" w:hAnsi="Times New Roman" w:cs="Times New Roman"/>
          <w:b/>
          <w:bCs/>
          <w:sz w:val="24"/>
          <w:szCs w:val="24"/>
          <w:lang w:val="en-GB"/>
        </w:rPr>
        <w:t>Theoretical Literature</w:t>
      </w:r>
    </w:p>
    <w:p w14:paraId="1CBB5FE4" w14:textId="77777777" w:rsidR="009F331E" w:rsidRPr="00952AF5" w:rsidRDefault="00D92BFE" w:rsidP="00952AF5">
      <w:pPr>
        <w:spacing w:after="0" w:line="360" w:lineRule="auto"/>
        <w:jc w:val="both"/>
        <w:rPr>
          <w:rFonts w:asciiTheme="majorBidi" w:eastAsia="Times New Roman" w:hAnsiTheme="majorBidi" w:cstheme="majorBidi"/>
          <w:sz w:val="24"/>
          <w:szCs w:val="24"/>
          <w:shd w:val="clear" w:color="auto" w:fill="FFFFFF"/>
        </w:rPr>
      </w:pPr>
      <w:r w:rsidRPr="00952AF5">
        <w:rPr>
          <w:rFonts w:asciiTheme="majorBidi" w:eastAsia="Times New Roman" w:hAnsiTheme="majorBidi" w:cstheme="majorBidi"/>
          <w:sz w:val="24"/>
          <w:szCs w:val="24"/>
          <w:lang w:val="en-GB"/>
        </w:rPr>
        <w:t xml:space="preserve">This </w:t>
      </w:r>
      <w:r w:rsidR="001D746B" w:rsidRPr="00952AF5">
        <w:rPr>
          <w:rFonts w:asciiTheme="majorBidi" w:eastAsia="Times New Roman" w:hAnsiTheme="majorBidi" w:cstheme="majorBidi"/>
          <w:sz w:val="24"/>
          <w:szCs w:val="24"/>
          <w:lang w:val="en-GB"/>
        </w:rPr>
        <w:t>study is anchored on</w:t>
      </w:r>
      <w:r w:rsidRPr="00952AF5">
        <w:rPr>
          <w:rFonts w:asciiTheme="majorBidi" w:eastAsia="Times New Roman" w:hAnsiTheme="majorBidi" w:cstheme="majorBidi"/>
          <w:sz w:val="24"/>
          <w:szCs w:val="24"/>
          <w:lang w:val="en-GB"/>
        </w:rPr>
        <w:t xml:space="preserve"> </w:t>
      </w:r>
      <w:r w:rsidR="00315D2B" w:rsidRPr="00952AF5">
        <w:rPr>
          <w:rFonts w:asciiTheme="majorBidi" w:eastAsia="Times New Roman" w:hAnsiTheme="majorBidi" w:cstheme="majorBidi"/>
          <w:sz w:val="24"/>
          <w:szCs w:val="24"/>
          <w:lang w:val="en-GB"/>
        </w:rPr>
        <w:t xml:space="preserve">the </w:t>
      </w:r>
      <w:r w:rsidRPr="00952AF5">
        <w:rPr>
          <w:rFonts w:asciiTheme="majorBidi" w:eastAsia="Times New Roman" w:hAnsiTheme="majorBidi" w:cstheme="majorBidi"/>
          <w:sz w:val="24"/>
          <w:szCs w:val="24"/>
          <w:shd w:val="clear" w:color="auto" w:fill="FFFFFF"/>
        </w:rPr>
        <w:t xml:space="preserve">energy-led growth </w:t>
      </w:r>
      <w:r w:rsidR="001D746B" w:rsidRPr="00952AF5">
        <w:rPr>
          <w:rFonts w:asciiTheme="majorBidi" w:eastAsia="Times New Roman" w:hAnsiTheme="majorBidi" w:cstheme="majorBidi"/>
          <w:sz w:val="24"/>
          <w:szCs w:val="24"/>
          <w:shd w:val="clear" w:color="auto" w:fill="FFFFFF"/>
          <w:lang w:val="en-GB"/>
        </w:rPr>
        <w:t>theory proposed by</w:t>
      </w:r>
      <w:r w:rsidRPr="00952AF5">
        <w:rPr>
          <w:rFonts w:asciiTheme="majorBidi" w:eastAsia="Times New Roman" w:hAnsiTheme="majorBidi" w:cstheme="majorBidi"/>
          <w:sz w:val="24"/>
          <w:szCs w:val="24"/>
          <w:shd w:val="clear" w:color="auto" w:fill="FFFFFF"/>
        </w:rPr>
        <w:t xml:space="preserve"> </w:t>
      </w:r>
      <w:r w:rsidRPr="00952AF5">
        <w:rPr>
          <w:rFonts w:asciiTheme="majorBidi" w:hAnsiTheme="majorBidi" w:cstheme="majorBidi"/>
          <w:sz w:val="24"/>
          <w:szCs w:val="24"/>
        </w:rPr>
        <w:t xml:space="preserve">Mason (1955) and Sims (1972). </w:t>
      </w:r>
      <w:r w:rsidR="00BA2F80" w:rsidRPr="00952AF5">
        <w:rPr>
          <w:rStyle w:val="editortaddedltunj"/>
          <w:rFonts w:asciiTheme="majorBidi" w:hAnsiTheme="majorBidi" w:cstheme="majorBidi"/>
          <w:spacing w:val="2"/>
          <w:sz w:val="24"/>
          <w:szCs w:val="24"/>
          <w:shd w:val="clear" w:color="auto" w:fill="FFFFFF"/>
        </w:rPr>
        <w:t>The</w:t>
      </w:r>
      <w:r w:rsidR="00BA2F80" w:rsidRPr="00952AF5">
        <w:rPr>
          <w:rStyle w:val="editortnoteditedwurp8"/>
          <w:rFonts w:asciiTheme="majorBidi" w:hAnsiTheme="majorBidi" w:cstheme="majorBidi"/>
          <w:color w:val="191919"/>
          <w:spacing w:val="2"/>
          <w:sz w:val="24"/>
          <w:szCs w:val="24"/>
          <w:shd w:val="clear" w:color="auto" w:fill="FFFFFF"/>
        </w:rPr>
        <w:t> </w:t>
      </w:r>
      <w:r w:rsidR="00BA2F80" w:rsidRPr="00952AF5">
        <w:rPr>
          <w:rStyle w:val="editortaddedltunj"/>
          <w:rFonts w:asciiTheme="majorBidi" w:hAnsiTheme="majorBidi" w:cstheme="majorBidi"/>
          <w:spacing w:val="2"/>
          <w:sz w:val="24"/>
          <w:szCs w:val="24"/>
          <w:shd w:val="clear" w:color="auto" w:fill="FFFFFF"/>
        </w:rPr>
        <w:t>theory</w:t>
      </w:r>
      <w:r w:rsidR="00BA2F80" w:rsidRPr="00952AF5">
        <w:rPr>
          <w:rStyle w:val="editortnoteditedwurp8"/>
          <w:rFonts w:asciiTheme="majorBidi" w:hAnsiTheme="majorBidi" w:cstheme="majorBidi"/>
          <w:color w:val="191919"/>
          <w:spacing w:val="2"/>
          <w:sz w:val="24"/>
          <w:szCs w:val="24"/>
          <w:shd w:val="clear" w:color="auto" w:fill="FFFFFF"/>
        </w:rPr>
        <w:t> </w:t>
      </w:r>
      <w:r w:rsidR="00BA2F80" w:rsidRPr="00952AF5">
        <w:rPr>
          <w:rStyle w:val="editortaddedltunj"/>
          <w:rFonts w:asciiTheme="majorBidi" w:hAnsiTheme="majorBidi" w:cstheme="majorBidi"/>
          <w:spacing w:val="2"/>
          <w:sz w:val="24"/>
          <w:szCs w:val="24"/>
          <w:shd w:val="clear" w:color="auto" w:fill="FFFFFF"/>
        </w:rPr>
        <w:t>assumes </w:t>
      </w:r>
      <w:r w:rsidR="00BA2F80" w:rsidRPr="00952AF5">
        <w:rPr>
          <w:rStyle w:val="editortnoteditedwurp8"/>
          <w:rFonts w:asciiTheme="majorBidi" w:hAnsiTheme="majorBidi" w:cstheme="majorBidi"/>
          <w:color w:val="191919"/>
          <w:spacing w:val="2"/>
          <w:sz w:val="24"/>
          <w:szCs w:val="24"/>
          <w:shd w:val="clear" w:color="auto" w:fill="FFFFFF"/>
        </w:rPr>
        <w:t>that focus on the energy </w:t>
      </w:r>
      <w:r w:rsidR="00BA2F80" w:rsidRPr="00952AF5">
        <w:rPr>
          <w:rStyle w:val="editortaddedltunj"/>
          <w:rFonts w:asciiTheme="majorBidi" w:hAnsiTheme="majorBidi" w:cstheme="majorBidi"/>
          <w:spacing w:val="2"/>
          <w:sz w:val="24"/>
          <w:szCs w:val="24"/>
          <w:shd w:val="clear" w:color="auto" w:fill="FFFFFF"/>
        </w:rPr>
        <w:t>sector</w:t>
      </w:r>
      <w:r w:rsidR="00BA2F80" w:rsidRPr="00952AF5">
        <w:rPr>
          <w:rStyle w:val="editortnoteditedwurp8"/>
          <w:rFonts w:asciiTheme="majorBidi" w:hAnsiTheme="majorBidi" w:cstheme="majorBidi"/>
          <w:color w:val="191919"/>
          <w:spacing w:val="2"/>
          <w:sz w:val="24"/>
          <w:szCs w:val="24"/>
          <w:shd w:val="clear" w:color="auto" w:fill="FFFFFF"/>
        </w:rPr>
        <w:t>, </w:t>
      </w:r>
      <w:r w:rsidR="00BA2F80" w:rsidRPr="00952AF5">
        <w:rPr>
          <w:rStyle w:val="editortaddedltunj"/>
          <w:rFonts w:asciiTheme="majorBidi" w:hAnsiTheme="majorBidi" w:cstheme="majorBidi"/>
          <w:spacing w:val="2"/>
          <w:sz w:val="24"/>
          <w:szCs w:val="24"/>
          <w:shd w:val="clear" w:color="auto" w:fill="FFFFFF"/>
        </w:rPr>
        <w:t>from</w:t>
      </w:r>
      <w:r w:rsidR="00BA2F80" w:rsidRPr="00952AF5">
        <w:rPr>
          <w:rStyle w:val="editortnoteditedwurp8"/>
          <w:rFonts w:asciiTheme="majorBidi" w:hAnsiTheme="majorBidi" w:cstheme="majorBidi"/>
          <w:color w:val="191919"/>
          <w:spacing w:val="2"/>
          <w:sz w:val="24"/>
          <w:szCs w:val="24"/>
          <w:shd w:val="clear" w:color="auto" w:fill="FFFFFF"/>
        </w:rPr>
        <w:t> research </w:t>
      </w:r>
      <w:r w:rsidR="00BA2F80" w:rsidRPr="00952AF5">
        <w:rPr>
          <w:rStyle w:val="editortaddedltunj"/>
          <w:rFonts w:asciiTheme="majorBidi" w:hAnsiTheme="majorBidi" w:cstheme="majorBidi"/>
          <w:spacing w:val="2"/>
          <w:sz w:val="24"/>
          <w:szCs w:val="24"/>
          <w:shd w:val="clear" w:color="auto" w:fill="FFFFFF"/>
        </w:rPr>
        <w:t>to development and </w:t>
      </w:r>
      <w:r w:rsidR="00BA2F80" w:rsidRPr="00952AF5">
        <w:rPr>
          <w:rStyle w:val="editortnoteditedwurp8"/>
          <w:rFonts w:asciiTheme="majorBidi" w:hAnsiTheme="majorBidi" w:cstheme="majorBidi"/>
          <w:color w:val="191919"/>
          <w:spacing w:val="2"/>
          <w:sz w:val="24"/>
          <w:szCs w:val="24"/>
          <w:shd w:val="clear" w:color="auto" w:fill="FFFFFF"/>
        </w:rPr>
        <w:t>innovation</w:t>
      </w:r>
      <w:r w:rsidR="00BA2F80" w:rsidRPr="00952AF5">
        <w:rPr>
          <w:rStyle w:val="editortnoteditedlongjunnx"/>
          <w:rFonts w:asciiTheme="majorBidi" w:hAnsiTheme="majorBidi" w:cstheme="majorBidi"/>
          <w:spacing w:val="2"/>
          <w:sz w:val="24"/>
          <w:szCs w:val="24"/>
          <w:shd w:val="clear" w:color="auto" w:fill="FFFFFF"/>
        </w:rPr>
        <w:t> and infrastructure development, can not </w:t>
      </w:r>
      <w:r w:rsidR="00BA2F80" w:rsidRPr="00952AF5">
        <w:rPr>
          <w:rStyle w:val="editortaddedltunj"/>
          <w:rFonts w:asciiTheme="majorBidi" w:hAnsiTheme="majorBidi" w:cstheme="majorBidi"/>
          <w:spacing w:val="2"/>
          <w:sz w:val="24"/>
          <w:szCs w:val="24"/>
          <w:shd w:val="clear" w:color="auto" w:fill="FFFFFF"/>
        </w:rPr>
        <w:t>just</w:t>
      </w:r>
      <w:r w:rsidR="00BA2F80" w:rsidRPr="00952AF5">
        <w:rPr>
          <w:rStyle w:val="editortnoteditedwurp8"/>
          <w:rFonts w:asciiTheme="majorBidi" w:hAnsiTheme="majorBidi" w:cstheme="majorBidi"/>
          <w:color w:val="191919"/>
          <w:spacing w:val="2"/>
          <w:sz w:val="24"/>
          <w:szCs w:val="24"/>
          <w:shd w:val="clear" w:color="auto" w:fill="FFFFFF"/>
        </w:rPr>
        <w:t> </w:t>
      </w:r>
      <w:r w:rsidR="00BA2F80" w:rsidRPr="00952AF5">
        <w:rPr>
          <w:rStyle w:val="editortaddedltunj"/>
          <w:rFonts w:asciiTheme="majorBidi" w:hAnsiTheme="majorBidi" w:cstheme="majorBidi"/>
          <w:spacing w:val="2"/>
          <w:sz w:val="24"/>
          <w:szCs w:val="24"/>
          <w:shd w:val="clear" w:color="auto" w:fill="FFFFFF"/>
        </w:rPr>
        <w:t>accelerate</w:t>
      </w:r>
      <w:r w:rsidR="00BA2F80" w:rsidRPr="00952AF5">
        <w:rPr>
          <w:rStyle w:val="editortnoteditedlongjunnx"/>
          <w:rFonts w:asciiTheme="majorBidi" w:hAnsiTheme="majorBidi" w:cstheme="majorBidi"/>
          <w:spacing w:val="2"/>
          <w:sz w:val="24"/>
          <w:szCs w:val="24"/>
          <w:shd w:val="clear" w:color="auto" w:fill="FFFFFF"/>
        </w:rPr>
        <w:t> growth within the energy sector itself but </w:t>
      </w:r>
      <w:r w:rsidR="00BA2F80" w:rsidRPr="00952AF5">
        <w:rPr>
          <w:rStyle w:val="editortaddedltunj"/>
          <w:rFonts w:asciiTheme="majorBidi" w:hAnsiTheme="majorBidi" w:cstheme="majorBidi"/>
          <w:spacing w:val="2"/>
          <w:sz w:val="24"/>
          <w:szCs w:val="24"/>
          <w:shd w:val="clear" w:color="auto" w:fill="FFFFFF"/>
        </w:rPr>
        <w:t>can</w:t>
      </w:r>
      <w:r w:rsidR="00BA2F80" w:rsidRPr="00952AF5">
        <w:rPr>
          <w:rStyle w:val="editortnoteditedwurp8"/>
          <w:rFonts w:asciiTheme="majorBidi" w:hAnsiTheme="majorBidi" w:cstheme="majorBidi"/>
          <w:color w:val="191919"/>
          <w:spacing w:val="2"/>
          <w:sz w:val="24"/>
          <w:szCs w:val="24"/>
          <w:shd w:val="clear" w:color="auto" w:fill="FFFFFF"/>
        </w:rPr>
        <w:t> have </w:t>
      </w:r>
      <w:r w:rsidR="00BA2F80" w:rsidRPr="00952AF5">
        <w:rPr>
          <w:rStyle w:val="editortaddedltunj"/>
          <w:rFonts w:asciiTheme="majorBidi" w:hAnsiTheme="majorBidi" w:cstheme="majorBidi"/>
          <w:spacing w:val="2"/>
          <w:sz w:val="24"/>
          <w:szCs w:val="24"/>
          <w:shd w:val="clear" w:color="auto" w:fill="FFFFFF"/>
        </w:rPr>
        <w:t>beneficial</w:t>
      </w:r>
      <w:r w:rsidR="00BA2F80" w:rsidRPr="00952AF5">
        <w:rPr>
          <w:rStyle w:val="editortnoteditedwurp8"/>
          <w:rFonts w:asciiTheme="majorBidi" w:hAnsiTheme="majorBidi" w:cstheme="majorBidi"/>
          <w:color w:val="191919"/>
          <w:spacing w:val="2"/>
          <w:sz w:val="24"/>
          <w:szCs w:val="24"/>
          <w:shd w:val="clear" w:color="auto" w:fill="FFFFFF"/>
        </w:rPr>
        <w:t> </w:t>
      </w:r>
      <w:r w:rsidR="00BA2F80" w:rsidRPr="00952AF5">
        <w:rPr>
          <w:rStyle w:val="editortaddedltunj"/>
          <w:rFonts w:asciiTheme="majorBidi" w:hAnsiTheme="majorBidi" w:cstheme="majorBidi"/>
          <w:spacing w:val="2"/>
          <w:sz w:val="24"/>
          <w:szCs w:val="24"/>
          <w:shd w:val="clear" w:color="auto" w:fill="FFFFFF"/>
        </w:rPr>
        <w:t>spillover</w:t>
      </w:r>
      <w:r w:rsidR="00BA2F80" w:rsidRPr="00952AF5">
        <w:rPr>
          <w:rStyle w:val="editortnoteditedwurp8"/>
          <w:rFonts w:asciiTheme="majorBidi" w:hAnsiTheme="majorBidi" w:cstheme="majorBidi"/>
          <w:color w:val="191919"/>
          <w:spacing w:val="2"/>
          <w:sz w:val="24"/>
          <w:szCs w:val="24"/>
          <w:shd w:val="clear" w:color="auto" w:fill="FFFFFF"/>
        </w:rPr>
        <w:t> effects </w:t>
      </w:r>
      <w:r w:rsidR="00BA2F80" w:rsidRPr="00952AF5">
        <w:rPr>
          <w:rStyle w:val="editortaddedltunj"/>
          <w:rFonts w:asciiTheme="majorBidi" w:hAnsiTheme="majorBidi" w:cstheme="majorBidi"/>
          <w:spacing w:val="2"/>
          <w:sz w:val="24"/>
          <w:szCs w:val="24"/>
          <w:shd w:val="clear" w:color="auto" w:fill="FFFFFF"/>
        </w:rPr>
        <w:t>across</w:t>
      </w:r>
      <w:r w:rsidR="00BA2F80" w:rsidRPr="00952AF5">
        <w:rPr>
          <w:rStyle w:val="editortnoteditedwurp8"/>
          <w:rFonts w:asciiTheme="majorBidi" w:hAnsiTheme="majorBidi" w:cstheme="majorBidi"/>
          <w:color w:val="191919"/>
          <w:spacing w:val="2"/>
          <w:sz w:val="24"/>
          <w:szCs w:val="24"/>
          <w:shd w:val="clear" w:color="auto" w:fill="FFFFFF"/>
        </w:rPr>
        <w:t> the </w:t>
      </w:r>
      <w:r w:rsidR="00BA2F80" w:rsidRPr="00952AF5">
        <w:rPr>
          <w:rStyle w:val="editortaddedltunj"/>
          <w:rFonts w:asciiTheme="majorBidi" w:hAnsiTheme="majorBidi" w:cstheme="majorBidi"/>
          <w:spacing w:val="2"/>
          <w:sz w:val="24"/>
          <w:szCs w:val="24"/>
          <w:shd w:val="clear" w:color="auto" w:fill="FFFFFF"/>
        </w:rPr>
        <w:t>economy</w:t>
      </w:r>
      <w:r w:rsidR="00BA2F80" w:rsidRPr="00952AF5">
        <w:rPr>
          <w:rStyle w:val="editortnoteditedwurp8"/>
          <w:rFonts w:asciiTheme="majorBidi" w:hAnsiTheme="majorBidi" w:cstheme="majorBidi"/>
          <w:color w:val="191919"/>
          <w:spacing w:val="2"/>
          <w:sz w:val="24"/>
          <w:szCs w:val="24"/>
          <w:shd w:val="clear" w:color="auto" w:fill="FFFFFF"/>
        </w:rPr>
        <w:t> </w:t>
      </w:r>
      <w:r w:rsidR="00BA2F80" w:rsidRPr="00952AF5">
        <w:rPr>
          <w:rStyle w:val="editortaddedltunj"/>
          <w:rFonts w:asciiTheme="majorBidi" w:hAnsiTheme="majorBidi" w:cstheme="majorBidi"/>
          <w:spacing w:val="2"/>
          <w:sz w:val="24"/>
          <w:szCs w:val="24"/>
          <w:shd w:val="clear" w:color="auto" w:fill="FFFFFF"/>
        </w:rPr>
        <w:t>at large</w:t>
      </w:r>
      <w:r w:rsidR="00BA2F80" w:rsidRPr="00952AF5">
        <w:rPr>
          <w:rStyle w:val="editortnoteditedwurp8"/>
          <w:rFonts w:asciiTheme="majorBidi" w:hAnsiTheme="majorBidi" w:cstheme="majorBidi"/>
          <w:color w:val="191919"/>
          <w:spacing w:val="2"/>
          <w:sz w:val="24"/>
          <w:szCs w:val="24"/>
          <w:shd w:val="clear" w:color="auto" w:fill="FFFFFF"/>
        </w:rPr>
        <w:t xml:space="preserve"> including the service sector.</w:t>
      </w:r>
      <w:r w:rsidRPr="00952AF5">
        <w:rPr>
          <w:rFonts w:ascii="Times New Roman" w:eastAsia="Times New Roman" w:hAnsi="Times New Roman" w:cs="Times New Roman"/>
          <w:sz w:val="24"/>
          <w:szCs w:val="24"/>
          <w:shd w:val="clear" w:color="auto" w:fill="FFFFFF"/>
        </w:rPr>
        <w:t xml:space="preserve"> It suggests that a focus on the energy industry, including research, innovation, and infrastructure development, can not only drive growth within the energy sector itself but also have positive ripple effects throughout the broader economy. By improving energy efficiency, promoting renewable energy sources, and investing in sustainable energy practices, countries can not only meet their energy needs more effectively but also create new job opportunities, spur technological innovation, and reduce environmental impact.</w:t>
      </w:r>
      <w:r w:rsidRPr="00952AF5">
        <w:rPr>
          <w:rFonts w:asciiTheme="majorBidi" w:eastAsia="Times New Roman" w:hAnsiTheme="majorBidi" w:cstheme="majorBidi"/>
          <w:sz w:val="24"/>
          <w:szCs w:val="24"/>
          <w:shd w:val="clear" w:color="auto" w:fill="FFFFFF"/>
        </w:rPr>
        <w:t xml:space="preserve"> </w:t>
      </w:r>
    </w:p>
    <w:p w14:paraId="1B121DB8" w14:textId="40A3A832" w:rsidR="00D92BFE" w:rsidRPr="00952AF5" w:rsidRDefault="009F331E" w:rsidP="00952AF5">
      <w:pPr>
        <w:spacing w:after="0" w:line="360" w:lineRule="auto"/>
        <w:jc w:val="both"/>
        <w:rPr>
          <w:rFonts w:ascii="Times New Roman" w:eastAsia="Times New Roman" w:hAnsi="Times New Roman" w:cs="Times New Roman"/>
          <w:sz w:val="24"/>
          <w:szCs w:val="24"/>
          <w:shd w:val="clear" w:color="auto" w:fill="FFFFFF"/>
        </w:rPr>
      </w:pPr>
      <w:r w:rsidRPr="00952AF5">
        <w:rPr>
          <w:rStyle w:val="editortaddedltunj"/>
          <w:rFonts w:asciiTheme="majorBidi" w:hAnsiTheme="majorBidi" w:cstheme="majorBidi"/>
          <w:spacing w:val="2"/>
          <w:sz w:val="24"/>
          <w:szCs w:val="24"/>
          <w:shd w:val="clear" w:color="auto" w:fill="FFFFFF"/>
        </w:rPr>
        <w:t>There are many criticisms of </w:t>
      </w:r>
      <w:r w:rsidRPr="00952AF5">
        <w:rPr>
          <w:rStyle w:val="editortnoteditedwurp8"/>
          <w:rFonts w:asciiTheme="majorBidi" w:hAnsiTheme="majorBidi" w:cstheme="majorBidi"/>
          <w:color w:val="191919"/>
          <w:spacing w:val="2"/>
          <w:sz w:val="24"/>
          <w:szCs w:val="24"/>
          <w:shd w:val="clear" w:color="auto" w:fill="FFFFFF"/>
        </w:rPr>
        <w:t>energy-led growth theory</w:t>
      </w:r>
      <w:r w:rsidRPr="00952AF5">
        <w:rPr>
          <w:rStyle w:val="editortaddedltunj"/>
          <w:rFonts w:asciiTheme="majorBidi" w:hAnsiTheme="majorBidi" w:cstheme="majorBidi"/>
          <w:spacing w:val="2"/>
          <w:sz w:val="24"/>
          <w:szCs w:val="24"/>
          <w:shd w:val="clear" w:color="auto" w:fill="FFFFFF"/>
        </w:rPr>
        <w:t>.</w:t>
      </w:r>
      <w:r w:rsidRPr="00952AF5">
        <w:rPr>
          <w:rStyle w:val="editortnoteditedwurp8"/>
          <w:rFonts w:asciiTheme="majorBidi" w:hAnsiTheme="majorBidi" w:cstheme="majorBidi"/>
          <w:color w:val="191919"/>
          <w:spacing w:val="2"/>
          <w:sz w:val="24"/>
          <w:szCs w:val="24"/>
          <w:shd w:val="clear" w:color="auto" w:fill="FFFFFF"/>
        </w:rPr>
        <w:t> </w:t>
      </w:r>
      <w:r w:rsidR="00952AF5" w:rsidRPr="00952AF5">
        <w:rPr>
          <w:rFonts w:ascii="Times New Roman" w:hAnsi="Times New Roman" w:cs="Times New Roman"/>
          <w:sz w:val="24"/>
          <w:szCs w:val="24"/>
          <w:shd w:val="clear" w:color="auto" w:fill="FFFFFF"/>
        </w:rPr>
        <w:t xml:space="preserve">One major criticism is its limitation in accounting for the complex factors that contribute to economic growth. The theory tends to oversimplify the relationship between energy consumption and economic development, </w:t>
      </w:r>
      <w:r w:rsidR="00952AF5" w:rsidRPr="00952AF5">
        <w:rPr>
          <w:rFonts w:ascii="Times New Roman" w:hAnsi="Times New Roman" w:cs="Times New Roman"/>
          <w:sz w:val="24"/>
          <w:szCs w:val="24"/>
          <w:shd w:val="clear" w:color="auto" w:fill="FFFFFF"/>
        </w:rPr>
        <w:lastRenderedPageBreak/>
        <w:t xml:space="preserve">neglecting the multifaceted nature of growth processes. Additionally, critics argue that energy-led growth theory does not adequately consider the impact of technological advancements and innovation in shaping economic progress. The theory also faces challenges in addressing concerns related to environmental sustainability and the finite nature of energy resources. Furthermore, some scholars argue that a singular focus on energy may overlook other crucial factors influencing economic development, such as human capital, institutions, and policies. </w:t>
      </w:r>
    </w:p>
    <w:p w14:paraId="133CF8D1" w14:textId="6E86723D" w:rsidR="00952AF5" w:rsidRDefault="00952AF5" w:rsidP="00952AF5">
      <w:pPr>
        <w:spacing w:line="360" w:lineRule="auto"/>
        <w:jc w:val="both"/>
        <w:rPr>
          <w:rFonts w:ascii="Times New Roman" w:eastAsia="Times New Roman" w:hAnsi="Times New Roman" w:cs="Times New Roman"/>
          <w:b/>
          <w:bCs/>
          <w:sz w:val="24"/>
          <w:szCs w:val="24"/>
          <w:lang w:val="en-GB"/>
        </w:rPr>
      </w:pPr>
      <w:r w:rsidRPr="00952AF5">
        <w:rPr>
          <w:rFonts w:ascii="Times New Roman" w:eastAsia="Times New Roman" w:hAnsi="Times New Roman" w:cs="Times New Roman"/>
          <w:b/>
          <w:bCs/>
          <w:sz w:val="24"/>
          <w:szCs w:val="24"/>
          <w:lang w:val="en-GB"/>
        </w:rPr>
        <w:t>2.</w:t>
      </w:r>
      <w:r>
        <w:rPr>
          <w:rFonts w:ascii="Times New Roman" w:eastAsia="Times New Roman" w:hAnsi="Times New Roman" w:cs="Times New Roman"/>
          <w:b/>
          <w:bCs/>
          <w:sz w:val="24"/>
          <w:szCs w:val="24"/>
          <w:lang w:val="en-GB"/>
        </w:rPr>
        <w:t>2 Empirical</w:t>
      </w:r>
      <w:r w:rsidRPr="00952AF5">
        <w:rPr>
          <w:rFonts w:ascii="Times New Roman" w:eastAsia="Times New Roman" w:hAnsi="Times New Roman" w:cs="Times New Roman"/>
          <w:b/>
          <w:bCs/>
          <w:sz w:val="24"/>
          <w:szCs w:val="24"/>
          <w:lang w:val="en-GB"/>
        </w:rPr>
        <w:t xml:space="preserve"> Literature</w:t>
      </w:r>
    </w:p>
    <w:p w14:paraId="04DBF856" w14:textId="6120CB0E" w:rsidR="00F405B4" w:rsidRPr="00A97117" w:rsidRDefault="00F405B4" w:rsidP="00F405B4">
      <w:pPr>
        <w:spacing w:line="360" w:lineRule="auto"/>
        <w:jc w:val="both"/>
        <w:rPr>
          <w:rFonts w:ascii="Times New Roman" w:eastAsia="Times New Roman" w:hAnsi="Times New Roman" w:cs="Times New Roman"/>
          <w:sz w:val="24"/>
          <w:szCs w:val="24"/>
        </w:rPr>
      </w:pPr>
      <w:r w:rsidRPr="0059197A">
        <w:rPr>
          <w:rFonts w:ascii="Times New Roman" w:hAnsi="Times New Roman" w:cs="Times New Roman"/>
          <w:sz w:val="24"/>
          <w:szCs w:val="24"/>
        </w:rPr>
        <w:t xml:space="preserve">Karanfil and Li (2015) investigated the short- and long-run effects of electricity consumption and economic activity in a selected sample of 160 countries from 1980 to 2010. The study's major goal was to determine the dynamic consequences of continental electricity dependence and how this level of dependence could assist in achieving desired level of urbanisation and GDP growth. The study's findings established that the feedback hypothesis exists in the long run for the vast majority of the sample size. The study identified unidirectional causality in the short-run between economic growth and electricity consumption in the Pacific, East Asia, North Africa, the Middle East, and lower-middle-income countries. The neutrality hypothesis was also found in </w:t>
      </w:r>
      <w:r>
        <w:rPr>
          <w:rFonts w:ascii="Times New Roman" w:hAnsi="Times New Roman" w:cs="Times New Roman"/>
          <w:sz w:val="24"/>
          <w:szCs w:val="24"/>
        </w:rPr>
        <w:t>Sub-Saharan</w:t>
      </w:r>
      <w:r w:rsidRPr="0059197A">
        <w:rPr>
          <w:rFonts w:ascii="Times New Roman" w:hAnsi="Times New Roman" w:cs="Times New Roman"/>
          <w:sz w:val="24"/>
          <w:szCs w:val="24"/>
        </w:rPr>
        <w:t xml:space="preserve"> Africa, North America, and </w:t>
      </w:r>
      <w:r w:rsidR="005D384A">
        <w:rPr>
          <w:rFonts w:ascii="Times New Roman" w:hAnsi="Times New Roman" w:cs="Times New Roman"/>
          <w:sz w:val="24"/>
          <w:szCs w:val="24"/>
        </w:rPr>
        <w:t>upper-middle-income</w:t>
      </w:r>
      <w:r w:rsidRPr="0059197A">
        <w:rPr>
          <w:rFonts w:ascii="Times New Roman" w:hAnsi="Times New Roman" w:cs="Times New Roman"/>
          <w:sz w:val="24"/>
          <w:szCs w:val="24"/>
        </w:rPr>
        <w:t xml:space="preserve"> nations, according to the study. They also discovered that there was no evidence of growth hypothesis in any of the examined strata. Their study's Granger causality finding revealed a range of outcomes in terms of urbanisation and electricity net import. The study revealed that in wealthy countries, the association between electricity consumption and economic growth has primarily short-term consequences, whereas in low-income economies, the relationship has long-term consequences</w:t>
      </w:r>
      <w:r>
        <w:rPr>
          <w:rFonts w:ascii="Times New Roman" w:eastAsia="Times New Roman" w:hAnsi="Times New Roman" w:cs="Times New Roman"/>
          <w:sz w:val="24"/>
          <w:szCs w:val="24"/>
        </w:rPr>
        <w:t>.</w:t>
      </w:r>
    </w:p>
    <w:p w14:paraId="7D329E5F" w14:textId="164FC0B7" w:rsidR="00B65635" w:rsidRDefault="00B65635" w:rsidP="00B65635">
      <w:pPr>
        <w:spacing w:before="240" w:line="360" w:lineRule="auto"/>
        <w:jc w:val="both"/>
        <w:rPr>
          <w:rFonts w:ascii="Times New Roman" w:hAnsi="Times New Roman" w:cs="Times New Roman"/>
          <w:sz w:val="24"/>
          <w:szCs w:val="24"/>
        </w:rPr>
      </w:pPr>
      <w:r w:rsidRPr="00ED6ACA">
        <w:rPr>
          <w:rFonts w:ascii="Times New Roman" w:hAnsi="Times New Roman" w:cs="Times New Roman"/>
          <w:sz w:val="24"/>
          <w:szCs w:val="24"/>
        </w:rPr>
        <w:t xml:space="preserve">Nwosa and Akinbobola (2012) considered the link between aggregate energy consumed and Nigerian sectoral output between the periods of 1980 and 2010. The method of data analysis involves a bi-variate vector auto-regressive (VAR) model. The result indicates a two-way causality between aggregate energy consumption and AGOP and a one-way causality running from </w:t>
      </w:r>
      <w:r w:rsidR="007707B0">
        <w:rPr>
          <w:rFonts w:ascii="Times New Roman" w:hAnsi="Times New Roman" w:cs="Times New Roman"/>
          <w:sz w:val="24"/>
          <w:szCs w:val="24"/>
        </w:rPr>
        <w:t xml:space="preserve">the </w:t>
      </w:r>
      <w:r w:rsidRPr="00ED6ACA">
        <w:rPr>
          <w:rFonts w:ascii="Times New Roman" w:hAnsi="Times New Roman" w:cs="Times New Roman"/>
          <w:sz w:val="24"/>
          <w:szCs w:val="24"/>
        </w:rPr>
        <w:t xml:space="preserve">service sector to aggregated energy consumed. It concluded that the link between consumed energy and </w:t>
      </w:r>
      <w:r w:rsidR="007707B0">
        <w:rPr>
          <w:rFonts w:ascii="Times New Roman" w:hAnsi="Times New Roman" w:cs="Times New Roman"/>
          <w:sz w:val="24"/>
          <w:szCs w:val="24"/>
        </w:rPr>
        <w:t xml:space="preserve">the </w:t>
      </w:r>
      <w:r w:rsidRPr="00ED6ACA">
        <w:rPr>
          <w:rFonts w:ascii="Times New Roman" w:hAnsi="Times New Roman" w:cs="Times New Roman"/>
          <w:sz w:val="24"/>
          <w:szCs w:val="24"/>
        </w:rPr>
        <w:t xml:space="preserve">output of respective sectors of the economy differs. Hence, energy policies that are targeted to individual sectors rather than a generalized policy was recommended. </w:t>
      </w:r>
      <w:r w:rsidR="00C90E24">
        <w:rPr>
          <w:rFonts w:ascii="Times New Roman" w:hAnsi="Times New Roman" w:cs="Times New Roman"/>
          <w:sz w:val="24"/>
          <w:szCs w:val="24"/>
        </w:rPr>
        <w:t>Conservative energy policies</w:t>
      </w:r>
      <w:r w:rsidRPr="00ED6ACA">
        <w:rPr>
          <w:rFonts w:ascii="Times New Roman" w:hAnsi="Times New Roman" w:cs="Times New Roman"/>
          <w:sz w:val="24"/>
          <w:szCs w:val="24"/>
        </w:rPr>
        <w:t xml:space="preserve"> </w:t>
      </w:r>
      <w:r w:rsidR="00C90E24">
        <w:rPr>
          <w:rFonts w:ascii="Times New Roman" w:hAnsi="Times New Roman" w:cs="Times New Roman"/>
          <w:sz w:val="24"/>
          <w:szCs w:val="24"/>
        </w:rPr>
        <w:t>were</w:t>
      </w:r>
      <w:r w:rsidRPr="00ED6ACA">
        <w:rPr>
          <w:rFonts w:ascii="Times New Roman" w:hAnsi="Times New Roman" w:cs="Times New Roman"/>
          <w:sz w:val="24"/>
          <w:szCs w:val="24"/>
        </w:rPr>
        <w:t xml:space="preserve"> seen to be injurious to productivity in agricultural and service sectors within the economy of Nigeria.</w:t>
      </w:r>
    </w:p>
    <w:p w14:paraId="77F82535" w14:textId="2754E712" w:rsidR="00E7009B" w:rsidRDefault="00E7009B" w:rsidP="00E7009B">
      <w:pPr>
        <w:spacing w:before="240" w:line="360" w:lineRule="auto"/>
        <w:jc w:val="both"/>
        <w:rPr>
          <w:rFonts w:ascii="Times New Roman" w:hAnsi="Times New Roman" w:cs="Times New Roman"/>
          <w:bCs/>
          <w:sz w:val="24"/>
          <w:szCs w:val="24"/>
        </w:rPr>
      </w:pPr>
      <w:r w:rsidRPr="00ED6ACA">
        <w:rPr>
          <w:rFonts w:ascii="Times New Roman" w:hAnsi="Times New Roman" w:cs="Times New Roman"/>
          <w:bCs/>
          <w:sz w:val="24"/>
          <w:szCs w:val="24"/>
        </w:rPr>
        <w:lastRenderedPageBreak/>
        <w:t xml:space="preserve">Mawejje and Mawejje (2016) examined the causal relationship between electricity consumption and sectoral output growth in Uganda. First, they used vector error correction techniques to estimate the long-run relationship between electricity consumption and GDP growth. Second, they applied Granger causality tests to determine the direction of this relationship. Third, they disaggregate GDP into its major sectors of agriculture, industry and services and test for Granger causality between sectoral output growth and electricity consumption. At the macro-level, results suggest long-run unidirectional causality running from electricity consumption to GDP. At the sectoral level, results indicate long-run causality running from electricity consumption to industry; a unidirectional short-run causality running from services sector to electricity consumption; and neutrality in the agricultural sector. These results have important </w:t>
      </w:r>
      <w:r w:rsidR="00BC183C">
        <w:rPr>
          <w:rFonts w:ascii="Times New Roman" w:hAnsi="Times New Roman" w:cs="Times New Roman"/>
          <w:bCs/>
          <w:sz w:val="24"/>
          <w:szCs w:val="24"/>
        </w:rPr>
        <w:t>policy implications</w:t>
      </w:r>
      <w:r w:rsidRPr="00ED6ACA">
        <w:rPr>
          <w:rFonts w:ascii="Times New Roman" w:hAnsi="Times New Roman" w:cs="Times New Roman"/>
          <w:bCs/>
          <w:sz w:val="24"/>
          <w:szCs w:val="24"/>
        </w:rPr>
        <w:t xml:space="preserve">. In particular, policies that improve electricity generation and consumption will accelerate growth in Uganda by facilitating industrial sector growth. </w:t>
      </w:r>
    </w:p>
    <w:p w14:paraId="5EB8D556" w14:textId="69C776CC" w:rsidR="00BC183C" w:rsidRPr="00ED6ACA" w:rsidRDefault="00BC183C" w:rsidP="00BC183C">
      <w:pPr>
        <w:spacing w:before="240" w:line="360" w:lineRule="auto"/>
        <w:jc w:val="both"/>
        <w:rPr>
          <w:rFonts w:ascii="Times New Roman" w:hAnsi="Times New Roman" w:cs="Times New Roman"/>
          <w:sz w:val="24"/>
          <w:szCs w:val="24"/>
        </w:rPr>
      </w:pPr>
      <w:r w:rsidRPr="00ED6ACA">
        <w:rPr>
          <w:rFonts w:ascii="Times New Roman" w:hAnsi="Times New Roman" w:cs="Times New Roman"/>
          <w:sz w:val="24"/>
          <w:szCs w:val="24"/>
        </w:rPr>
        <w:t xml:space="preserve">Lukic (2016) looked at the specifics of energy </w:t>
      </w:r>
      <w:r w:rsidR="008F2E81">
        <w:rPr>
          <w:rFonts w:ascii="Times New Roman" w:hAnsi="Times New Roman" w:cs="Times New Roman"/>
          <w:sz w:val="24"/>
          <w:szCs w:val="24"/>
        </w:rPr>
        <w:t>efficiency's</w:t>
      </w:r>
      <w:r w:rsidRPr="00ED6ACA">
        <w:rPr>
          <w:rFonts w:ascii="Times New Roman" w:hAnsi="Times New Roman" w:cs="Times New Roman"/>
          <w:sz w:val="24"/>
          <w:szCs w:val="24"/>
        </w:rPr>
        <w:t xml:space="preserve"> impact on the profitability of the service sector, with special insight into trade in Serbia. The theoretical and methodological presentations are illustrated by applying the comparative approach, on the original empirical data of the European Union and Serbia. To a certain extent, so as to thoroughly analyze the problem, the data from the surveys conducted in the United States of America, Canada and Russia were used. The results of empirical research show that energy efficiency in the service sector in Serbia is considerably lower than in the European Union and other countries with developed market </w:t>
      </w:r>
      <w:r w:rsidR="00982F66">
        <w:rPr>
          <w:rFonts w:ascii="Times New Roman" w:hAnsi="Times New Roman" w:cs="Times New Roman"/>
          <w:sz w:val="24"/>
          <w:szCs w:val="24"/>
        </w:rPr>
        <w:t>economies</w:t>
      </w:r>
      <w:r w:rsidRPr="00ED6ACA">
        <w:rPr>
          <w:rFonts w:ascii="Times New Roman" w:hAnsi="Times New Roman" w:cs="Times New Roman"/>
          <w:sz w:val="24"/>
          <w:szCs w:val="24"/>
        </w:rPr>
        <w:t xml:space="preserve">. Given that, it is necessary to introduce appropriate measures to improve </w:t>
      </w:r>
      <w:r w:rsidR="00982F66">
        <w:rPr>
          <w:rFonts w:ascii="Times New Roman" w:hAnsi="Times New Roman" w:cs="Times New Roman"/>
          <w:sz w:val="24"/>
          <w:szCs w:val="24"/>
        </w:rPr>
        <w:t xml:space="preserve">the </w:t>
      </w:r>
      <w:r w:rsidRPr="00ED6ACA">
        <w:rPr>
          <w:rFonts w:ascii="Times New Roman" w:hAnsi="Times New Roman" w:cs="Times New Roman"/>
          <w:sz w:val="24"/>
          <w:szCs w:val="24"/>
        </w:rPr>
        <w:t xml:space="preserve">energy efficiency of the service sector in Serbia in the future. These are: modern energy technologies, </w:t>
      </w:r>
      <w:r w:rsidR="00982F66">
        <w:rPr>
          <w:rFonts w:ascii="Times New Roman" w:hAnsi="Times New Roman" w:cs="Times New Roman"/>
          <w:sz w:val="24"/>
          <w:szCs w:val="24"/>
        </w:rPr>
        <w:t xml:space="preserve">an </w:t>
      </w:r>
      <w:r w:rsidRPr="00ED6ACA">
        <w:rPr>
          <w:rFonts w:ascii="Times New Roman" w:hAnsi="Times New Roman" w:cs="Times New Roman"/>
          <w:sz w:val="24"/>
          <w:szCs w:val="24"/>
        </w:rPr>
        <w:t xml:space="preserve">increase of renewable energy shares in total final energy consumption, reduction of energy consumption throughout the entire supply chain, reduction of carbon dioxide emissions related to energy consumption, construction of </w:t>
      </w:r>
      <w:r w:rsidR="00982F66">
        <w:rPr>
          <w:rFonts w:ascii="Times New Roman" w:hAnsi="Times New Roman" w:cs="Times New Roman"/>
          <w:sz w:val="24"/>
          <w:szCs w:val="24"/>
        </w:rPr>
        <w:t>energy-efficient</w:t>
      </w:r>
      <w:r w:rsidRPr="00ED6ACA">
        <w:rPr>
          <w:rFonts w:ascii="Times New Roman" w:hAnsi="Times New Roman" w:cs="Times New Roman"/>
          <w:sz w:val="24"/>
          <w:szCs w:val="24"/>
        </w:rPr>
        <w:t xml:space="preserve"> office buildings and retail facilities, and improvement of the existing. The ultimate </w:t>
      </w:r>
      <w:r w:rsidR="00982F66">
        <w:rPr>
          <w:rFonts w:ascii="Times New Roman" w:hAnsi="Times New Roman" w:cs="Times New Roman"/>
          <w:sz w:val="24"/>
          <w:szCs w:val="24"/>
        </w:rPr>
        <w:t>effect</w:t>
      </w:r>
      <w:r w:rsidRPr="00ED6ACA">
        <w:rPr>
          <w:rFonts w:ascii="Times New Roman" w:hAnsi="Times New Roman" w:cs="Times New Roman"/>
          <w:sz w:val="24"/>
          <w:szCs w:val="24"/>
        </w:rPr>
        <w:t xml:space="preserve"> of this are to improve profitability in the service sector in Serbia.</w:t>
      </w:r>
    </w:p>
    <w:p w14:paraId="35B6DB83" w14:textId="231D33ED" w:rsidR="00522814" w:rsidRDefault="004E474C" w:rsidP="00E7009B">
      <w:pPr>
        <w:spacing w:before="240" w:line="360" w:lineRule="auto"/>
        <w:jc w:val="both"/>
        <w:rPr>
          <w:rFonts w:ascii="Times New Roman" w:hAnsi="Times New Roman" w:cs="Times New Roman"/>
          <w:b/>
          <w:sz w:val="24"/>
          <w:szCs w:val="24"/>
          <w:lang w:val="en-GB"/>
        </w:rPr>
      </w:pPr>
      <w:r w:rsidRPr="00685921">
        <w:rPr>
          <w:rFonts w:ascii="Times New Roman" w:hAnsi="Times New Roman" w:cs="Times New Roman"/>
          <w:b/>
          <w:sz w:val="24"/>
          <w:szCs w:val="24"/>
          <w:lang w:val="en-GB"/>
        </w:rPr>
        <w:t>3. Methodology</w:t>
      </w:r>
    </w:p>
    <w:p w14:paraId="78E7CB8F" w14:textId="77777777" w:rsidR="00266985" w:rsidRDefault="00685921" w:rsidP="00266985">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lang w:val="en-GB"/>
        </w:rPr>
        <w:t xml:space="preserve">3.1 </w:t>
      </w:r>
      <w:r w:rsidR="00266985">
        <w:rPr>
          <w:rFonts w:ascii="Times New Roman" w:hAnsi="Times New Roman" w:cs="Times New Roman"/>
          <w:b/>
          <w:sz w:val="24"/>
          <w:szCs w:val="24"/>
        </w:rPr>
        <w:t xml:space="preserve">Model Specification </w:t>
      </w:r>
    </w:p>
    <w:p w14:paraId="11FF951C" w14:textId="77777777" w:rsidR="008D702B" w:rsidRDefault="00266985" w:rsidP="008D702B">
      <w:pPr>
        <w:spacing w:line="480" w:lineRule="auto"/>
        <w:jc w:val="both"/>
        <w:rPr>
          <w:rFonts w:ascii="Times New Roman" w:eastAsia="Times New Roman" w:hAnsi="Times New Roman" w:cs="Times New Roman"/>
          <w:sz w:val="24"/>
          <w:szCs w:val="24"/>
          <w:lang w:val="en-GB"/>
        </w:rPr>
      </w:pPr>
      <w:r w:rsidRPr="007F1043">
        <w:rPr>
          <w:rFonts w:ascii="Times New Roman" w:hAnsi="Times New Roman" w:cs="Times New Roman"/>
          <w:sz w:val="24"/>
          <w:szCs w:val="24"/>
        </w:rPr>
        <w:t>The</w:t>
      </w:r>
      <w:r>
        <w:rPr>
          <w:rFonts w:ascii="Times New Roman" w:hAnsi="Times New Roman" w:cs="Times New Roman"/>
          <w:sz w:val="24"/>
          <w:szCs w:val="24"/>
        </w:rPr>
        <w:t xml:space="preserve"> </w:t>
      </w:r>
      <w:r w:rsidR="001E5FE5">
        <w:rPr>
          <w:rFonts w:ascii="Times New Roman" w:hAnsi="Times New Roman" w:cs="Times New Roman"/>
          <w:sz w:val="24"/>
          <w:szCs w:val="24"/>
          <w:lang w:val="en-GB"/>
        </w:rPr>
        <w:t xml:space="preserve">model for this study is </w:t>
      </w:r>
      <w:r>
        <w:rPr>
          <w:rFonts w:ascii="Times New Roman" w:hAnsi="Times New Roman" w:cs="Times New Roman"/>
          <w:sz w:val="24"/>
          <w:szCs w:val="24"/>
        </w:rPr>
        <w:t>patterned after the work</w:t>
      </w:r>
      <w:r w:rsidR="001E5FE5">
        <w:rPr>
          <w:rFonts w:ascii="Times New Roman" w:hAnsi="Times New Roman" w:cs="Times New Roman"/>
          <w:sz w:val="24"/>
          <w:szCs w:val="24"/>
          <w:lang w:val="en-GB"/>
        </w:rPr>
        <w:t xml:space="preserve"> of</w:t>
      </w:r>
      <w:r>
        <w:rPr>
          <w:rFonts w:ascii="Times New Roman" w:hAnsi="Times New Roman" w:cs="Times New Roman"/>
          <w:sz w:val="24"/>
          <w:szCs w:val="24"/>
        </w:rPr>
        <w:t xml:space="preserve"> </w:t>
      </w:r>
      <w:r w:rsidRPr="00ED6ACA">
        <w:rPr>
          <w:rFonts w:ascii="Times New Roman" w:hAnsi="Times New Roman" w:cs="Times New Roman"/>
          <w:sz w:val="24"/>
          <w:szCs w:val="24"/>
        </w:rPr>
        <w:t>Agbanike Nwani and Uwazie (2019)</w:t>
      </w:r>
      <w:r w:rsidR="001E5FE5">
        <w:rPr>
          <w:rFonts w:ascii="Times New Roman" w:hAnsi="Times New Roman" w:cs="Times New Roman"/>
          <w:sz w:val="24"/>
          <w:szCs w:val="24"/>
          <w:lang w:val="en-GB"/>
        </w:rPr>
        <w:t xml:space="preserve"> with an improvem</w:t>
      </w:r>
      <w:r w:rsidR="008D702B">
        <w:rPr>
          <w:rFonts w:ascii="Times New Roman" w:hAnsi="Times New Roman" w:cs="Times New Roman"/>
          <w:sz w:val="24"/>
          <w:szCs w:val="24"/>
          <w:lang w:val="en-GB"/>
        </w:rPr>
        <w:t xml:space="preserve">ent </w:t>
      </w:r>
      <w:r>
        <w:rPr>
          <w:rFonts w:ascii="Times New Roman" w:hAnsi="Times New Roman" w:cs="Times New Roman"/>
          <w:sz w:val="24"/>
          <w:szCs w:val="24"/>
        </w:rPr>
        <w:t xml:space="preserve">following the recognition of heterogeneous energy supply sources to </w:t>
      </w:r>
      <w:r>
        <w:rPr>
          <w:rFonts w:ascii="Times New Roman" w:hAnsi="Times New Roman" w:cs="Times New Roman"/>
          <w:sz w:val="24"/>
          <w:szCs w:val="24"/>
        </w:rPr>
        <w:lastRenderedPageBreak/>
        <w:t>enhance production activities in different segments of the real sector</w:t>
      </w:r>
      <w:r w:rsidRPr="007F1043">
        <w:rPr>
          <w:rFonts w:ascii="Times New Roman" w:eastAsia="Times New Roman" w:hAnsi="Times New Roman" w:cs="Times New Roman"/>
          <w:sz w:val="24"/>
          <w:szCs w:val="24"/>
        </w:rPr>
        <w:t xml:space="preserve">. The </w:t>
      </w:r>
      <w:r w:rsidR="008D702B">
        <w:rPr>
          <w:rFonts w:ascii="Times New Roman" w:eastAsia="Times New Roman" w:hAnsi="Times New Roman" w:cs="Times New Roman"/>
          <w:sz w:val="24"/>
          <w:szCs w:val="24"/>
          <w:lang w:val="en-GB"/>
        </w:rPr>
        <w:t>model is specified in a functional form as:</w:t>
      </w:r>
    </w:p>
    <w:p w14:paraId="32ECA645" w14:textId="7C63F55E" w:rsidR="00266985" w:rsidRPr="00E560C5" w:rsidRDefault="00266985" w:rsidP="00266985">
      <w:pPr>
        <w:spacing w:line="480" w:lineRule="auto"/>
        <w:jc w:val="both"/>
        <w:rPr>
          <w:rFonts w:ascii="Times New Roman" w:eastAsia="Times New Roman" w:hAnsi="Times New Roman" w:cs="Times New Roman"/>
          <w:sz w:val="24"/>
          <w:szCs w:val="24"/>
          <w:lang w:val="en-GB"/>
        </w:rPr>
      </w:pPr>
      <w:r w:rsidRPr="00E560C5">
        <w:rPr>
          <w:rFonts w:ascii="Times New Roman" w:eastAsia="Times New Roman" w:hAnsi="Times New Roman" w:cs="Times New Roman"/>
          <w:sz w:val="24"/>
          <w:szCs w:val="24"/>
          <w:lang w:val="en-GB"/>
        </w:rPr>
        <w:t>SSV = f (FEU, REU, AEU, TOU)</w:t>
      </w:r>
      <w:r w:rsidRPr="00E560C5">
        <w:rPr>
          <w:rFonts w:ascii="Times New Roman" w:eastAsia="Times New Roman" w:hAnsi="Times New Roman" w:cs="Times New Roman"/>
          <w:sz w:val="24"/>
          <w:szCs w:val="24"/>
          <w:lang w:val="en-GB"/>
        </w:rPr>
        <w:tab/>
      </w:r>
      <w:r w:rsidRPr="00E560C5">
        <w:rPr>
          <w:rFonts w:ascii="Times New Roman" w:eastAsia="Times New Roman" w:hAnsi="Times New Roman" w:cs="Times New Roman"/>
          <w:sz w:val="24"/>
          <w:szCs w:val="24"/>
          <w:lang w:val="en-GB"/>
        </w:rPr>
        <w:tab/>
      </w:r>
      <w:r w:rsidRPr="00E560C5">
        <w:rPr>
          <w:rFonts w:ascii="Times New Roman" w:eastAsia="Times New Roman" w:hAnsi="Times New Roman" w:cs="Times New Roman"/>
          <w:sz w:val="24"/>
          <w:szCs w:val="24"/>
          <w:lang w:val="en-GB"/>
        </w:rPr>
        <w:tab/>
      </w:r>
      <w:r w:rsidRPr="00E560C5">
        <w:rPr>
          <w:rFonts w:ascii="Times New Roman" w:eastAsia="Times New Roman" w:hAnsi="Times New Roman" w:cs="Times New Roman"/>
          <w:sz w:val="24"/>
          <w:szCs w:val="24"/>
          <w:lang w:val="en-GB"/>
        </w:rPr>
        <w:tab/>
      </w:r>
      <w:r w:rsidRPr="00E560C5">
        <w:rPr>
          <w:rFonts w:ascii="Times New Roman" w:eastAsia="Times New Roman" w:hAnsi="Times New Roman" w:cs="Times New Roman"/>
          <w:sz w:val="24"/>
          <w:szCs w:val="24"/>
          <w:lang w:val="en-GB"/>
        </w:rPr>
        <w:tab/>
        <w:t xml:space="preserve"> (</w:t>
      </w:r>
      <w:r w:rsidR="00C5206B" w:rsidRPr="00E560C5">
        <w:rPr>
          <w:rFonts w:ascii="Times New Roman" w:eastAsia="Times New Roman" w:hAnsi="Times New Roman" w:cs="Times New Roman"/>
          <w:sz w:val="24"/>
          <w:szCs w:val="24"/>
          <w:lang w:val="en-GB"/>
        </w:rPr>
        <w:t>1)</w:t>
      </w:r>
      <w:r w:rsidRPr="00E560C5">
        <w:rPr>
          <w:rFonts w:ascii="Times New Roman" w:eastAsia="Times New Roman" w:hAnsi="Times New Roman" w:cs="Times New Roman"/>
          <w:sz w:val="24"/>
          <w:szCs w:val="24"/>
          <w:lang w:val="en-GB"/>
        </w:rPr>
        <w:tab/>
      </w:r>
    </w:p>
    <w:p w14:paraId="5A972A18" w14:textId="034FF223" w:rsidR="00266985" w:rsidRDefault="00266985" w:rsidP="00C5206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z w:val="24"/>
          <w:szCs w:val="24"/>
        </w:rPr>
        <w:tab/>
        <w:t xml:space="preserve"> SSV = service sector value added</w:t>
      </w:r>
      <w:r w:rsidR="00C5206B">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FEU = fossil fuel energy use</w:t>
      </w:r>
      <w:r w:rsidR="00C5206B">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REU = renewable energy use</w:t>
      </w:r>
      <w:r w:rsidR="00C5206B">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AEU = alternative energy use</w:t>
      </w:r>
      <w:r w:rsidR="00C5206B">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sz w:val="24"/>
          <w:szCs w:val="24"/>
        </w:rPr>
        <w:t>TOU = total electricity use</w:t>
      </w:r>
    </w:p>
    <w:p w14:paraId="3E9E3873" w14:textId="06A711FF" w:rsidR="00266985" w:rsidRDefault="00266985" w:rsidP="0026698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Specifically, the autoregressive distributed lag (ARDL) model </w:t>
      </w:r>
      <w:r w:rsidR="00C5206B">
        <w:rPr>
          <w:rFonts w:ascii="Times New Roman" w:hAnsi="Times New Roman" w:cs="Times New Roman"/>
          <w:sz w:val="24"/>
          <w:szCs w:val="24"/>
          <w:lang w:val="en-GB"/>
        </w:rPr>
        <w:t>is</w:t>
      </w:r>
      <w:r>
        <w:rPr>
          <w:rFonts w:ascii="Times New Roman" w:hAnsi="Times New Roman" w:cs="Times New Roman"/>
          <w:sz w:val="24"/>
          <w:szCs w:val="24"/>
        </w:rPr>
        <w:t xml:space="preserve"> specified below:</w:t>
      </w:r>
    </w:p>
    <w:bookmarkStart w:id="0" w:name="_Hlk159207292"/>
    <w:p w14:paraId="4990FEE9" w14:textId="7A2F9C92" w:rsidR="00667FE6" w:rsidRDefault="00667FE6" w:rsidP="00667FE6">
      <w:pPr>
        <w:spacing w:line="480" w:lineRule="auto"/>
        <w:jc w:val="both"/>
        <w:rPr>
          <w:rFonts w:ascii="Times New Roman" w:hAnsi="Times New Roman"/>
          <w:sz w:val="24"/>
          <w:szCs w:val="24"/>
        </w:rPr>
      </w:pPr>
      <w:r w:rsidRPr="009B490B">
        <w:rPr>
          <w:rFonts w:ascii="Times New Roman" w:hAnsi="Times New Roman" w:cs="Times New Roman"/>
          <w:position w:val="-4"/>
          <w:sz w:val="24"/>
          <w:szCs w:val="24"/>
        </w:rPr>
        <w:object w:dxaOrig="220" w:dyaOrig="260" w14:anchorId="3E2A6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7" o:title=""/>
          </v:shape>
          <o:OLEObject Type="Embed" ProgID="Equation.3" ShapeID="_x0000_i1025" DrawAspect="Content" ObjectID="_1801930451" r:id="rId8"/>
        </w:object>
      </w:r>
      <m:oMath>
        <m:r>
          <w:rPr>
            <w:rFonts w:ascii="Cambria Math" w:hAnsi="Times New Roman"/>
            <w:sz w:val="24"/>
            <w:szCs w:val="24"/>
          </w:rPr>
          <m:t>SS</m:t>
        </m:r>
        <m:sSub>
          <m:sSubPr>
            <m:ctrlPr>
              <w:rPr>
                <w:rFonts w:ascii="Cambria Math" w:hAnsi="Times New Roman"/>
                <w:i/>
                <w:sz w:val="24"/>
                <w:szCs w:val="24"/>
              </w:rPr>
            </m:ctrlPr>
          </m:sSubPr>
          <m:e>
            <m:r>
              <w:rPr>
                <w:rFonts w:ascii="Cambria Math" w:hAnsi="Times New Roman"/>
                <w:sz w:val="24"/>
                <w:szCs w:val="24"/>
              </w:rPr>
              <m:t>V</m:t>
            </m:r>
          </m:e>
          <m:sub>
            <m:r>
              <w:rPr>
                <w:rFonts w:ascii="Cambria Math" w:hAnsi="Times New Roman"/>
                <w:sz w:val="24"/>
                <w:szCs w:val="24"/>
              </w:rPr>
              <m:t>t</m:t>
            </m:r>
          </m:sub>
        </m:sSub>
      </m:oMath>
      <w:r>
        <w:rPr>
          <w:rFonts w:ascii="Times New Roman" w:hAnsi="Times New Roman"/>
          <w:sz w:val="24"/>
          <w:szCs w:val="24"/>
        </w:rPr>
        <w:t xml:space="preserve"> </w:t>
      </w:r>
      <w:r>
        <w:rPr>
          <w:rFonts w:ascii="Times New Roman" w:hAnsi="Times New Roman"/>
          <w:sz w:val="24"/>
          <w:szCs w:val="24"/>
          <w:vertAlign w:val="subscript"/>
        </w:rPr>
        <w:t xml:space="preserve">= </w:t>
      </w:r>
      <w:r>
        <w:rPr>
          <w:rFonts w:ascii="Times New Roman" w:hAnsi="Times New Roman" w:cs="Times New Roman"/>
          <w:sz w:val="24"/>
          <w:szCs w:val="24"/>
        </w:rPr>
        <w:t>α</w:t>
      </w:r>
      <w:r>
        <w:rPr>
          <w:rFonts w:ascii="Times New Roman" w:hAnsi="Times New Roman"/>
          <w:sz w:val="24"/>
          <w:szCs w:val="24"/>
          <w:vertAlign w:val="subscript"/>
        </w:rPr>
        <w:t>0</w:t>
      </w:r>
      <w:r w:rsidRPr="00955AFF">
        <w:rPr>
          <w:rFonts w:ascii="Times New Roman" w:hAnsi="Times New Roman"/>
          <w:sz w:val="24"/>
          <w:szCs w:val="24"/>
          <w:vertAlign w:val="subscript"/>
        </w:rPr>
        <w:t xml:space="preserve"> </w:t>
      </w:r>
      <w:r w:rsidRPr="00955AFF">
        <w:rPr>
          <w:rFonts w:ascii="Times New Roman" w:hAnsi="Times New Roman"/>
          <w:sz w:val="24"/>
          <w:szCs w:val="24"/>
        </w:rPr>
        <w:t xml:space="preserve">+ </w:t>
      </w:r>
      <m:oMath>
        <m:nary>
          <m:naryPr>
            <m:chr m:val="∑"/>
            <m:ctrlPr>
              <w:rPr>
                <w:rFonts w:ascii="Cambria Math" w:hAnsi="Times New Roman"/>
                <w:i/>
                <w:sz w:val="24"/>
                <w:szCs w:val="24"/>
              </w:rPr>
            </m:ctrlPr>
          </m:naryPr>
          <m:sub>
            <m:r>
              <w:rPr>
                <w:rFonts w:ascii="Cambria Math" w:hAnsi="Times New Roman"/>
                <w:sz w:val="24"/>
                <w:szCs w:val="24"/>
              </w:rPr>
              <m:t>i=1</m:t>
            </m:r>
          </m:sub>
          <m:sup>
            <m:r>
              <w:rPr>
                <w:rFonts w:ascii="Cambria Math" w:hAnsi="Times New Roman"/>
                <w:sz w:val="24"/>
                <w:szCs w:val="24"/>
              </w:rPr>
              <m:t>p</m:t>
            </m:r>
          </m:sup>
          <m:e>
            <m:sSub>
              <m:sSubPr>
                <m:ctrlPr>
                  <w:rPr>
                    <w:rFonts w:ascii="Cambria Math" w:hAnsi="Times New Roman"/>
                    <w:i/>
                    <w:sz w:val="24"/>
                    <w:szCs w:val="24"/>
                  </w:rPr>
                </m:ctrlPr>
              </m:sSubPr>
              <m:e>
                <m:r>
                  <w:rPr>
                    <w:rFonts w:ascii="Cambria Math" w:hAnsi="Times New Roman"/>
                    <w:sz w:val="24"/>
                    <w:szCs w:val="24"/>
                  </w:rPr>
                  <m:t>α</m:t>
                </m:r>
              </m:e>
              <m:sub>
                <m:r>
                  <w:rPr>
                    <w:rFonts w:ascii="Cambria Math" w:hAnsi="Times New Roman"/>
                    <w:sz w:val="24"/>
                    <w:szCs w:val="24"/>
                  </w:rPr>
                  <m:t>1</m:t>
                </m:r>
              </m:sub>
            </m:sSub>
            <m:r>
              <w:rPr>
                <w:rFonts w:ascii="Cambria Math" w:hAnsi="Times New Roman"/>
                <w:sz w:val="24"/>
                <w:szCs w:val="24"/>
              </w:rPr>
              <m:t>ΔSS</m:t>
            </m:r>
            <m:sSub>
              <m:sSubPr>
                <m:ctrlPr>
                  <w:rPr>
                    <w:rFonts w:ascii="Cambria Math" w:hAnsi="Times New Roman"/>
                    <w:i/>
                    <w:sz w:val="24"/>
                    <w:szCs w:val="24"/>
                  </w:rPr>
                </m:ctrlPr>
              </m:sSubPr>
              <m:e>
                <m:r>
                  <w:rPr>
                    <w:rFonts w:ascii="Cambria Math" w:hAnsi="Times New Roman"/>
                    <w:sz w:val="24"/>
                    <w:szCs w:val="24"/>
                  </w:rPr>
                  <m:t>V</m:t>
                </m:r>
              </m:e>
              <m:sub>
                <m:r>
                  <w:rPr>
                    <w:rFonts w:ascii="Cambria Math" w:hAnsi="Times New Roman"/>
                    <w:sz w:val="24"/>
                    <w:szCs w:val="24"/>
                  </w:rPr>
                  <m:t>t</m:t>
                </m:r>
                <m:r>
                  <w:rPr>
                    <w:rFonts w:ascii="Cambria Math" w:hAnsi="Times New Roman"/>
                    <w:sz w:val="24"/>
                    <w:szCs w:val="24"/>
                  </w:rPr>
                  <m:t>-</m:t>
                </m:r>
                <m:r>
                  <w:rPr>
                    <w:rFonts w:ascii="Cambria Math" w:hAnsi="Times New Roman"/>
                    <w:sz w:val="24"/>
                    <w:szCs w:val="24"/>
                  </w:rPr>
                  <m:t>1</m:t>
                </m:r>
              </m:sub>
            </m:sSub>
            <m:ctrlPr>
              <w:rPr>
                <w:rFonts w:ascii="Cambria Math" w:hAnsi="Cambria Math"/>
                <w:i/>
                <w:sz w:val="24"/>
                <w:szCs w:val="24"/>
              </w:rPr>
            </m:ctrlPr>
          </m:e>
        </m:nary>
      </m:oMath>
      <w:r w:rsidRPr="00955AFF">
        <w:rPr>
          <w:rFonts w:ascii="Times New Roman" w:hAnsi="Times New Roman"/>
          <w:sz w:val="24"/>
          <w:szCs w:val="24"/>
        </w:rPr>
        <w:t>+</w:t>
      </w:r>
      <w:r w:rsidRPr="00955AFF">
        <w:rPr>
          <w:rFonts w:ascii="Times New Roman" w:hAnsi="Times New Roman"/>
          <w:position w:val="-10"/>
          <w:sz w:val="24"/>
          <w:szCs w:val="24"/>
        </w:rPr>
        <w:object w:dxaOrig="180" w:dyaOrig="340" w14:anchorId="7AE1F56B">
          <v:shape id="_x0000_i1026" type="#_x0000_t75" style="width:6.75pt;height:21.75pt" o:ole="">
            <v:imagedata r:id="rId9" o:title=""/>
          </v:shape>
          <o:OLEObject Type="Embed" ProgID="Equation.3" ShapeID="_x0000_i1026" DrawAspect="Content" ObjectID="_1801930452" r:id="rId10"/>
        </w:object>
      </w:r>
      <m:oMath>
        <m:nary>
          <m:naryPr>
            <m:chr m:val="∑"/>
            <m:ctrlPr>
              <w:rPr>
                <w:rFonts w:ascii="Cambria Math" w:hAnsi="Times New Roman"/>
                <w:i/>
                <w:sz w:val="24"/>
                <w:szCs w:val="24"/>
              </w:rPr>
            </m:ctrlPr>
          </m:naryPr>
          <m:sub>
            <m:r>
              <w:rPr>
                <w:rFonts w:ascii="Cambria Math" w:hAnsi="Times New Roman"/>
                <w:sz w:val="24"/>
                <w:szCs w:val="24"/>
              </w:rPr>
              <m:t>i=1</m:t>
            </m:r>
          </m:sub>
          <m:sup>
            <m:r>
              <w:rPr>
                <w:rFonts w:ascii="Cambria Math" w:hAnsi="Times New Roman"/>
                <w:sz w:val="24"/>
                <w:szCs w:val="24"/>
              </w:rPr>
              <m:t>q</m:t>
            </m:r>
          </m:sup>
          <m:e>
            <m:sSub>
              <m:sSubPr>
                <m:ctrlPr>
                  <w:rPr>
                    <w:rFonts w:ascii="Cambria Math" w:hAnsi="Times New Roman"/>
                    <w:i/>
                    <w:sz w:val="24"/>
                    <w:szCs w:val="24"/>
                  </w:rPr>
                </m:ctrlPr>
              </m:sSubPr>
              <m:e>
                <m:r>
                  <w:rPr>
                    <w:rFonts w:ascii="Cambria Math" w:hAnsi="Times New Roman"/>
                    <w:sz w:val="24"/>
                    <w:szCs w:val="24"/>
                  </w:rPr>
                  <m:t>α</m:t>
                </m:r>
              </m:e>
              <m:sub>
                <m:r>
                  <w:rPr>
                    <w:rFonts w:ascii="Cambria Math" w:hAnsi="Times New Roman"/>
                    <w:sz w:val="24"/>
                    <w:szCs w:val="24"/>
                  </w:rPr>
                  <m:t>2</m:t>
                </m:r>
              </m:sub>
            </m:sSub>
            <m:r>
              <w:rPr>
                <w:rFonts w:ascii="Cambria Math" w:hAnsi="Times New Roman"/>
                <w:sz w:val="24"/>
                <w:szCs w:val="24"/>
              </w:rPr>
              <m:t>ΔFE</m:t>
            </m:r>
            <m:sSub>
              <m:sSubPr>
                <m:ctrlPr>
                  <w:rPr>
                    <w:rFonts w:ascii="Cambria Math" w:hAnsi="Times New Roman"/>
                    <w:i/>
                    <w:sz w:val="24"/>
                    <w:szCs w:val="24"/>
                  </w:rPr>
                </m:ctrlPr>
              </m:sSubPr>
              <m:e>
                <m:r>
                  <w:rPr>
                    <w:rFonts w:ascii="Cambria Math" w:hAnsi="Times New Roman"/>
                    <w:sz w:val="24"/>
                    <w:szCs w:val="24"/>
                  </w:rPr>
                  <m:t>U</m:t>
                </m:r>
              </m:e>
              <m:sub>
                <m:r>
                  <w:rPr>
                    <w:rFonts w:ascii="Cambria Math" w:hAnsi="Times New Roman"/>
                    <w:sz w:val="24"/>
                    <w:szCs w:val="24"/>
                  </w:rPr>
                  <m:t>t</m:t>
                </m:r>
                <m:r>
                  <w:rPr>
                    <w:rFonts w:ascii="Cambria Math" w:hAnsi="Times New Roman"/>
                    <w:sz w:val="24"/>
                    <w:szCs w:val="24"/>
                  </w:rPr>
                  <m:t>-</m:t>
                </m:r>
                <m:r>
                  <w:rPr>
                    <w:rFonts w:ascii="Cambria Math" w:hAnsi="Times New Roman"/>
                    <w:sz w:val="24"/>
                    <w:szCs w:val="24"/>
                  </w:rPr>
                  <m:t>1</m:t>
                </m:r>
              </m:sub>
            </m:sSub>
            <m:r>
              <w:rPr>
                <w:rFonts w:ascii="Cambria Math" w:hAnsi="Times New Roman"/>
                <w:sz w:val="24"/>
                <w:szCs w:val="24"/>
              </w:rPr>
              <m:t>+</m:t>
            </m:r>
          </m:e>
        </m:nary>
        <m:nary>
          <m:naryPr>
            <m:chr m:val="∑"/>
            <m:ctrlPr>
              <w:rPr>
                <w:rFonts w:ascii="Cambria Math" w:hAnsi="Times New Roman"/>
                <w:i/>
                <w:sz w:val="24"/>
                <w:szCs w:val="24"/>
              </w:rPr>
            </m:ctrlPr>
          </m:naryPr>
          <m:sub>
            <m:r>
              <w:rPr>
                <w:rFonts w:ascii="Cambria Math" w:hAnsi="Times New Roman"/>
                <w:sz w:val="24"/>
                <w:szCs w:val="24"/>
              </w:rPr>
              <m:t>i=1</m:t>
            </m:r>
          </m:sub>
          <m:sup>
            <m:r>
              <w:rPr>
                <w:rFonts w:ascii="Cambria Math" w:hAnsi="Times New Roman"/>
                <w:sz w:val="24"/>
                <w:szCs w:val="24"/>
              </w:rPr>
              <m:t>q</m:t>
            </m:r>
          </m:sup>
          <m:e>
            <m:sSub>
              <m:sSubPr>
                <m:ctrlPr>
                  <w:rPr>
                    <w:rFonts w:ascii="Cambria Math" w:hAnsi="Times New Roman"/>
                    <w:i/>
                    <w:sz w:val="24"/>
                    <w:szCs w:val="24"/>
                  </w:rPr>
                </m:ctrlPr>
              </m:sSubPr>
              <m:e>
                <m:r>
                  <w:rPr>
                    <w:rFonts w:ascii="Cambria Math" w:hAnsi="Times New Roman"/>
                    <w:sz w:val="24"/>
                    <w:szCs w:val="24"/>
                  </w:rPr>
                  <m:t>α</m:t>
                </m:r>
              </m:e>
              <m:sub>
                <m:r>
                  <w:rPr>
                    <w:rFonts w:ascii="Cambria Math" w:hAnsi="Times New Roman"/>
                    <w:sz w:val="24"/>
                    <w:szCs w:val="24"/>
                  </w:rPr>
                  <m:t>3</m:t>
                </m:r>
              </m:sub>
            </m:sSub>
            <m:r>
              <w:rPr>
                <w:rFonts w:ascii="Cambria Math" w:hAnsi="Times New Roman"/>
                <w:sz w:val="24"/>
                <w:szCs w:val="24"/>
              </w:rPr>
              <m:t>ΔRE</m:t>
            </m:r>
            <m:sSub>
              <m:sSubPr>
                <m:ctrlPr>
                  <w:rPr>
                    <w:rFonts w:ascii="Cambria Math" w:hAnsi="Times New Roman"/>
                    <w:i/>
                    <w:sz w:val="24"/>
                    <w:szCs w:val="24"/>
                  </w:rPr>
                </m:ctrlPr>
              </m:sSubPr>
              <m:e>
                <m:r>
                  <w:rPr>
                    <w:rFonts w:ascii="Cambria Math" w:hAnsi="Times New Roman"/>
                    <w:sz w:val="24"/>
                    <w:szCs w:val="24"/>
                  </w:rPr>
                  <m:t>U</m:t>
                </m:r>
              </m:e>
              <m:sub>
                <m:r>
                  <w:rPr>
                    <w:rFonts w:ascii="Cambria Math" w:hAnsi="Times New Roman"/>
                    <w:sz w:val="24"/>
                    <w:szCs w:val="24"/>
                  </w:rPr>
                  <m:t>t</m:t>
                </m:r>
                <m:r>
                  <w:rPr>
                    <w:rFonts w:ascii="Cambria Math" w:hAnsi="Times New Roman"/>
                    <w:sz w:val="24"/>
                    <w:szCs w:val="24"/>
                  </w:rPr>
                  <m:t>-</m:t>
                </m:r>
                <m:r>
                  <w:rPr>
                    <w:rFonts w:ascii="Cambria Math" w:hAnsi="Times New Roman"/>
                    <w:sz w:val="24"/>
                    <w:szCs w:val="24"/>
                  </w:rPr>
                  <m:t>1</m:t>
                </m:r>
              </m:sub>
            </m:sSub>
            <m:r>
              <w:rPr>
                <w:rFonts w:ascii="Cambria Math" w:hAnsi="Times New Roman"/>
                <w:sz w:val="24"/>
                <w:szCs w:val="24"/>
              </w:rPr>
              <m:t>+</m:t>
            </m:r>
          </m:e>
        </m:nary>
        <m:nary>
          <m:naryPr>
            <m:chr m:val="∑"/>
            <m:ctrlPr>
              <w:rPr>
                <w:rFonts w:ascii="Cambria Math" w:hAnsi="Times New Roman"/>
                <w:i/>
                <w:sz w:val="24"/>
                <w:szCs w:val="24"/>
              </w:rPr>
            </m:ctrlPr>
          </m:naryPr>
          <m:sub>
            <m:r>
              <w:rPr>
                <w:rFonts w:ascii="Cambria Math" w:hAnsi="Times New Roman"/>
                <w:sz w:val="24"/>
                <w:szCs w:val="24"/>
              </w:rPr>
              <m:t>i=1</m:t>
            </m:r>
          </m:sub>
          <m:sup>
            <m:r>
              <w:rPr>
                <w:rFonts w:ascii="Cambria Math" w:hAnsi="Times New Roman"/>
                <w:sz w:val="24"/>
                <w:szCs w:val="24"/>
              </w:rPr>
              <m:t>q</m:t>
            </m:r>
          </m:sup>
          <m:e>
            <m:sSub>
              <m:sSubPr>
                <m:ctrlPr>
                  <w:rPr>
                    <w:rFonts w:ascii="Cambria Math" w:hAnsi="Times New Roman"/>
                    <w:i/>
                    <w:sz w:val="24"/>
                    <w:szCs w:val="24"/>
                  </w:rPr>
                </m:ctrlPr>
              </m:sSubPr>
              <m:e>
                <m:r>
                  <w:rPr>
                    <w:rFonts w:ascii="Cambria Math" w:hAnsi="Times New Roman"/>
                    <w:sz w:val="24"/>
                    <w:szCs w:val="24"/>
                  </w:rPr>
                  <m:t>α</m:t>
                </m:r>
              </m:e>
              <m:sub>
                <m:r>
                  <w:rPr>
                    <w:rFonts w:ascii="Cambria Math" w:hAnsi="Times New Roman"/>
                    <w:sz w:val="24"/>
                    <w:szCs w:val="24"/>
                  </w:rPr>
                  <m:t>4</m:t>
                </m:r>
              </m:sub>
            </m:sSub>
            <m:r>
              <w:rPr>
                <w:rFonts w:ascii="Cambria Math" w:hAnsi="Times New Roman"/>
                <w:sz w:val="24"/>
                <w:szCs w:val="24"/>
              </w:rPr>
              <m:t>ΔAE</m:t>
            </m:r>
            <m:sSub>
              <m:sSubPr>
                <m:ctrlPr>
                  <w:rPr>
                    <w:rFonts w:ascii="Cambria Math" w:hAnsi="Times New Roman"/>
                    <w:i/>
                    <w:sz w:val="24"/>
                    <w:szCs w:val="24"/>
                  </w:rPr>
                </m:ctrlPr>
              </m:sSubPr>
              <m:e>
                <m:r>
                  <w:rPr>
                    <w:rFonts w:ascii="Cambria Math" w:hAnsi="Times New Roman"/>
                    <w:sz w:val="24"/>
                    <w:szCs w:val="24"/>
                  </w:rPr>
                  <m:t>U</m:t>
                </m:r>
              </m:e>
              <m:sub>
                <m:r>
                  <w:rPr>
                    <w:rFonts w:ascii="Cambria Math" w:hAnsi="Times New Roman"/>
                    <w:sz w:val="24"/>
                    <w:szCs w:val="24"/>
                  </w:rPr>
                  <m:t>t</m:t>
                </m:r>
                <m:r>
                  <w:rPr>
                    <w:rFonts w:ascii="Cambria Math" w:hAnsi="Times New Roman"/>
                    <w:sz w:val="24"/>
                    <w:szCs w:val="24"/>
                  </w:rPr>
                  <m:t>-</m:t>
                </m:r>
                <m:r>
                  <w:rPr>
                    <w:rFonts w:ascii="Cambria Math" w:hAnsi="Times New Roman"/>
                    <w:sz w:val="24"/>
                    <w:szCs w:val="24"/>
                  </w:rPr>
                  <m:t>1</m:t>
                </m:r>
              </m:sub>
            </m:sSub>
            <m:r>
              <w:rPr>
                <w:rFonts w:ascii="Cambria Math" w:hAnsi="Times New Roman"/>
                <w:sz w:val="24"/>
                <w:szCs w:val="24"/>
              </w:rPr>
              <m:t>+</m:t>
            </m:r>
          </m:e>
        </m:nary>
      </m:oMath>
      <w:r w:rsidRPr="00955AFF">
        <w:rPr>
          <w:rFonts w:ascii="Times New Roman" w:hAnsi="Times New Roman"/>
          <w:sz w:val="24"/>
          <w:szCs w:val="24"/>
        </w:rPr>
        <w:t xml:space="preserve"> </w:t>
      </w:r>
      <m:oMath>
        <m:nary>
          <m:naryPr>
            <m:chr m:val="∑"/>
            <m:ctrlPr>
              <w:rPr>
                <w:rFonts w:ascii="Cambria Math" w:hAnsi="Times New Roman"/>
                <w:i/>
                <w:sz w:val="24"/>
                <w:szCs w:val="24"/>
              </w:rPr>
            </m:ctrlPr>
          </m:naryPr>
          <m:sub>
            <m:r>
              <w:rPr>
                <w:rFonts w:ascii="Cambria Math" w:hAnsi="Times New Roman"/>
                <w:sz w:val="24"/>
                <w:szCs w:val="24"/>
              </w:rPr>
              <m:t>i=1</m:t>
            </m:r>
          </m:sub>
          <m:sup>
            <m:r>
              <w:rPr>
                <w:rFonts w:ascii="Cambria Math" w:hAnsi="Times New Roman"/>
                <w:sz w:val="24"/>
                <w:szCs w:val="24"/>
              </w:rPr>
              <m:t>q</m:t>
            </m:r>
          </m:sup>
          <m:e>
            <m:sSub>
              <m:sSubPr>
                <m:ctrlPr>
                  <w:rPr>
                    <w:rFonts w:ascii="Cambria Math" w:hAnsi="Times New Roman"/>
                    <w:i/>
                    <w:sz w:val="24"/>
                    <w:szCs w:val="24"/>
                  </w:rPr>
                </m:ctrlPr>
              </m:sSubPr>
              <m:e>
                <m:r>
                  <w:rPr>
                    <w:rFonts w:ascii="Cambria Math" w:hAnsi="Times New Roman"/>
                    <w:sz w:val="24"/>
                    <w:szCs w:val="24"/>
                  </w:rPr>
                  <m:t>α</m:t>
                </m:r>
              </m:e>
              <m:sub>
                <m:r>
                  <w:rPr>
                    <w:rFonts w:ascii="Cambria Math" w:hAnsi="Times New Roman"/>
                    <w:sz w:val="24"/>
                    <w:szCs w:val="24"/>
                  </w:rPr>
                  <m:t>5</m:t>
                </m:r>
              </m:sub>
            </m:sSub>
            <m:r>
              <w:rPr>
                <w:rFonts w:ascii="Cambria Math" w:hAnsi="Times New Roman"/>
                <w:sz w:val="24"/>
                <w:szCs w:val="24"/>
              </w:rPr>
              <m:t>ΔTO</m:t>
            </m:r>
            <m:sSub>
              <m:sSubPr>
                <m:ctrlPr>
                  <w:rPr>
                    <w:rFonts w:ascii="Cambria Math" w:hAnsi="Times New Roman"/>
                    <w:i/>
                    <w:sz w:val="24"/>
                    <w:szCs w:val="24"/>
                  </w:rPr>
                </m:ctrlPr>
              </m:sSubPr>
              <m:e>
                <m:r>
                  <w:rPr>
                    <w:rFonts w:ascii="Cambria Math" w:hAnsi="Times New Roman"/>
                    <w:sz w:val="24"/>
                    <w:szCs w:val="24"/>
                  </w:rPr>
                  <m:t>U</m:t>
                </m:r>
              </m:e>
              <m:sub>
                <m:r>
                  <w:rPr>
                    <w:rFonts w:ascii="Cambria Math" w:hAnsi="Times New Roman"/>
                    <w:sz w:val="24"/>
                    <w:szCs w:val="24"/>
                  </w:rPr>
                  <m:t>t</m:t>
                </m:r>
                <m:r>
                  <w:rPr>
                    <w:rFonts w:ascii="Cambria Math" w:hAnsi="Times New Roman"/>
                    <w:sz w:val="24"/>
                    <w:szCs w:val="24"/>
                  </w:rPr>
                  <m:t>-</m:t>
                </m:r>
                <m:r>
                  <w:rPr>
                    <w:rFonts w:ascii="Cambria Math" w:hAnsi="Times New Roman"/>
                    <w:sz w:val="24"/>
                    <w:szCs w:val="24"/>
                  </w:rPr>
                  <m:t>1</m:t>
                </m:r>
              </m:sub>
            </m:sSub>
            <m:ctrlPr>
              <w:rPr>
                <w:rFonts w:ascii="Cambria Math" w:hAnsi="Cambria Math"/>
                <w:i/>
                <w:sz w:val="24"/>
                <w:szCs w:val="24"/>
              </w:rPr>
            </m:ctrlPr>
          </m:e>
        </m:nary>
      </m:oMath>
      <w:r w:rsidRPr="00955AFF">
        <w:rPr>
          <w:rFonts w:ascii="Times New Roman" w:hAnsi="Times New Roman"/>
          <w:sz w:val="24"/>
          <w:szCs w:val="24"/>
        </w:rPr>
        <w:t>+</w:t>
      </w:r>
      <m:oMath>
        <m:sSub>
          <m:sSubPr>
            <m:ctrlPr>
              <w:rPr>
                <w:rFonts w:ascii="Cambria Math" w:hAnsi="Times New Roman"/>
                <w:i/>
                <w:sz w:val="24"/>
                <w:szCs w:val="24"/>
              </w:rPr>
            </m:ctrlPr>
          </m:sSubPr>
          <m:e>
            <m:r>
              <w:rPr>
                <w:rFonts w:ascii="Cambria Math" w:hAnsi="Cambria Math"/>
                <w:sz w:val="24"/>
                <w:szCs w:val="24"/>
              </w:rPr>
              <m:t>β</m:t>
            </m:r>
          </m:e>
          <m:sub>
            <m:r>
              <w:rPr>
                <w:rFonts w:ascii="Cambria Math" w:hAnsi="Times New Roman"/>
                <w:sz w:val="24"/>
                <w:szCs w:val="24"/>
              </w:rPr>
              <m:t>1</m:t>
            </m:r>
          </m:sub>
        </m:sSub>
        <m:r>
          <w:rPr>
            <w:rFonts w:ascii="Cambria Math" w:hAnsi="Times New Roman"/>
            <w:sz w:val="24"/>
            <w:szCs w:val="24"/>
          </w:rPr>
          <m:t>SS</m:t>
        </m:r>
        <m:sSub>
          <m:sSubPr>
            <m:ctrlPr>
              <w:rPr>
                <w:rFonts w:ascii="Cambria Math" w:hAnsi="Times New Roman"/>
                <w:i/>
                <w:sz w:val="24"/>
                <w:szCs w:val="24"/>
              </w:rPr>
            </m:ctrlPr>
          </m:sSubPr>
          <m:e>
            <m:r>
              <w:rPr>
                <w:rFonts w:ascii="Cambria Math" w:hAnsi="Times New Roman"/>
                <w:sz w:val="24"/>
                <w:szCs w:val="24"/>
              </w:rPr>
              <m:t>V</m:t>
            </m:r>
          </m:e>
          <m:sub>
            <m:r>
              <w:rPr>
                <w:rFonts w:ascii="Cambria Math" w:hAnsi="Times New Roman"/>
                <w:sz w:val="24"/>
                <w:szCs w:val="24"/>
              </w:rPr>
              <m:t>t</m:t>
            </m:r>
            <m:r>
              <w:rPr>
                <w:rFonts w:ascii="Cambria Math" w:hAnsi="Times New Roman"/>
                <w:sz w:val="24"/>
                <w:szCs w:val="24"/>
              </w:rPr>
              <m:t>-</m:t>
            </m:r>
            <m:r>
              <w:rPr>
                <w:rFonts w:ascii="Cambria Math" w:hAnsi="Times New Roman"/>
                <w:sz w:val="24"/>
                <w:szCs w:val="24"/>
              </w:rPr>
              <m:t>1</m:t>
            </m:r>
          </m:sub>
        </m:sSub>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β</m:t>
            </m:r>
          </m:e>
          <m:sub>
            <m:r>
              <w:rPr>
                <w:rFonts w:ascii="Cambria Math" w:hAnsi="Times New Roman"/>
                <w:sz w:val="24"/>
                <w:szCs w:val="24"/>
              </w:rPr>
              <m:t>2</m:t>
            </m:r>
          </m:sub>
        </m:sSub>
        <m:r>
          <w:rPr>
            <w:rFonts w:ascii="Cambria Math" w:hAnsi="Times New Roman"/>
            <w:sz w:val="24"/>
            <w:szCs w:val="24"/>
          </w:rPr>
          <m:t>FE</m:t>
        </m:r>
        <m:sSub>
          <m:sSubPr>
            <m:ctrlPr>
              <w:rPr>
                <w:rFonts w:ascii="Cambria Math" w:hAnsi="Times New Roman"/>
                <w:i/>
                <w:sz w:val="24"/>
                <w:szCs w:val="24"/>
              </w:rPr>
            </m:ctrlPr>
          </m:sSubPr>
          <m:e>
            <m:r>
              <w:rPr>
                <w:rFonts w:ascii="Cambria Math" w:hAnsi="Times New Roman"/>
                <w:sz w:val="24"/>
                <w:szCs w:val="24"/>
              </w:rPr>
              <m:t>U</m:t>
            </m:r>
          </m:e>
          <m:sub>
            <m:r>
              <w:rPr>
                <w:rFonts w:ascii="Cambria Math" w:hAnsi="Times New Roman"/>
                <w:sz w:val="24"/>
                <w:szCs w:val="24"/>
              </w:rPr>
              <m:t>t</m:t>
            </m:r>
            <m:r>
              <w:rPr>
                <w:rFonts w:ascii="Cambria Math" w:hAnsi="Times New Roman"/>
                <w:sz w:val="24"/>
                <w:szCs w:val="24"/>
              </w:rPr>
              <m:t>-</m:t>
            </m:r>
            <m:r>
              <w:rPr>
                <w:rFonts w:ascii="Cambria Math" w:hAnsi="Times New Roman"/>
                <w:sz w:val="24"/>
                <w:szCs w:val="24"/>
              </w:rPr>
              <m:t>1</m:t>
            </m:r>
          </m:sub>
        </m:sSub>
        <m:r>
          <w:rPr>
            <w:rFonts w:ascii="Cambria Math" w:hAnsi="Times New Roman"/>
            <w:sz w:val="24"/>
            <w:szCs w:val="24"/>
          </w:rPr>
          <m:t>+</m:t>
        </m:r>
        <m:sSub>
          <m:sSubPr>
            <m:ctrlPr>
              <w:rPr>
                <w:rFonts w:ascii="Cambria Math" w:hAnsi="Times New Roman"/>
                <w:i/>
                <w:sz w:val="24"/>
                <w:szCs w:val="24"/>
                <w:lang w:val="en-GB"/>
              </w:rPr>
            </m:ctrlPr>
          </m:sSubPr>
          <m:e>
            <m:r>
              <w:rPr>
                <w:rFonts w:ascii="Cambria Math" w:hAnsi="Cambria Math"/>
                <w:sz w:val="24"/>
                <w:szCs w:val="24"/>
              </w:rPr>
              <m:t>β</m:t>
            </m:r>
          </m:e>
          <m:sub>
            <m:r>
              <w:rPr>
                <w:rFonts w:ascii="Cambria Math" w:hAnsi="Times New Roman"/>
                <w:sz w:val="24"/>
                <w:szCs w:val="24"/>
              </w:rPr>
              <m:t>3</m:t>
            </m:r>
          </m:sub>
        </m:sSub>
        <m:r>
          <w:rPr>
            <w:rFonts w:ascii="Cambria Math" w:hAnsi="Times New Roman"/>
            <w:sz w:val="24"/>
            <w:szCs w:val="24"/>
          </w:rPr>
          <m:t>RE</m:t>
        </m:r>
        <m:sSub>
          <m:sSubPr>
            <m:ctrlPr>
              <w:rPr>
                <w:rFonts w:ascii="Cambria Math" w:hAnsi="Times New Roman"/>
                <w:i/>
                <w:sz w:val="24"/>
                <w:szCs w:val="24"/>
                <w:lang w:val="en-GB"/>
              </w:rPr>
            </m:ctrlPr>
          </m:sSubPr>
          <m:e>
            <m:r>
              <w:rPr>
                <w:rFonts w:ascii="Cambria Math" w:hAnsi="Times New Roman"/>
                <w:sz w:val="24"/>
                <w:szCs w:val="24"/>
              </w:rPr>
              <m:t>U</m:t>
            </m:r>
          </m:e>
          <m:sub>
            <m:r>
              <w:rPr>
                <w:rFonts w:ascii="Cambria Math" w:hAnsi="Times New Roman"/>
                <w:sz w:val="24"/>
                <w:szCs w:val="24"/>
              </w:rPr>
              <m:t>t</m:t>
            </m:r>
            <m:r>
              <w:rPr>
                <w:rFonts w:ascii="Cambria Math" w:hAnsi="Times New Roman"/>
                <w:sz w:val="24"/>
                <w:szCs w:val="24"/>
              </w:rPr>
              <m:t>-</m:t>
            </m:r>
            <m:r>
              <w:rPr>
                <w:rFonts w:ascii="Cambria Math" w:hAnsi="Times New Roman"/>
                <w:sz w:val="24"/>
                <w:szCs w:val="24"/>
              </w:rPr>
              <m:t>1</m:t>
            </m:r>
          </m:sub>
        </m:sSub>
        <m:r>
          <w:rPr>
            <w:rFonts w:ascii="Cambria Math" w:hAnsi="Times New Roman"/>
            <w:sz w:val="24"/>
            <w:szCs w:val="24"/>
          </w:rPr>
          <m:t>+</m:t>
        </m:r>
        <m:sSub>
          <m:sSubPr>
            <m:ctrlPr>
              <w:rPr>
                <w:rFonts w:ascii="Cambria Math" w:hAnsi="Times New Roman"/>
                <w:i/>
                <w:sz w:val="24"/>
                <w:szCs w:val="24"/>
                <w:lang w:val="en-GB"/>
              </w:rPr>
            </m:ctrlPr>
          </m:sSubPr>
          <m:e>
            <m:r>
              <w:rPr>
                <w:rFonts w:ascii="Cambria Math" w:hAnsi="Cambria Math"/>
                <w:sz w:val="24"/>
                <w:szCs w:val="24"/>
              </w:rPr>
              <m:t>β</m:t>
            </m:r>
          </m:e>
          <m:sub>
            <m:r>
              <w:rPr>
                <w:rFonts w:ascii="Cambria Math" w:hAnsi="Times New Roman"/>
                <w:sz w:val="24"/>
                <w:szCs w:val="24"/>
              </w:rPr>
              <m:t>4</m:t>
            </m:r>
          </m:sub>
        </m:sSub>
        <m:r>
          <w:rPr>
            <w:rFonts w:ascii="Cambria Math" w:hAnsi="Times New Roman"/>
            <w:sz w:val="24"/>
            <w:szCs w:val="24"/>
          </w:rPr>
          <m:t>AE</m:t>
        </m:r>
        <m:sSub>
          <m:sSubPr>
            <m:ctrlPr>
              <w:rPr>
                <w:rFonts w:ascii="Cambria Math" w:hAnsi="Times New Roman"/>
                <w:i/>
                <w:sz w:val="24"/>
                <w:szCs w:val="24"/>
                <w:lang w:val="en-GB"/>
              </w:rPr>
            </m:ctrlPr>
          </m:sSubPr>
          <m:e>
            <m:r>
              <w:rPr>
                <w:rFonts w:ascii="Cambria Math" w:hAnsi="Times New Roman"/>
                <w:sz w:val="24"/>
                <w:szCs w:val="24"/>
              </w:rPr>
              <m:t>U</m:t>
            </m:r>
          </m:e>
          <m:sub>
            <m:r>
              <w:rPr>
                <w:rFonts w:ascii="Cambria Math" w:hAnsi="Times New Roman"/>
                <w:sz w:val="24"/>
                <w:szCs w:val="24"/>
              </w:rPr>
              <m:t>t</m:t>
            </m:r>
            <m:r>
              <w:rPr>
                <w:rFonts w:ascii="Cambria Math" w:hAnsi="Times New Roman"/>
                <w:sz w:val="24"/>
                <w:szCs w:val="24"/>
              </w:rPr>
              <m:t>-</m:t>
            </m:r>
            <m:r>
              <w:rPr>
                <w:rFonts w:ascii="Cambria Math" w:hAnsi="Times New Roman"/>
                <w:sz w:val="24"/>
                <w:szCs w:val="24"/>
              </w:rPr>
              <m:t>1</m:t>
            </m:r>
          </m:sub>
        </m:sSub>
        <m:r>
          <w:rPr>
            <w:rFonts w:ascii="Cambria Math" w:hAnsi="Times New Roman"/>
            <w:sz w:val="24"/>
            <w:szCs w:val="24"/>
          </w:rPr>
          <m:t>+</m:t>
        </m:r>
        <m:sSub>
          <m:sSubPr>
            <m:ctrlPr>
              <w:rPr>
                <w:rFonts w:ascii="Cambria Math" w:hAnsi="Times New Roman"/>
                <w:i/>
                <w:sz w:val="24"/>
                <w:szCs w:val="24"/>
                <w:lang w:val="en-GB"/>
              </w:rPr>
            </m:ctrlPr>
          </m:sSubPr>
          <m:e>
            <m:r>
              <w:rPr>
                <w:rFonts w:ascii="Cambria Math" w:hAnsi="Cambria Math"/>
                <w:sz w:val="24"/>
                <w:szCs w:val="24"/>
              </w:rPr>
              <m:t>β</m:t>
            </m:r>
          </m:e>
          <m:sub>
            <m:r>
              <w:rPr>
                <w:rFonts w:ascii="Cambria Math" w:hAnsi="Times New Roman"/>
                <w:sz w:val="24"/>
                <w:szCs w:val="24"/>
              </w:rPr>
              <m:t>5</m:t>
            </m:r>
          </m:sub>
        </m:sSub>
        <m:r>
          <w:rPr>
            <w:rFonts w:ascii="Cambria Math" w:hAnsi="Times New Roman"/>
            <w:sz w:val="24"/>
            <w:szCs w:val="24"/>
          </w:rPr>
          <m:t>TO</m:t>
        </m:r>
        <m:sSub>
          <m:sSubPr>
            <m:ctrlPr>
              <w:rPr>
                <w:rFonts w:ascii="Cambria Math" w:hAnsi="Times New Roman"/>
                <w:i/>
                <w:sz w:val="24"/>
                <w:szCs w:val="24"/>
                <w:lang w:val="en-GB"/>
              </w:rPr>
            </m:ctrlPr>
          </m:sSubPr>
          <m:e>
            <m:r>
              <w:rPr>
                <w:rFonts w:ascii="Cambria Math" w:hAnsi="Times New Roman"/>
                <w:sz w:val="24"/>
                <w:szCs w:val="24"/>
              </w:rPr>
              <m:t>U</m:t>
            </m:r>
          </m:e>
          <m:sub>
            <m:r>
              <w:rPr>
                <w:rFonts w:ascii="Cambria Math" w:hAnsi="Times New Roman"/>
                <w:sz w:val="24"/>
                <w:szCs w:val="24"/>
              </w:rPr>
              <m:t>t</m:t>
            </m:r>
            <m:r>
              <w:rPr>
                <w:rFonts w:ascii="Cambria Math" w:hAnsi="Times New Roman"/>
                <w:sz w:val="24"/>
                <w:szCs w:val="24"/>
              </w:rPr>
              <m:t>-</m:t>
            </m:r>
            <m:r>
              <w:rPr>
                <w:rFonts w:ascii="Cambria Math" w:hAnsi="Times New Roman"/>
                <w:sz w:val="24"/>
                <w:szCs w:val="24"/>
              </w:rPr>
              <m:t>1</m:t>
            </m:r>
          </m:sub>
        </m:sSub>
        <m:r>
          <w:rPr>
            <w:rFonts w:ascii="Cambria Math" w:hAnsi="Times New Roman"/>
            <w:sz w:val="24"/>
            <w:szCs w:val="24"/>
          </w:rPr>
          <m:t>+</m:t>
        </m:r>
        <m:sSub>
          <m:sSubPr>
            <m:ctrlPr>
              <w:rPr>
                <w:rFonts w:ascii="Cambria Math" w:hAnsi="Times New Roman"/>
                <w:i/>
                <w:sz w:val="24"/>
                <w:szCs w:val="24"/>
                <w:lang w:val="en-GB"/>
              </w:rPr>
            </m:ctrlPr>
          </m:sSubPr>
          <m:e>
            <m:r>
              <w:rPr>
                <w:rFonts w:ascii="Cambria Math" w:hAnsi="Cambria Math"/>
                <w:sz w:val="24"/>
                <w:szCs w:val="24"/>
              </w:rPr>
              <m:t>ε</m:t>
            </m:r>
          </m:e>
          <m:sub>
            <m:r>
              <w:rPr>
                <w:rFonts w:ascii="Cambria Math" w:hAnsi="Times New Roman"/>
                <w:sz w:val="24"/>
                <w:szCs w:val="24"/>
              </w:rPr>
              <m:t>t</m:t>
            </m:r>
          </m:sub>
        </m:sSub>
      </m:oMath>
      <w:r w:rsidRPr="0024332E">
        <w:rPr>
          <w:rFonts w:ascii="Times New Roman" w:hAnsi="Times New Roman"/>
          <w:sz w:val="24"/>
          <w:szCs w:val="24"/>
        </w:rPr>
        <w:t xml:space="preserve"> </w:t>
      </w:r>
      <w:r w:rsidRPr="00955AFF">
        <w:rPr>
          <w:rFonts w:ascii="Times New Roman" w:hAnsi="Times New Roman"/>
          <w:sz w:val="24"/>
          <w:szCs w:val="24"/>
        </w:rPr>
        <w:t xml:space="preserve">  </w:t>
      </w:r>
      <w:r w:rsidRPr="00667FE6">
        <w:rPr>
          <w:rFonts w:ascii="Times New Roman" w:hAnsi="Times New Roman"/>
          <w:sz w:val="24"/>
          <w:szCs w:val="24"/>
        </w:rPr>
        <w:t>(</w:t>
      </w:r>
      <w:r>
        <w:rPr>
          <w:rFonts w:ascii="Times New Roman" w:hAnsi="Times New Roman"/>
          <w:sz w:val="24"/>
          <w:szCs w:val="24"/>
        </w:rPr>
        <w:t>2</w:t>
      </w:r>
      <w:r w:rsidRPr="00955AFF">
        <w:rPr>
          <w:rFonts w:ascii="Times New Roman" w:hAnsi="Times New Roman"/>
          <w:sz w:val="24"/>
          <w:szCs w:val="24"/>
        </w:rPr>
        <w:t xml:space="preserve">)   </w:t>
      </w:r>
    </w:p>
    <w:p w14:paraId="4EA6F899" w14:textId="62AF8ADB" w:rsidR="00266985" w:rsidRPr="00CD144F" w:rsidRDefault="00266985" w:rsidP="00CD144F">
      <w:pPr>
        <w:spacing w:line="480" w:lineRule="auto"/>
        <w:jc w:val="both"/>
        <w:rPr>
          <w:rFonts w:ascii="Times New Roman" w:hAnsi="Times New Roman" w:cs="Times New Roman"/>
          <w:sz w:val="24"/>
          <w:szCs w:val="24"/>
        </w:rPr>
      </w:pPr>
      <w:r>
        <w:rPr>
          <w:rFonts w:ascii="Times New Roman" w:hAnsi="Times New Roman"/>
          <w:sz w:val="24"/>
          <w:szCs w:val="24"/>
        </w:rPr>
        <w:t xml:space="preserve">Where: </w:t>
      </w:r>
      <w:r>
        <w:rPr>
          <w:rFonts w:ascii="Times New Roman" w:hAnsi="Times New Roman" w:cs="Times New Roman"/>
          <w:sz w:val="24"/>
          <w:szCs w:val="24"/>
        </w:rPr>
        <w:t>α</w:t>
      </w:r>
      <w:r>
        <w:rPr>
          <w:rFonts w:ascii="Times New Roman" w:hAnsi="Times New Roman"/>
          <w:sz w:val="24"/>
          <w:szCs w:val="24"/>
          <w:vertAlign w:val="subscript"/>
        </w:rPr>
        <w:t xml:space="preserve">0 </w:t>
      </w:r>
      <w:r>
        <w:rPr>
          <w:rFonts w:ascii="Times New Roman" w:hAnsi="Times New Roman"/>
          <w:sz w:val="24"/>
          <w:szCs w:val="24"/>
        </w:rPr>
        <w:t>= constant parameter to be estimated</w:t>
      </w:r>
      <w:r w:rsidR="00667FE6">
        <w:rPr>
          <w:rFonts w:ascii="Times New Roman" w:hAnsi="Times New Roman"/>
          <w:sz w:val="24"/>
          <w:szCs w:val="24"/>
          <w:lang w:val="en-GB"/>
        </w:rPr>
        <w:t xml:space="preserve">, </w:t>
      </w:r>
      <w:r>
        <w:rPr>
          <w:rFonts w:ascii="Times New Roman" w:hAnsi="Times New Roman" w:cs="Times New Roman"/>
          <w:sz w:val="24"/>
          <w:szCs w:val="24"/>
        </w:rPr>
        <w:t>α</w:t>
      </w:r>
      <w:r>
        <w:rPr>
          <w:rFonts w:ascii="Times New Roman" w:hAnsi="Times New Roman"/>
          <w:sz w:val="24"/>
          <w:szCs w:val="24"/>
          <w:vertAlign w:val="subscript"/>
        </w:rPr>
        <w:t xml:space="preserve">1 – </w:t>
      </w:r>
      <w:r>
        <w:rPr>
          <w:rFonts w:ascii="Times New Roman" w:hAnsi="Times New Roman" w:cs="Times New Roman"/>
          <w:sz w:val="24"/>
          <w:szCs w:val="24"/>
        </w:rPr>
        <w:t>α</w:t>
      </w:r>
      <w:r>
        <w:rPr>
          <w:rFonts w:ascii="Times New Roman" w:hAnsi="Times New Roman"/>
          <w:sz w:val="24"/>
          <w:szCs w:val="24"/>
          <w:vertAlign w:val="subscript"/>
        </w:rPr>
        <w:t xml:space="preserve">5 </w:t>
      </w:r>
      <w:r>
        <w:rPr>
          <w:rFonts w:ascii="Times New Roman" w:hAnsi="Times New Roman"/>
          <w:sz w:val="24"/>
          <w:szCs w:val="24"/>
        </w:rPr>
        <w:t>= short-run parameters to be estimated</w:t>
      </w:r>
      <w:r w:rsidR="00667FE6">
        <w:rPr>
          <w:rFonts w:ascii="Times New Roman" w:hAnsi="Times New Roman"/>
          <w:sz w:val="24"/>
          <w:szCs w:val="24"/>
          <w:lang w:val="en-GB"/>
        </w:rPr>
        <w:t xml:space="preserve">, </w:t>
      </w:r>
      <w:r>
        <w:rPr>
          <w:rFonts w:ascii="Times New Roman" w:eastAsiaTheme="minorEastAsia"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β</m:t>
            </m:r>
          </m:e>
          <m:sub>
            <m:r>
              <w:rPr>
                <w:rFonts w:ascii="Cambria Math" w:hAnsi="Times New Roman"/>
                <w:sz w:val="24"/>
                <w:szCs w:val="24"/>
              </w:rPr>
              <m:t>1</m:t>
            </m:r>
          </m:sub>
        </m:sSub>
      </m:oMath>
      <w:r>
        <w:rPr>
          <w:rFonts w:ascii="Times New Roman" w:hAnsi="Times New Roman"/>
          <w:sz w:val="24"/>
          <w:szCs w:val="24"/>
        </w:rPr>
        <w:t xml:space="preserve"> - </w:t>
      </w:r>
      <m:oMath>
        <m:sSub>
          <m:sSubPr>
            <m:ctrlPr>
              <w:rPr>
                <w:rFonts w:ascii="Cambria Math" w:hAnsi="Times New Roman"/>
                <w:i/>
                <w:sz w:val="24"/>
                <w:szCs w:val="24"/>
              </w:rPr>
            </m:ctrlPr>
          </m:sSubPr>
          <m:e>
            <m:r>
              <w:rPr>
                <w:rFonts w:ascii="Cambria Math" w:hAnsi="Cambria Math"/>
                <w:sz w:val="24"/>
                <w:szCs w:val="24"/>
              </w:rPr>
              <m:t>β</m:t>
            </m:r>
          </m:e>
          <m:sub>
            <m:r>
              <w:rPr>
                <w:rFonts w:ascii="Cambria Math" w:hAnsi="Times New Roman"/>
                <w:sz w:val="24"/>
                <w:szCs w:val="24"/>
              </w:rPr>
              <m:t>5</m:t>
            </m:r>
          </m:sub>
        </m:sSub>
      </m:oMath>
      <w:r>
        <w:rPr>
          <w:rFonts w:ascii="Times New Roman" w:eastAsiaTheme="minorEastAsia" w:hAnsi="Times New Roman"/>
          <w:sz w:val="24"/>
          <w:szCs w:val="24"/>
        </w:rPr>
        <w:t xml:space="preserve"> = long-run multipliers</w:t>
      </w:r>
      <w:r w:rsidR="00667FE6">
        <w:rPr>
          <w:rFonts w:ascii="Times New Roman" w:eastAsiaTheme="minorEastAsia" w:hAnsi="Times New Roman"/>
          <w:sz w:val="24"/>
          <w:szCs w:val="24"/>
          <w:lang w:val="en-GB"/>
        </w:rPr>
        <w:t xml:space="preserve">, </w:t>
      </w:r>
      <w:r w:rsidRPr="009B490B">
        <w:rPr>
          <w:rFonts w:ascii="Times New Roman" w:hAnsi="Times New Roman" w:cs="Times New Roman"/>
          <w:sz w:val="24"/>
          <w:szCs w:val="24"/>
        </w:rPr>
        <w:t xml:space="preserve">p = optimal lag </w:t>
      </w:r>
      <w:r>
        <w:rPr>
          <w:rFonts w:ascii="Times New Roman" w:hAnsi="Times New Roman" w:cs="Times New Roman"/>
          <w:sz w:val="24"/>
          <w:szCs w:val="24"/>
        </w:rPr>
        <w:t>operator for each of</w:t>
      </w:r>
      <w:r w:rsidRPr="009B490B">
        <w:rPr>
          <w:rFonts w:ascii="Times New Roman" w:hAnsi="Times New Roman" w:cs="Times New Roman"/>
          <w:sz w:val="24"/>
          <w:szCs w:val="24"/>
        </w:rPr>
        <w:t xml:space="preserve"> the dependent variable</w:t>
      </w:r>
      <w:r>
        <w:rPr>
          <w:rFonts w:ascii="Times New Roman" w:hAnsi="Times New Roman" w:cs="Times New Roman"/>
          <w:sz w:val="24"/>
          <w:szCs w:val="24"/>
        </w:rPr>
        <w:t>s</w:t>
      </w:r>
      <w:r w:rsidR="00667FE6">
        <w:rPr>
          <w:rFonts w:ascii="Times New Roman" w:hAnsi="Times New Roman" w:cs="Times New Roman"/>
          <w:sz w:val="24"/>
          <w:szCs w:val="24"/>
          <w:lang w:val="en-GB"/>
        </w:rPr>
        <w:t xml:space="preserve">, </w:t>
      </w:r>
      <w:r w:rsidRPr="009B490B">
        <w:rPr>
          <w:rFonts w:ascii="Times New Roman" w:hAnsi="Times New Roman" w:cs="Times New Roman"/>
          <w:sz w:val="24"/>
          <w:szCs w:val="24"/>
        </w:rPr>
        <w:tab/>
        <w:t xml:space="preserve">q = optimal lag </w:t>
      </w:r>
      <w:r>
        <w:rPr>
          <w:rFonts w:ascii="Times New Roman" w:hAnsi="Times New Roman" w:cs="Times New Roman"/>
          <w:sz w:val="24"/>
          <w:szCs w:val="24"/>
        </w:rPr>
        <w:t xml:space="preserve">operator </w:t>
      </w:r>
      <w:r w:rsidRPr="009B490B">
        <w:rPr>
          <w:rFonts w:ascii="Times New Roman" w:hAnsi="Times New Roman" w:cs="Times New Roman"/>
          <w:sz w:val="24"/>
          <w:szCs w:val="24"/>
        </w:rPr>
        <w:t xml:space="preserve">of the </w:t>
      </w:r>
      <w:r>
        <w:rPr>
          <w:rFonts w:ascii="Times New Roman" w:hAnsi="Times New Roman" w:cs="Times New Roman"/>
          <w:sz w:val="24"/>
          <w:szCs w:val="24"/>
        </w:rPr>
        <w:t>independent variables</w:t>
      </w:r>
      <w:r w:rsidR="00667FE6">
        <w:rPr>
          <w:rFonts w:ascii="Times New Roman" w:hAnsi="Times New Roman" w:cs="Times New Roman"/>
          <w:sz w:val="24"/>
          <w:szCs w:val="24"/>
          <w:lang w:val="en-GB"/>
        </w:rPr>
        <w:t xml:space="preserve">, </w:t>
      </w:r>
      <w:r w:rsidRPr="009B490B">
        <w:rPr>
          <w:rFonts w:ascii="Times New Roman" w:hAnsi="Times New Roman" w:cs="Times New Roman"/>
          <w:sz w:val="24"/>
          <w:szCs w:val="24"/>
        </w:rPr>
        <w:t xml:space="preserve"> </w:t>
      </w:r>
      <w:r w:rsidRPr="009B490B">
        <w:rPr>
          <w:rFonts w:ascii="Times New Roman" w:hAnsi="Times New Roman" w:cs="Times New Roman"/>
          <w:position w:val="-4"/>
          <w:sz w:val="24"/>
          <w:szCs w:val="24"/>
        </w:rPr>
        <w:object w:dxaOrig="220" w:dyaOrig="260" w14:anchorId="0881DC29">
          <v:shape id="_x0000_i1027" type="#_x0000_t75" style="width:14.5pt;height:14.5pt" o:ole="">
            <v:imagedata r:id="rId7" o:title=""/>
          </v:shape>
          <o:OLEObject Type="Embed" ProgID="Equation.3" ShapeID="_x0000_i1027" DrawAspect="Content" ObjectID="_1801930453" r:id="rId11"/>
        </w:object>
      </w:r>
      <w:r w:rsidRPr="009B490B">
        <w:rPr>
          <w:rFonts w:ascii="Times New Roman" w:hAnsi="Times New Roman" w:cs="Times New Roman"/>
          <w:sz w:val="24"/>
          <w:szCs w:val="24"/>
        </w:rPr>
        <w:t>= first difference operator</w:t>
      </w:r>
      <w:r w:rsidR="00CD144F">
        <w:rPr>
          <w:rFonts w:ascii="Times New Roman" w:hAnsi="Times New Roman" w:cs="Times New Roman"/>
          <w:sz w:val="24"/>
          <w:szCs w:val="24"/>
          <w:lang w:val="en-GB"/>
        </w:rPr>
        <w:t xml:space="preserve">, </w:t>
      </w:r>
      <m:oMath>
        <m:sSub>
          <m:sSubPr>
            <m:ctrlPr>
              <w:rPr>
                <w:rFonts w:ascii="Cambria Math" w:hAnsi="Times New Roman"/>
                <w:i/>
                <w:sz w:val="24"/>
                <w:szCs w:val="24"/>
                <w:lang w:val="en-GB"/>
              </w:rPr>
            </m:ctrlPr>
          </m:sSubPr>
          <m:e>
            <m:r>
              <w:rPr>
                <w:rFonts w:ascii="Cambria Math" w:hAnsi="Cambria Math"/>
                <w:sz w:val="24"/>
                <w:szCs w:val="24"/>
                <w:lang w:val="en-GB"/>
              </w:rPr>
              <m:t>ε</m:t>
            </m:r>
          </m:e>
          <m:sub>
            <m:r>
              <w:rPr>
                <w:rFonts w:ascii="Cambria Math" w:hAnsi="Times New Roman"/>
                <w:sz w:val="24"/>
                <w:szCs w:val="24"/>
                <w:lang w:val="en-GB"/>
              </w:rPr>
              <m:t>t</m:t>
            </m:r>
          </m:sub>
        </m:sSub>
      </m:oMath>
      <w:r>
        <w:rPr>
          <w:rFonts w:ascii="Times New Roman" w:eastAsiaTheme="minorEastAsia" w:hAnsi="Times New Roman" w:cs="Times New Roman"/>
          <w:sz w:val="24"/>
          <w:szCs w:val="24"/>
          <w:lang w:val="en-GB"/>
        </w:rPr>
        <w:t xml:space="preserve"> = error terms</w:t>
      </w:r>
    </w:p>
    <w:bookmarkEnd w:id="0"/>
    <w:p w14:paraId="0732FEC1" w14:textId="3B548F57" w:rsidR="00B97A35" w:rsidRDefault="00266985" w:rsidP="008E21AD">
      <w:pPr>
        <w:spacing w:before="240"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rPr>
        <w:t>3.2</w:t>
      </w:r>
      <w:r w:rsidR="00CD144F">
        <w:rPr>
          <w:rFonts w:ascii="Times New Roman" w:hAnsi="Times New Roman" w:cs="Times New Roman"/>
          <w:b/>
          <w:sz w:val="24"/>
          <w:szCs w:val="24"/>
          <w:lang w:val="en-GB"/>
        </w:rPr>
        <w:t xml:space="preserve"> Data and </w:t>
      </w:r>
      <w:r>
        <w:rPr>
          <w:rFonts w:ascii="Times New Roman" w:hAnsi="Times New Roman" w:cs="Times New Roman"/>
          <w:b/>
          <w:sz w:val="24"/>
          <w:szCs w:val="24"/>
        </w:rPr>
        <w:t>Variable Descriptio</w:t>
      </w:r>
      <w:r w:rsidR="00B97A35">
        <w:rPr>
          <w:rFonts w:ascii="Times New Roman" w:hAnsi="Times New Roman" w:cs="Times New Roman"/>
          <w:b/>
          <w:sz w:val="24"/>
          <w:szCs w:val="24"/>
          <w:lang w:val="en-GB"/>
        </w:rPr>
        <w:t>n</w:t>
      </w:r>
    </w:p>
    <w:p w14:paraId="0BC7CACD" w14:textId="44717BEE" w:rsidR="00266985" w:rsidRDefault="00B97A35" w:rsidP="008E21AD">
      <w:pPr>
        <w:spacing w:before="240" w:after="0" w:line="360" w:lineRule="auto"/>
        <w:jc w:val="both"/>
        <w:rPr>
          <w:rFonts w:ascii="Times New Roman" w:hAnsi="Times New Roman" w:cs="Times New Roman"/>
          <w:bCs/>
          <w:sz w:val="24"/>
          <w:szCs w:val="24"/>
        </w:rPr>
      </w:pPr>
      <w:r w:rsidRPr="008E21AD">
        <w:rPr>
          <w:rFonts w:ascii="Times New Roman" w:hAnsi="Times New Roman" w:cs="Times New Roman"/>
          <w:bCs/>
          <w:sz w:val="24"/>
          <w:szCs w:val="24"/>
          <w:lang w:val="en-GB"/>
        </w:rPr>
        <w:t>Service sector gr</w:t>
      </w:r>
      <w:r w:rsidR="0047150A" w:rsidRPr="008E21AD">
        <w:rPr>
          <w:rFonts w:ascii="Times New Roman" w:hAnsi="Times New Roman" w:cs="Times New Roman"/>
          <w:bCs/>
          <w:sz w:val="24"/>
          <w:szCs w:val="24"/>
          <w:lang w:val="en-GB"/>
        </w:rPr>
        <w:t>owth defines the</w:t>
      </w:r>
      <w:r w:rsidR="0047150A">
        <w:rPr>
          <w:rFonts w:ascii="Times New Roman" w:hAnsi="Times New Roman" w:cs="Times New Roman"/>
          <w:b/>
          <w:sz w:val="24"/>
          <w:szCs w:val="24"/>
          <w:lang w:val="en-GB"/>
        </w:rPr>
        <w:t xml:space="preserve"> </w:t>
      </w:r>
      <w:r w:rsidR="0047150A" w:rsidRPr="00E24528">
        <w:rPr>
          <w:rFonts w:ascii="Times New Roman" w:hAnsi="Times New Roman" w:cs="Times New Roman"/>
          <w:sz w:val="24"/>
          <w:szCs w:val="24"/>
        </w:rPr>
        <w:t xml:space="preserve">value added in wholesale and retail trade, transport, government, financial, telecommunication, education and health care services. It is arrived at after adding up all outputs and subtracting intermediate inputs. It </w:t>
      </w:r>
      <w:r w:rsidR="0047150A">
        <w:rPr>
          <w:rFonts w:ascii="Times New Roman" w:hAnsi="Times New Roman" w:cs="Times New Roman"/>
          <w:sz w:val="24"/>
          <w:szCs w:val="24"/>
        </w:rPr>
        <w:t xml:space="preserve">was </w:t>
      </w:r>
      <w:r w:rsidR="0047150A" w:rsidRPr="00E24528">
        <w:rPr>
          <w:rFonts w:ascii="Times New Roman" w:hAnsi="Times New Roman" w:cs="Times New Roman"/>
          <w:sz w:val="24"/>
          <w:szCs w:val="24"/>
        </w:rPr>
        <w:t>measured as a percentage of GDP.</w:t>
      </w:r>
      <w:r w:rsidR="0047150A">
        <w:rPr>
          <w:rFonts w:ascii="Times New Roman" w:hAnsi="Times New Roman" w:cs="Times New Roman"/>
          <w:sz w:val="24"/>
          <w:szCs w:val="24"/>
          <w:lang w:val="en-GB"/>
        </w:rPr>
        <w:t xml:space="preserve"> The energy use is measured by f</w:t>
      </w:r>
      <w:r w:rsidR="0047150A" w:rsidRPr="00984519">
        <w:rPr>
          <w:rFonts w:ascii="Times New Roman" w:hAnsi="Times New Roman" w:cs="Times New Roman"/>
          <w:sz w:val="24"/>
          <w:szCs w:val="24"/>
        </w:rPr>
        <w:t>ossil fuel energy use</w:t>
      </w:r>
      <w:r w:rsidR="0047150A">
        <w:rPr>
          <w:rFonts w:ascii="Times New Roman" w:hAnsi="Times New Roman" w:cs="Times New Roman"/>
          <w:sz w:val="24"/>
          <w:szCs w:val="24"/>
          <w:lang w:val="en-GB"/>
        </w:rPr>
        <w:t>, r</w:t>
      </w:r>
      <w:r w:rsidR="0047150A" w:rsidRPr="00984519">
        <w:rPr>
          <w:rFonts w:ascii="Times New Roman" w:hAnsi="Times New Roman" w:cs="Times New Roman"/>
          <w:sz w:val="24"/>
          <w:szCs w:val="24"/>
        </w:rPr>
        <w:t>enewable energy use</w:t>
      </w:r>
      <w:r w:rsidR="00F33F3F">
        <w:rPr>
          <w:rFonts w:ascii="Times New Roman" w:hAnsi="Times New Roman" w:cs="Times New Roman"/>
          <w:sz w:val="24"/>
          <w:szCs w:val="24"/>
          <w:lang w:val="en-GB"/>
        </w:rPr>
        <w:t>, a</w:t>
      </w:r>
      <w:r w:rsidR="00F33F3F" w:rsidRPr="00984519">
        <w:rPr>
          <w:rFonts w:ascii="Times New Roman" w:hAnsi="Times New Roman" w:cs="Times New Roman"/>
          <w:sz w:val="24"/>
          <w:szCs w:val="24"/>
        </w:rPr>
        <w:t>lternative energy use</w:t>
      </w:r>
      <w:r w:rsidR="00F33F3F">
        <w:rPr>
          <w:rFonts w:ascii="Times New Roman" w:hAnsi="Times New Roman" w:cs="Times New Roman"/>
          <w:sz w:val="24"/>
          <w:szCs w:val="24"/>
          <w:lang w:val="en-GB"/>
        </w:rPr>
        <w:t xml:space="preserve"> and total </w:t>
      </w:r>
      <w:r w:rsidR="00F33F3F" w:rsidRPr="00984519">
        <w:rPr>
          <w:rFonts w:ascii="Times New Roman" w:eastAsia="Calibri" w:hAnsi="Times New Roman" w:cs="Times New Roman"/>
          <w:sz w:val="24"/>
          <w:szCs w:val="24"/>
        </w:rPr>
        <w:t>electricity use</w:t>
      </w:r>
      <w:r w:rsidR="0042603D">
        <w:rPr>
          <w:rFonts w:ascii="Times New Roman" w:eastAsia="Calibri" w:hAnsi="Times New Roman" w:cs="Times New Roman"/>
          <w:sz w:val="24"/>
          <w:szCs w:val="24"/>
          <w:lang w:val="en-GB"/>
        </w:rPr>
        <w:t xml:space="preserve">. </w:t>
      </w:r>
      <w:r w:rsidR="00266985">
        <w:rPr>
          <w:rFonts w:ascii="Times New Roman" w:hAnsi="Times New Roman" w:cs="Times New Roman"/>
          <w:sz w:val="24"/>
          <w:szCs w:val="24"/>
        </w:rPr>
        <w:t xml:space="preserve">Annual time series data was utilized in this study. Specifically, the data on service sector value added were obtained from the World Bank and Central Bank of Nigeria Statistical Bulletin. Similarly, data on the energy use indicators were obtained from the World Bank, </w:t>
      </w:r>
      <w:r w:rsidR="00266985" w:rsidRPr="00F23A3A">
        <w:rPr>
          <w:rFonts w:ascii="Times New Roman" w:hAnsi="Times New Roman" w:cs="Times New Roman"/>
          <w:bCs/>
          <w:sz w:val="24"/>
          <w:szCs w:val="24"/>
        </w:rPr>
        <w:t>International Energy Agency (IEA) an</w:t>
      </w:r>
      <w:r w:rsidR="00266985">
        <w:rPr>
          <w:rFonts w:ascii="Times New Roman" w:hAnsi="Times New Roman" w:cs="Times New Roman"/>
          <w:bCs/>
          <w:sz w:val="24"/>
          <w:szCs w:val="24"/>
        </w:rPr>
        <w:t xml:space="preserve">d Organisation of Economic Cooperation and Development (OECD) National Data Accounts. The datasets spanned from 1990 to 2023. </w:t>
      </w:r>
    </w:p>
    <w:p w14:paraId="22F862BE" w14:textId="222D80DE" w:rsidR="00CB41EB" w:rsidRDefault="00BB67C3" w:rsidP="008E21AD">
      <w:pPr>
        <w:spacing w:before="240" w:after="0" w:line="360" w:lineRule="auto"/>
        <w:jc w:val="both"/>
        <w:rPr>
          <w:rFonts w:ascii="Times New Roman" w:hAnsi="Times New Roman" w:cs="Times New Roman"/>
          <w:b/>
          <w:sz w:val="24"/>
          <w:szCs w:val="24"/>
          <w:lang w:val="en-GB"/>
        </w:rPr>
      </w:pPr>
      <w:r w:rsidRPr="00BB67C3">
        <w:rPr>
          <w:rFonts w:ascii="Times New Roman" w:hAnsi="Times New Roman" w:cs="Times New Roman"/>
          <w:b/>
          <w:sz w:val="24"/>
          <w:szCs w:val="24"/>
          <w:lang w:val="en-GB"/>
        </w:rPr>
        <w:t>3.3 Data Analysis Techniques</w:t>
      </w:r>
    </w:p>
    <w:p w14:paraId="4A94111B" w14:textId="287A8E70" w:rsidR="00685921" w:rsidRDefault="003D3644" w:rsidP="00282DE7">
      <w:pPr>
        <w:spacing w:line="36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rPr>
        <w:lastRenderedPageBreak/>
        <w:t>T</w:t>
      </w:r>
      <w:r w:rsidRPr="00D911AE">
        <w:rPr>
          <w:rFonts w:ascii="Times New Roman" w:eastAsia="Times New Roman" w:hAnsi="Times New Roman" w:cs="Times New Roman"/>
          <w:sz w:val="24"/>
          <w:szCs w:val="24"/>
        </w:rPr>
        <w:t xml:space="preserve">he least squares approach </w:t>
      </w:r>
      <w:r>
        <w:rPr>
          <w:rFonts w:ascii="Times New Roman" w:eastAsia="Times New Roman" w:hAnsi="Times New Roman" w:cs="Times New Roman"/>
          <w:sz w:val="24"/>
          <w:szCs w:val="24"/>
        </w:rPr>
        <w:t>was</w:t>
      </w:r>
      <w:r w:rsidRPr="00D911AE">
        <w:rPr>
          <w:rFonts w:ascii="Times New Roman" w:eastAsia="Times New Roman" w:hAnsi="Times New Roman" w:cs="Times New Roman"/>
          <w:sz w:val="24"/>
          <w:szCs w:val="24"/>
        </w:rPr>
        <w:t xml:space="preserve"> used in this study to estimate the ARDL models.</w:t>
      </w:r>
      <w:r>
        <w:rPr>
          <w:rFonts w:ascii="Times New Roman" w:eastAsia="Times New Roman" w:hAnsi="Times New Roman" w:cs="Times New Roman"/>
          <w:sz w:val="24"/>
          <w:szCs w:val="24"/>
        </w:rPr>
        <w:t xml:space="preserve"> Notably, the ARDL is distinct from t</w:t>
      </w:r>
      <w:r w:rsidRPr="00E05C8A">
        <w:rPr>
          <w:rFonts w:ascii="Times New Roman" w:hAnsi="Times New Roman" w:cs="Times New Roman"/>
          <w:sz w:val="24"/>
          <w:szCs w:val="24"/>
        </w:rPr>
        <w:t xml:space="preserve">he </w:t>
      </w:r>
      <w:r>
        <w:rPr>
          <w:rFonts w:ascii="Times New Roman" w:hAnsi="Times New Roman" w:cs="Times New Roman"/>
          <w:sz w:val="24"/>
          <w:szCs w:val="24"/>
        </w:rPr>
        <w:t>error correction mechanism (</w:t>
      </w:r>
      <w:r w:rsidRPr="00E05C8A">
        <w:rPr>
          <w:rFonts w:ascii="Times New Roman" w:hAnsi="Times New Roman" w:cs="Times New Roman"/>
          <w:sz w:val="24"/>
          <w:szCs w:val="24"/>
        </w:rPr>
        <w:t>ECM</w:t>
      </w:r>
      <w:r>
        <w:rPr>
          <w:rFonts w:ascii="Times New Roman" w:hAnsi="Times New Roman" w:cs="Times New Roman"/>
          <w:sz w:val="24"/>
          <w:szCs w:val="24"/>
        </w:rPr>
        <w:t>) which is based on the proposition of</w:t>
      </w:r>
      <w:r w:rsidRPr="00E05C8A">
        <w:rPr>
          <w:rFonts w:ascii="Times New Roman" w:hAnsi="Times New Roman" w:cs="Times New Roman"/>
          <w:sz w:val="24"/>
          <w:szCs w:val="24"/>
        </w:rPr>
        <w:t xml:space="preserve"> Enge</w:t>
      </w:r>
      <w:r>
        <w:rPr>
          <w:rFonts w:ascii="Times New Roman" w:hAnsi="Times New Roman" w:cs="Times New Roman"/>
          <w:sz w:val="24"/>
          <w:szCs w:val="24"/>
        </w:rPr>
        <w:t>l</w:t>
      </w:r>
      <w:r w:rsidRPr="00E05C8A">
        <w:rPr>
          <w:rFonts w:ascii="Times New Roman" w:hAnsi="Times New Roman" w:cs="Times New Roman"/>
          <w:sz w:val="24"/>
          <w:szCs w:val="24"/>
        </w:rPr>
        <w:t xml:space="preserve"> and G</w:t>
      </w:r>
      <w:r>
        <w:rPr>
          <w:rFonts w:ascii="Times New Roman" w:hAnsi="Times New Roman" w:cs="Times New Roman"/>
          <w:sz w:val="24"/>
          <w:szCs w:val="24"/>
        </w:rPr>
        <w:t xml:space="preserve">ranger </w:t>
      </w:r>
      <w:r w:rsidRPr="00E05C8A">
        <w:rPr>
          <w:rFonts w:ascii="Times New Roman" w:hAnsi="Times New Roman" w:cs="Times New Roman"/>
          <w:sz w:val="24"/>
          <w:szCs w:val="24"/>
        </w:rPr>
        <w:t>(198</w:t>
      </w:r>
      <w:r>
        <w:rPr>
          <w:rFonts w:ascii="Times New Roman" w:hAnsi="Times New Roman" w:cs="Times New Roman"/>
          <w:sz w:val="24"/>
          <w:szCs w:val="24"/>
        </w:rPr>
        <w:t>7</w:t>
      </w:r>
      <w:r w:rsidRPr="00E05C8A">
        <w:rPr>
          <w:rFonts w:ascii="Times New Roman" w:hAnsi="Times New Roman" w:cs="Times New Roman"/>
          <w:sz w:val="24"/>
          <w:szCs w:val="24"/>
        </w:rPr>
        <w:t xml:space="preserve">). </w:t>
      </w:r>
      <w:r w:rsidRPr="00955AFF">
        <w:rPr>
          <w:rFonts w:ascii="Times New Roman" w:hAnsi="Times New Roman"/>
          <w:sz w:val="24"/>
          <w:szCs w:val="24"/>
          <w:lang w:val="en-GB"/>
        </w:rPr>
        <w:t xml:space="preserve">Hassler </w:t>
      </w:r>
      <w:r>
        <w:rPr>
          <w:rFonts w:ascii="Times New Roman" w:hAnsi="Times New Roman"/>
          <w:sz w:val="24"/>
          <w:szCs w:val="24"/>
          <w:lang w:val="en-GB"/>
        </w:rPr>
        <w:t>and</w:t>
      </w:r>
      <w:r w:rsidRPr="00955AFF">
        <w:rPr>
          <w:rFonts w:ascii="Times New Roman" w:hAnsi="Times New Roman"/>
          <w:sz w:val="24"/>
          <w:szCs w:val="24"/>
          <w:lang w:val="en-GB"/>
        </w:rPr>
        <w:t xml:space="preserve"> Wolters (2006) </w:t>
      </w:r>
      <w:r>
        <w:rPr>
          <w:rFonts w:ascii="Times New Roman" w:hAnsi="Times New Roman"/>
          <w:sz w:val="24"/>
          <w:szCs w:val="24"/>
          <w:lang w:val="en-GB"/>
        </w:rPr>
        <w:t>contend</w:t>
      </w:r>
      <w:r w:rsidRPr="00955AFF">
        <w:rPr>
          <w:rFonts w:ascii="Times New Roman" w:hAnsi="Times New Roman"/>
          <w:sz w:val="24"/>
          <w:szCs w:val="24"/>
          <w:lang w:val="en-GB"/>
        </w:rPr>
        <w:t xml:space="preserve"> that the popularity of the ARDL in econometrics literature is as a result of the fact that </w:t>
      </w:r>
      <w:r>
        <w:rPr>
          <w:rFonts w:ascii="Times New Roman" w:hAnsi="Times New Roman"/>
          <w:sz w:val="24"/>
          <w:szCs w:val="24"/>
          <w:lang w:val="en-GB"/>
        </w:rPr>
        <w:t xml:space="preserve">the </w:t>
      </w:r>
      <w:r w:rsidRPr="00955AFF">
        <w:rPr>
          <w:rFonts w:ascii="Times New Roman" w:hAnsi="Times New Roman"/>
          <w:sz w:val="24"/>
          <w:szCs w:val="24"/>
          <w:lang w:val="en-GB"/>
        </w:rPr>
        <w:t>cointegration of nonstationary variables is equivalent to an error correction process</w:t>
      </w:r>
      <w:r>
        <w:rPr>
          <w:rFonts w:ascii="Times New Roman" w:hAnsi="Times New Roman"/>
          <w:sz w:val="24"/>
          <w:szCs w:val="24"/>
          <w:lang w:val="en-GB"/>
        </w:rPr>
        <w:t xml:space="preserve">. </w:t>
      </w:r>
      <w:r w:rsidRPr="00D911AE">
        <w:rPr>
          <w:rFonts w:ascii="Times New Roman" w:eastAsia="Times New Roman" w:hAnsi="Times New Roman" w:cs="Times New Roman"/>
          <w:sz w:val="24"/>
          <w:szCs w:val="24"/>
        </w:rPr>
        <w:t xml:space="preserve">Furthermore, the variables must display a structure of I(0), I(1), or a combination of I(0) and I(1) in order for the ARDL to be </w:t>
      </w:r>
      <w:r>
        <w:rPr>
          <w:rFonts w:ascii="Times New Roman" w:eastAsia="Times New Roman" w:hAnsi="Times New Roman" w:cs="Times New Roman"/>
          <w:sz w:val="24"/>
          <w:szCs w:val="24"/>
        </w:rPr>
        <w:t>estimated</w:t>
      </w:r>
      <w:r w:rsidRPr="00D911AE">
        <w:rPr>
          <w:rFonts w:ascii="Times New Roman" w:eastAsia="Times New Roman" w:hAnsi="Times New Roman" w:cs="Times New Roman"/>
          <w:sz w:val="24"/>
          <w:szCs w:val="24"/>
        </w:rPr>
        <w:t xml:space="preserve">. As a result, determining the order of integration of each series using a unit root test is one of the ARDL model's antecedents. The purpose of this is to make sure that none of the series are I(2) </w:t>
      </w:r>
      <w:r>
        <w:rPr>
          <w:rFonts w:ascii="Times New Roman" w:eastAsia="Times New Roman" w:hAnsi="Times New Roman" w:cs="Times New Roman"/>
          <w:sz w:val="24"/>
          <w:szCs w:val="24"/>
        </w:rPr>
        <w:t>to</w:t>
      </w:r>
      <w:r w:rsidRPr="00D911AE">
        <w:rPr>
          <w:rFonts w:ascii="Times New Roman" w:eastAsia="Times New Roman" w:hAnsi="Times New Roman" w:cs="Times New Roman"/>
          <w:sz w:val="24"/>
          <w:szCs w:val="24"/>
        </w:rPr>
        <w:t xml:space="preserve"> prevent the procedure from being void.</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The </w:t>
      </w:r>
      <w:r w:rsidRPr="00E05C8A">
        <w:rPr>
          <w:rFonts w:ascii="Times New Roman" w:hAnsi="Times New Roman" w:cs="Times New Roman"/>
          <w:sz w:val="24"/>
          <w:szCs w:val="24"/>
        </w:rPr>
        <w:t>data</w:t>
      </w:r>
      <w:r>
        <w:rPr>
          <w:rFonts w:ascii="Times New Roman" w:hAnsi="Times New Roman" w:cs="Times New Roman"/>
          <w:sz w:val="24"/>
          <w:szCs w:val="24"/>
        </w:rPr>
        <w:t xml:space="preserve"> analysis techniques also include descriptive statistics</w:t>
      </w:r>
      <w:r w:rsidRPr="00E05C8A">
        <w:rPr>
          <w:rFonts w:ascii="Times New Roman" w:hAnsi="Times New Roman" w:cs="Times New Roman"/>
          <w:sz w:val="24"/>
          <w:szCs w:val="24"/>
        </w:rPr>
        <w:t xml:space="preserve"> </w:t>
      </w:r>
      <w:r>
        <w:rPr>
          <w:rFonts w:ascii="Times New Roman" w:hAnsi="Times New Roman" w:cs="Times New Roman"/>
          <w:sz w:val="24"/>
          <w:szCs w:val="24"/>
        </w:rPr>
        <w:t>which covered the mean distribution, standard deviations and normal distribution of each of the variables over the study period.</w:t>
      </w:r>
      <w:r w:rsidR="00E82BF2">
        <w:rPr>
          <w:rFonts w:ascii="Times New Roman" w:hAnsi="Times New Roman" w:cs="Times New Roman"/>
          <w:sz w:val="24"/>
          <w:szCs w:val="24"/>
          <w:lang w:val="en-GB"/>
        </w:rPr>
        <w:t xml:space="preserve"> T</w:t>
      </w:r>
      <w:r w:rsidR="00266985" w:rsidRPr="009D7DA3">
        <w:rPr>
          <w:rFonts w:ascii="Times New Roman" w:hAnsi="Times New Roman" w:cs="Times New Roman"/>
          <w:sz w:val="24"/>
          <w:szCs w:val="24"/>
          <w:lang w:val="en-GB"/>
        </w:rPr>
        <w:t xml:space="preserve">he augmented Dickey-Fuller (ADF) test proposed by Dickey and Fuller (1981) </w:t>
      </w:r>
      <w:r w:rsidR="00266985">
        <w:rPr>
          <w:rFonts w:ascii="Times New Roman" w:hAnsi="Times New Roman" w:cs="Times New Roman"/>
          <w:sz w:val="24"/>
          <w:szCs w:val="24"/>
          <w:lang w:val="en-GB"/>
        </w:rPr>
        <w:t>was</w:t>
      </w:r>
      <w:r w:rsidR="00266985" w:rsidRPr="009D7DA3">
        <w:rPr>
          <w:rFonts w:ascii="Times New Roman" w:hAnsi="Times New Roman" w:cs="Times New Roman"/>
          <w:sz w:val="24"/>
          <w:szCs w:val="24"/>
          <w:lang w:val="en-GB"/>
        </w:rPr>
        <w:t xml:space="preserve"> </w:t>
      </w:r>
      <w:r w:rsidR="00E82BF2">
        <w:rPr>
          <w:rFonts w:ascii="Times New Roman" w:hAnsi="Times New Roman" w:cs="Times New Roman"/>
          <w:sz w:val="24"/>
          <w:szCs w:val="24"/>
          <w:lang w:val="en-GB"/>
        </w:rPr>
        <w:t xml:space="preserve">also </w:t>
      </w:r>
      <w:r w:rsidR="00266985" w:rsidRPr="009D7DA3">
        <w:rPr>
          <w:rFonts w:ascii="Times New Roman" w:hAnsi="Times New Roman" w:cs="Times New Roman"/>
          <w:sz w:val="24"/>
          <w:szCs w:val="24"/>
          <w:lang w:val="en-GB"/>
        </w:rPr>
        <w:t>used for the unit root test</w:t>
      </w:r>
      <w:r w:rsidR="00282DE7">
        <w:rPr>
          <w:rFonts w:ascii="Times New Roman" w:hAnsi="Times New Roman" w:cs="Times New Roman"/>
          <w:sz w:val="24"/>
          <w:szCs w:val="24"/>
          <w:lang w:val="en-GB"/>
        </w:rPr>
        <w:t xml:space="preserve"> in addition to the bounds cointegration test</w:t>
      </w:r>
      <w:r w:rsidR="007B0F31">
        <w:rPr>
          <w:rFonts w:ascii="Times New Roman" w:hAnsi="Times New Roman" w:cs="Times New Roman"/>
          <w:sz w:val="24"/>
          <w:szCs w:val="24"/>
          <w:lang w:val="en-GB"/>
        </w:rPr>
        <w:t xml:space="preserve">. </w:t>
      </w:r>
    </w:p>
    <w:p w14:paraId="278225E5" w14:textId="4F8B9BD5" w:rsidR="0092214B" w:rsidRDefault="0092214B" w:rsidP="00282DE7">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 Results and Discussion</w:t>
      </w:r>
    </w:p>
    <w:p w14:paraId="485ACCE2" w14:textId="38EB0367" w:rsidR="00ED16D4" w:rsidRDefault="00DD430C" w:rsidP="00282DE7">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4.1 Unit Root Test</w:t>
      </w:r>
    </w:p>
    <w:p w14:paraId="70329EC2" w14:textId="160724E7" w:rsidR="00854EF1" w:rsidRPr="00854EF1" w:rsidRDefault="00854EF1" w:rsidP="00854EF1">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The results of the ADF unit root test are presented in Table </w:t>
      </w:r>
      <w:r>
        <w:rPr>
          <w:rFonts w:ascii="Times New Roman" w:hAnsi="Times New Roman" w:cs="Times New Roman"/>
          <w:sz w:val="24"/>
          <w:szCs w:val="24"/>
          <w:lang w:val="en-GB"/>
        </w:rPr>
        <w:t>1</w:t>
      </w:r>
    </w:p>
    <w:p w14:paraId="61017036" w14:textId="70CFC7FB" w:rsidR="00854EF1" w:rsidRDefault="00854EF1" w:rsidP="00854EF1">
      <w:pPr>
        <w:spacing w:after="0" w:line="360" w:lineRule="auto"/>
        <w:rPr>
          <w:rFonts w:ascii="Times New Roman" w:hAnsi="Times New Roman" w:cs="Times New Roman"/>
          <w:b/>
          <w:sz w:val="24"/>
          <w:szCs w:val="24"/>
        </w:rPr>
      </w:pPr>
      <w:bookmarkStart w:id="1" w:name="_Hlk111035515"/>
      <w:r>
        <w:rPr>
          <w:rFonts w:ascii="Times New Roman" w:hAnsi="Times New Roman" w:cs="Times New Roman"/>
          <w:b/>
          <w:sz w:val="24"/>
          <w:szCs w:val="24"/>
        </w:rPr>
        <w:t xml:space="preserve">Table </w:t>
      </w:r>
      <w:r>
        <w:rPr>
          <w:rFonts w:ascii="Times New Roman" w:hAnsi="Times New Roman" w:cs="Times New Roman"/>
          <w:b/>
          <w:sz w:val="24"/>
          <w:szCs w:val="24"/>
          <w:lang w:val="en-GB"/>
        </w:rPr>
        <w:t>1</w:t>
      </w:r>
      <w:r>
        <w:rPr>
          <w:rFonts w:ascii="Times New Roman" w:hAnsi="Times New Roman" w:cs="Times New Roman"/>
          <w:b/>
          <w:sz w:val="24"/>
          <w:szCs w:val="24"/>
        </w:rPr>
        <w:t>: ADF Unit Root Test Result</w:t>
      </w:r>
    </w:p>
    <w:tbl>
      <w:tblPr>
        <w:tblStyle w:val="TableGrid"/>
        <w:tblW w:w="9355" w:type="dxa"/>
        <w:tblLayout w:type="fixed"/>
        <w:tblLook w:val="04A0" w:firstRow="1" w:lastRow="0" w:firstColumn="1" w:lastColumn="0" w:noHBand="0" w:noVBand="1"/>
      </w:tblPr>
      <w:tblGrid>
        <w:gridCol w:w="1435"/>
        <w:gridCol w:w="2070"/>
        <w:gridCol w:w="2070"/>
        <w:gridCol w:w="1800"/>
        <w:gridCol w:w="1980"/>
      </w:tblGrid>
      <w:tr w:rsidR="00854EF1" w14:paraId="6E0EE598" w14:textId="77777777" w:rsidTr="00854EF1">
        <w:trPr>
          <w:trHeight w:val="227"/>
        </w:trPr>
        <w:tc>
          <w:tcPr>
            <w:tcW w:w="1435" w:type="dxa"/>
            <w:hideMark/>
          </w:tcPr>
          <w:p w14:paraId="0F3AABA6"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 xml:space="preserve">Variable </w:t>
            </w:r>
          </w:p>
        </w:tc>
        <w:tc>
          <w:tcPr>
            <w:tcW w:w="2070" w:type="dxa"/>
            <w:hideMark/>
          </w:tcPr>
          <w:p w14:paraId="58D7C596"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ADF stat. at levels</w:t>
            </w:r>
          </w:p>
        </w:tc>
        <w:tc>
          <w:tcPr>
            <w:tcW w:w="2070" w:type="dxa"/>
            <w:hideMark/>
          </w:tcPr>
          <w:p w14:paraId="68C3F3DD"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ADF stat. at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diff.</w:t>
            </w:r>
          </w:p>
        </w:tc>
        <w:tc>
          <w:tcPr>
            <w:tcW w:w="1800" w:type="dxa"/>
            <w:hideMark/>
          </w:tcPr>
          <w:p w14:paraId="406F6676"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Critical Value at 5%</w:t>
            </w:r>
          </w:p>
        </w:tc>
        <w:tc>
          <w:tcPr>
            <w:tcW w:w="1980" w:type="dxa"/>
            <w:hideMark/>
          </w:tcPr>
          <w:p w14:paraId="0CBA9C67"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Order of Integration</w:t>
            </w:r>
          </w:p>
        </w:tc>
      </w:tr>
      <w:tr w:rsidR="00854EF1" w14:paraId="38B39FCF" w14:textId="77777777" w:rsidTr="00854EF1">
        <w:trPr>
          <w:trHeight w:val="235"/>
        </w:trPr>
        <w:tc>
          <w:tcPr>
            <w:tcW w:w="1435" w:type="dxa"/>
            <w:hideMark/>
          </w:tcPr>
          <w:p w14:paraId="59686E57"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SSV</w:t>
            </w:r>
          </w:p>
        </w:tc>
        <w:tc>
          <w:tcPr>
            <w:tcW w:w="2070" w:type="dxa"/>
            <w:hideMark/>
          </w:tcPr>
          <w:p w14:paraId="165DF373" w14:textId="77777777" w:rsidR="00854EF1" w:rsidRDefault="00854EF1" w:rsidP="000E478B">
            <w:pPr>
              <w:spacing w:line="480" w:lineRule="auto"/>
              <w:jc w:val="center"/>
              <w:rPr>
                <w:rFonts w:ascii="Times New Roman" w:hAnsi="Times New Roman" w:cs="Times New Roman"/>
                <w:sz w:val="24"/>
                <w:szCs w:val="24"/>
              </w:rPr>
            </w:pPr>
            <w:r>
              <w:rPr>
                <w:rFonts w:ascii="Times New Roman" w:hAnsi="Times New Roman" w:cs="Times New Roman"/>
                <w:color w:val="000000"/>
                <w:sz w:val="24"/>
                <w:szCs w:val="24"/>
              </w:rPr>
              <w:t>-1.8180</w:t>
            </w:r>
          </w:p>
        </w:tc>
        <w:tc>
          <w:tcPr>
            <w:tcW w:w="2070" w:type="dxa"/>
            <w:hideMark/>
          </w:tcPr>
          <w:p w14:paraId="2D512F36" w14:textId="77777777" w:rsidR="00854EF1" w:rsidRDefault="00854EF1" w:rsidP="000E478B">
            <w:pPr>
              <w:spacing w:line="480" w:lineRule="auto"/>
              <w:jc w:val="center"/>
              <w:rPr>
                <w:rFonts w:ascii="Times New Roman" w:hAnsi="Times New Roman" w:cs="Times New Roman"/>
                <w:sz w:val="24"/>
                <w:szCs w:val="24"/>
              </w:rPr>
            </w:pPr>
            <w:r>
              <w:rPr>
                <w:rFonts w:ascii="Times New Roman" w:hAnsi="Times New Roman" w:cs="Times New Roman"/>
                <w:color w:val="000000"/>
                <w:sz w:val="24"/>
                <w:szCs w:val="24"/>
              </w:rPr>
              <w:t>-4.2113***</w:t>
            </w:r>
          </w:p>
        </w:tc>
        <w:tc>
          <w:tcPr>
            <w:tcW w:w="1800" w:type="dxa"/>
            <w:hideMark/>
          </w:tcPr>
          <w:p w14:paraId="1E8CF972" w14:textId="77777777" w:rsidR="00854EF1" w:rsidRDefault="00854EF1" w:rsidP="000E478B">
            <w:pPr>
              <w:spacing w:line="480" w:lineRule="auto"/>
              <w:jc w:val="center"/>
              <w:rPr>
                <w:rFonts w:ascii="Times New Roman" w:hAnsi="Times New Roman" w:cs="Times New Roman"/>
                <w:sz w:val="24"/>
                <w:szCs w:val="24"/>
              </w:rPr>
            </w:pPr>
            <w:r>
              <w:rPr>
                <w:rFonts w:ascii="Times New Roman" w:hAnsi="Times New Roman" w:cs="Times New Roman"/>
                <w:color w:val="000000"/>
                <w:sz w:val="24"/>
                <w:szCs w:val="24"/>
              </w:rPr>
              <w:t>-2.9604</w:t>
            </w:r>
          </w:p>
        </w:tc>
        <w:tc>
          <w:tcPr>
            <w:tcW w:w="1980" w:type="dxa"/>
            <w:hideMark/>
          </w:tcPr>
          <w:p w14:paraId="214A4130" w14:textId="77777777" w:rsidR="00854EF1" w:rsidRDefault="00854EF1" w:rsidP="000E478B">
            <w:pPr>
              <w:spacing w:line="480" w:lineRule="auto"/>
              <w:jc w:val="center"/>
              <w:rPr>
                <w:rFonts w:ascii="Times New Roman" w:hAnsi="Times New Roman" w:cs="Times New Roman"/>
                <w:sz w:val="24"/>
                <w:szCs w:val="24"/>
              </w:rPr>
            </w:pPr>
            <w:r>
              <w:rPr>
                <w:rFonts w:ascii="Times New Roman" w:hAnsi="Times New Roman" w:cs="Times New Roman"/>
                <w:sz w:val="24"/>
                <w:szCs w:val="24"/>
              </w:rPr>
              <w:t>I(1)</w:t>
            </w:r>
          </w:p>
        </w:tc>
      </w:tr>
      <w:tr w:rsidR="00854EF1" w14:paraId="5AD255B9" w14:textId="77777777" w:rsidTr="00854EF1">
        <w:trPr>
          <w:trHeight w:val="235"/>
        </w:trPr>
        <w:tc>
          <w:tcPr>
            <w:tcW w:w="1435" w:type="dxa"/>
            <w:hideMark/>
          </w:tcPr>
          <w:p w14:paraId="5E06AC14"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FEU</w:t>
            </w:r>
          </w:p>
        </w:tc>
        <w:tc>
          <w:tcPr>
            <w:tcW w:w="2070" w:type="dxa"/>
            <w:hideMark/>
          </w:tcPr>
          <w:p w14:paraId="410459FA"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-2.7280</w:t>
            </w:r>
          </w:p>
        </w:tc>
        <w:tc>
          <w:tcPr>
            <w:tcW w:w="2070" w:type="dxa"/>
            <w:hideMark/>
          </w:tcPr>
          <w:p w14:paraId="5EFC9613"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-5.8578***</w:t>
            </w:r>
          </w:p>
        </w:tc>
        <w:tc>
          <w:tcPr>
            <w:tcW w:w="1800" w:type="dxa"/>
            <w:hideMark/>
          </w:tcPr>
          <w:p w14:paraId="1B1630F8" w14:textId="77777777" w:rsidR="00854EF1" w:rsidRDefault="00854EF1" w:rsidP="000E478B">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color w:val="000000"/>
                <w:sz w:val="24"/>
                <w:szCs w:val="24"/>
              </w:rPr>
              <w:t>-2.9604</w:t>
            </w:r>
          </w:p>
        </w:tc>
        <w:tc>
          <w:tcPr>
            <w:tcW w:w="1980" w:type="dxa"/>
            <w:hideMark/>
          </w:tcPr>
          <w:p w14:paraId="3D615A4F" w14:textId="77777777" w:rsidR="00854EF1" w:rsidRDefault="00854EF1" w:rsidP="000E478B">
            <w:pPr>
              <w:spacing w:line="480" w:lineRule="auto"/>
              <w:jc w:val="center"/>
              <w:rPr>
                <w:rFonts w:ascii="Times New Roman" w:hAnsi="Times New Roman" w:cs="Times New Roman"/>
                <w:sz w:val="24"/>
                <w:szCs w:val="24"/>
              </w:rPr>
            </w:pPr>
            <w:r>
              <w:rPr>
                <w:rFonts w:ascii="Times New Roman" w:hAnsi="Times New Roman" w:cs="Times New Roman"/>
                <w:sz w:val="24"/>
                <w:szCs w:val="24"/>
              </w:rPr>
              <w:t>I(1)</w:t>
            </w:r>
          </w:p>
        </w:tc>
      </w:tr>
      <w:tr w:rsidR="00854EF1" w14:paraId="6D446D4F" w14:textId="77777777" w:rsidTr="00854EF1">
        <w:trPr>
          <w:trHeight w:val="235"/>
        </w:trPr>
        <w:tc>
          <w:tcPr>
            <w:tcW w:w="1435" w:type="dxa"/>
            <w:hideMark/>
          </w:tcPr>
          <w:p w14:paraId="522F8FEB"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REU</w:t>
            </w:r>
          </w:p>
        </w:tc>
        <w:tc>
          <w:tcPr>
            <w:tcW w:w="2070" w:type="dxa"/>
            <w:hideMark/>
          </w:tcPr>
          <w:p w14:paraId="05B111ED"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-1.7160</w:t>
            </w:r>
          </w:p>
        </w:tc>
        <w:tc>
          <w:tcPr>
            <w:tcW w:w="2070" w:type="dxa"/>
            <w:hideMark/>
          </w:tcPr>
          <w:p w14:paraId="7509659F"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-5.6900***</w:t>
            </w:r>
          </w:p>
        </w:tc>
        <w:tc>
          <w:tcPr>
            <w:tcW w:w="1800" w:type="dxa"/>
            <w:hideMark/>
          </w:tcPr>
          <w:p w14:paraId="048C6B44" w14:textId="77777777" w:rsidR="00854EF1" w:rsidRDefault="00854EF1" w:rsidP="000E478B">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color w:val="000000"/>
                <w:sz w:val="24"/>
                <w:szCs w:val="24"/>
              </w:rPr>
              <w:t>-2.9604</w:t>
            </w:r>
          </w:p>
        </w:tc>
        <w:tc>
          <w:tcPr>
            <w:tcW w:w="1980" w:type="dxa"/>
            <w:hideMark/>
          </w:tcPr>
          <w:p w14:paraId="19FBD5C4" w14:textId="77777777" w:rsidR="00854EF1" w:rsidRDefault="00854EF1" w:rsidP="000E478B">
            <w:pPr>
              <w:spacing w:line="480" w:lineRule="auto"/>
              <w:jc w:val="center"/>
              <w:rPr>
                <w:rFonts w:ascii="Times New Roman" w:hAnsi="Times New Roman" w:cs="Times New Roman"/>
                <w:sz w:val="24"/>
                <w:szCs w:val="24"/>
              </w:rPr>
            </w:pPr>
            <w:r>
              <w:rPr>
                <w:rFonts w:ascii="Times New Roman" w:hAnsi="Times New Roman" w:cs="Times New Roman"/>
                <w:sz w:val="24"/>
                <w:szCs w:val="24"/>
              </w:rPr>
              <w:t>I(1)</w:t>
            </w:r>
          </w:p>
        </w:tc>
      </w:tr>
      <w:tr w:rsidR="00854EF1" w14:paraId="62EF0EAE" w14:textId="77777777" w:rsidTr="00854EF1">
        <w:trPr>
          <w:trHeight w:val="235"/>
        </w:trPr>
        <w:tc>
          <w:tcPr>
            <w:tcW w:w="1435" w:type="dxa"/>
            <w:hideMark/>
          </w:tcPr>
          <w:p w14:paraId="752256DF"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AEU</w:t>
            </w:r>
          </w:p>
        </w:tc>
        <w:tc>
          <w:tcPr>
            <w:tcW w:w="2070" w:type="dxa"/>
            <w:hideMark/>
          </w:tcPr>
          <w:p w14:paraId="416BADDC"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-2.4903</w:t>
            </w:r>
          </w:p>
        </w:tc>
        <w:tc>
          <w:tcPr>
            <w:tcW w:w="2070" w:type="dxa"/>
            <w:hideMark/>
          </w:tcPr>
          <w:p w14:paraId="5AF9ACB5"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-8.1275***</w:t>
            </w:r>
          </w:p>
        </w:tc>
        <w:tc>
          <w:tcPr>
            <w:tcW w:w="1800" w:type="dxa"/>
            <w:hideMark/>
          </w:tcPr>
          <w:p w14:paraId="37638926" w14:textId="77777777" w:rsidR="00854EF1" w:rsidRDefault="00854EF1" w:rsidP="000E478B">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color w:val="000000"/>
                <w:sz w:val="24"/>
                <w:szCs w:val="24"/>
              </w:rPr>
              <w:t>-2.9604</w:t>
            </w:r>
          </w:p>
        </w:tc>
        <w:tc>
          <w:tcPr>
            <w:tcW w:w="1980" w:type="dxa"/>
            <w:hideMark/>
          </w:tcPr>
          <w:p w14:paraId="00915824" w14:textId="77777777" w:rsidR="00854EF1" w:rsidRDefault="00854EF1" w:rsidP="000E478B">
            <w:pPr>
              <w:spacing w:line="480" w:lineRule="auto"/>
              <w:jc w:val="center"/>
              <w:rPr>
                <w:rFonts w:ascii="Times New Roman" w:hAnsi="Times New Roman" w:cs="Times New Roman"/>
                <w:sz w:val="24"/>
                <w:szCs w:val="24"/>
              </w:rPr>
            </w:pPr>
            <w:r>
              <w:rPr>
                <w:rFonts w:ascii="Times New Roman" w:hAnsi="Times New Roman" w:cs="Times New Roman"/>
                <w:sz w:val="24"/>
                <w:szCs w:val="24"/>
              </w:rPr>
              <w:t>I(1)</w:t>
            </w:r>
          </w:p>
        </w:tc>
      </w:tr>
      <w:tr w:rsidR="00854EF1" w14:paraId="457EF9B6" w14:textId="77777777" w:rsidTr="00854EF1">
        <w:trPr>
          <w:trHeight w:val="235"/>
        </w:trPr>
        <w:tc>
          <w:tcPr>
            <w:tcW w:w="1435" w:type="dxa"/>
            <w:hideMark/>
          </w:tcPr>
          <w:p w14:paraId="08130C7F" w14:textId="77777777" w:rsidR="00854EF1" w:rsidRDefault="00854EF1" w:rsidP="000E478B">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TOU</w:t>
            </w:r>
          </w:p>
        </w:tc>
        <w:tc>
          <w:tcPr>
            <w:tcW w:w="2070" w:type="dxa"/>
            <w:hideMark/>
          </w:tcPr>
          <w:p w14:paraId="5DD31690"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-2.9633**</w:t>
            </w:r>
          </w:p>
        </w:tc>
        <w:tc>
          <w:tcPr>
            <w:tcW w:w="2070" w:type="dxa"/>
            <w:hideMark/>
          </w:tcPr>
          <w:p w14:paraId="06157585" w14:textId="77777777" w:rsidR="00854EF1" w:rsidRDefault="00854EF1" w:rsidP="000E478B">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00" w:type="dxa"/>
            <w:hideMark/>
          </w:tcPr>
          <w:p w14:paraId="004A35AE" w14:textId="77777777" w:rsidR="00854EF1" w:rsidRDefault="00854EF1" w:rsidP="000E478B">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color w:val="000000"/>
                <w:sz w:val="24"/>
                <w:szCs w:val="24"/>
              </w:rPr>
              <w:t>-2.9604</w:t>
            </w:r>
          </w:p>
        </w:tc>
        <w:tc>
          <w:tcPr>
            <w:tcW w:w="1980" w:type="dxa"/>
            <w:hideMark/>
          </w:tcPr>
          <w:p w14:paraId="39F9F6D4" w14:textId="77777777" w:rsidR="00854EF1" w:rsidRDefault="00854EF1" w:rsidP="000E478B">
            <w:pPr>
              <w:spacing w:line="480" w:lineRule="auto"/>
              <w:jc w:val="center"/>
              <w:rPr>
                <w:rFonts w:ascii="Times New Roman" w:hAnsi="Times New Roman" w:cs="Times New Roman"/>
                <w:sz w:val="24"/>
                <w:szCs w:val="24"/>
              </w:rPr>
            </w:pPr>
            <w:r>
              <w:rPr>
                <w:rFonts w:ascii="Times New Roman" w:hAnsi="Times New Roman" w:cs="Times New Roman"/>
                <w:sz w:val="24"/>
                <w:szCs w:val="24"/>
              </w:rPr>
              <w:t>I(0)</w:t>
            </w:r>
          </w:p>
        </w:tc>
      </w:tr>
    </w:tbl>
    <w:p w14:paraId="333E830D" w14:textId="77777777" w:rsidR="00854EF1" w:rsidRDefault="00854EF1" w:rsidP="00704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Computed from E-views Software</w:t>
      </w:r>
    </w:p>
    <w:p w14:paraId="00364B97" w14:textId="77777777" w:rsidR="00854EF1" w:rsidRDefault="00854EF1" w:rsidP="00704F09">
      <w:pPr>
        <w:spacing w:line="360" w:lineRule="auto"/>
        <w:jc w:val="both"/>
        <w:rPr>
          <w:rFonts w:ascii="Times New Roman" w:hAnsi="Times New Roman" w:cs="Times New Roman"/>
          <w:b/>
        </w:rPr>
      </w:pPr>
      <w:r>
        <w:rPr>
          <w:rFonts w:ascii="Times New Roman" w:hAnsi="Times New Roman" w:cs="Times New Roman"/>
          <w:b/>
        </w:rPr>
        <w:t xml:space="preserve">Note:  *, ** and *** denote Significant at 10%, 5% and 1% levels respectively </w:t>
      </w:r>
    </w:p>
    <w:bookmarkEnd w:id="1"/>
    <w:p w14:paraId="6875ABEC" w14:textId="42B373B3" w:rsidR="00854EF1" w:rsidRDefault="00854EF1" w:rsidP="00704F09">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The results show Total electricity use is stationary at levels given that the ADF statistics at levels is greater than the corresponding critical value at 5% level. Consequently, the null hypothesis of unit root is rejected at the 5% critical value. The implication of this result is that </w:t>
      </w:r>
      <w:r>
        <w:rPr>
          <w:rFonts w:ascii="Times New Roman" w:hAnsi="Times New Roman" w:cs="Times New Roman"/>
          <w:sz w:val="24"/>
          <w:szCs w:val="24"/>
        </w:rPr>
        <w:lastRenderedPageBreak/>
        <w:t xml:space="preserve">total electricity use is integrated of order zero I (0). On the other hand, the result show that </w:t>
      </w:r>
      <w:r w:rsidR="00704F09">
        <w:rPr>
          <w:rFonts w:ascii="Times New Roman" w:hAnsi="Times New Roman" w:cs="Times New Roman"/>
          <w:sz w:val="24"/>
          <w:szCs w:val="24"/>
          <w:lang w:val="en-GB"/>
        </w:rPr>
        <w:t xml:space="preserve">the other variables </w:t>
      </w:r>
      <w:r>
        <w:rPr>
          <w:rFonts w:ascii="Times New Roman" w:hAnsi="Times New Roman" w:cs="Times New Roman"/>
          <w:sz w:val="24"/>
          <w:szCs w:val="24"/>
        </w:rPr>
        <w:t xml:space="preserve">non-stationary at levels given that their ADF statistics at levels are less than the associated critical value at the 5% significance level. However, they were found to be stationary at first difference, indicating that they are integrated of order one (1). </w:t>
      </w:r>
      <w:r>
        <w:rPr>
          <w:rFonts w:ascii="Times New Roman" w:hAnsi="Times New Roman" w:cs="Times New Roman"/>
          <w:color w:val="222222"/>
          <w:sz w:val="24"/>
          <w:szCs w:val="24"/>
          <w:shd w:val="clear" w:color="auto" w:fill="FFFFFF"/>
        </w:rPr>
        <w:t>The evidence of mixed integration in the series provided the statistical requirement for the application of bounds cointegration test.</w:t>
      </w:r>
    </w:p>
    <w:p w14:paraId="56D84C0B" w14:textId="7D8E6F35" w:rsidR="00E22623" w:rsidRDefault="00E22623" w:rsidP="00E22623">
      <w:pPr>
        <w:spacing w:line="480" w:lineRule="auto"/>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4.2 Cointegration Test</w:t>
      </w:r>
    </w:p>
    <w:p w14:paraId="18DE09FC" w14:textId="20B8742C" w:rsidR="00E22623" w:rsidRDefault="002653E2" w:rsidP="00E22623">
      <w:pPr>
        <w:spacing w:line="480" w:lineRule="auto"/>
        <w:jc w:val="both"/>
        <w:rPr>
          <w:rFonts w:ascii="Times New Roman" w:hAnsi="Times New Roman" w:cs="Times New Roman"/>
          <w:color w:val="222222"/>
          <w:sz w:val="24"/>
          <w:szCs w:val="24"/>
          <w:shd w:val="clear" w:color="auto" w:fill="FFFFFF"/>
          <w:lang w:val="en-GB"/>
        </w:rPr>
      </w:pPr>
      <w:r>
        <w:rPr>
          <w:rFonts w:ascii="Times New Roman" w:hAnsi="Times New Roman" w:cs="Times New Roman"/>
          <w:color w:val="222222"/>
          <w:sz w:val="24"/>
          <w:szCs w:val="24"/>
          <w:shd w:val="clear" w:color="auto" w:fill="FFFFFF"/>
        </w:rPr>
        <w:t xml:space="preserve">The bounds cointegration test results for each of the models are presented in Table </w:t>
      </w:r>
      <w:r>
        <w:rPr>
          <w:rFonts w:ascii="Times New Roman" w:hAnsi="Times New Roman" w:cs="Times New Roman"/>
          <w:color w:val="222222"/>
          <w:sz w:val="24"/>
          <w:szCs w:val="24"/>
          <w:shd w:val="clear" w:color="auto" w:fill="FFFFFF"/>
          <w:lang w:val="en-GB"/>
        </w:rPr>
        <w:t>2.</w:t>
      </w:r>
    </w:p>
    <w:p w14:paraId="73332058" w14:textId="104A06EE" w:rsidR="00C86E86" w:rsidRDefault="00C86E86" w:rsidP="00C86E86">
      <w:pPr>
        <w:spacing w:line="240" w:lineRule="auto"/>
        <w:jc w:val="both"/>
        <w:rPr>
          <w:rFonts w:ascii="Times New Roman" w:hAnsi="Times New Roman" w:cs="Times New Roman"/>
          <w:b/>
        </w:rPr>
      </w:pPr>
      <w:r>
        <w:rPr>
          <w:rFonts w:ascii="Times New Roman" w:hAnsi="Times New Roman" w:cs="Times New Roman"/>
          <w:b/>
        </w:rPr>
        <w:t xml:space="preserve">Table </w:t>
      </w:r>
      <w:r w:rsidR="007723D0">
        <w:rPr>
          <w:rFonts w:ascii="Times New Roman" w:hAnsi="Times New Roman" w:cs="Times New Roman"/>
          <w:b/>
          <w:lang w:val="en-GB"/>
        </w:rPr>
        <w:t>2</w:t>
      </w:r>
      <w:r>
        <w:rPr>
          <w:rFonts w:ascii="Times New Roman" w:hAnsi="Times New Roman" w:cs="Times New Roman"/>
          <w:b/>
        </w:rPr>
        <w:t xml:space="preserve">: Bounds cointegration test results </w:t>
      </w:r>
    </w:p>
    <w:p w14:paraId="0B6CCAEE" w14:textId="77777777" w:rsidR="00C86E86" w:rsidRDefault="00C86E86" w:rsidP="00C86E86">
      <w:pPr>
        <w:autoSpaceDE w:val="0"/>
        <w:autoSpaceDN w:val="0"/>
        <w:adjustRightInd w:val="0"/>
        <w:spacing w:after="0" w:line="240" w:lineRule="auto"/>
        <w:rPr>
          <w:rFonts w:ascii="Arial" w:hAnsi="Arial" w:cs="Arial"/>
          <w:sz w:val="18"/>
          <w:szCs w:val="18"/>
        </w:rPr>
      </w:pPr>
    </w:p>
    <w:tbl>
      <w:tblPr>
        <w:tblStyle w:val="TableGrid"/>
        <w:tblW w:w="9495" w:type="dxa"/>
        <w:tblLayout w:type="fixed"/>
        <w:tblLook w:val="04A0" w:firstRow="1" w:lastRow="0" w:firstColumn="1" w:lastColumn="0" w:noHBand="0" w:noVBand="1"/>
      </w:tblPr>
      <w:tblGrid>
        <w:gridCol w:w="2228"/>
        <w:gridCol w:w="1103"/>
        <w:gridCol w:w="1768"/>
        <w:gridCol w:w="1560"/>
        <w:gridCol w:w="2836"/>
      </w:tblGrid>
      <w:tr w:rsidR="00C86E86" w:rsidRPr="00892FF2" w14:paraId="298A66F2" w14:textId="77777777" w:rsidTr="00C86E86">
        <w:trPr>
          <w:trHeight w:val="365"/>
        </w:trPr>
        <w:tc>
          <w:tcPr>
            <w:tcW w:w="9493" w:type="dxa"/>
            <w:gridSpan w:val="5"/>
            <w:hideMark/>
          </w:tcPr>
          <w:p w14:paraId="67B1C2C8" w14:textId="77777777" w:rsidR="00C86E86" w:rsidRPr="00892FF2" w:rsidRDefault="00C86E86" w:rsidP="000E478B">
            <w:pPr>
              <w:autoSpaceDE w:val="0"/>
              <w:autoSpaceDN w:val="0"/>
              <w:adjustRightInd w:val="0"/>
              <w:spacing w:line="480" w:lineRule="auto"/>
              <w:ind w:right="10"/>
              <w:rPr>
                <w:rFonts w:ascii="Times New Roman" w:hAnsi="Times New Roman" w:cs="Times New Roman"/>
                <w:b/>
                <w:bCs/>
                <w:color w:val="000000"/>
                <w:sz w:val="24"/>
                <w:szCs w:val="24"/>
                <w:lang w:val="fr-FR"/>
              </w:rPr>
            </w:pPr>
            <w:r w:rsidRPr="00892FF2">
              <w:rPr>
                <w:rFonts w:ascii="Times New Roman" w:hAnsi="Times New Roman" w:cs="Times New Roman"/>
                <w:color w:val="000000"/>
                <w:sz w:val="24"/>
                <w:szCs w:val="24"/>
                <w:lang w:val="fr-FR"/>
              </w:rPr>
              <w:t>SSV FEU REU AEU TOU</w:t>
            </w:r>
          </w:p>
        </w:tc>
      </w:tr>
      <w:tr w:rsidR="00C86E86" w:rsidRPr="001424A3" w14:paraId="3E8B89A8" w14:textId="77777777" w:rsidTr="00C86E86">
        <w:trPr>
          <w:trHeight w:val="365"/>
        </w:trPr>
        <w:tc>
          <w:tcPr>
            <w:tcW w:w="3330" w:type="dxa"/>
            <w:gridSpan w:val="2"/>
            <w:hideMark/>
          </w:tcPr>
          <w:p w14:paraId="3D9C2828" w14:textId="77777777" w:rsidR="00C86E86" w:rsidRPr="001424A3" w:rsidRDefault="00C86E86" w:rsidP="000E478B">
            <w:pPr>
              <w:autoSpaceDE w:val="0"/>
              <w:autoSpaceDN w:val="0"/>
              <w:adjustRightInd w:val="0"/>
              <w:spacing w:line="480" w:lineRule="auto"/>
              <w:jc w:val="center"/>
              <w:rPr>
                <w:rFonts w:ascii="Times New Roman" w:hAnsi="Times New Roman" w:cs="Times New Roman"/>
                <w:b/>
                <w:bCs/>
                <w:color w:val="000000"/>
                <w:sz w:val="24"/>
                <w:szCs w:val="24"/>
              </w:rPr>
            </w:pPr>
            <w:r w:rsidRPr="001424A3">
              <w:rPr>
                <w:rFonts w:ascii="Times New Roman" w:hAnsi="Times New Roman" w:cs="Times New Roman"/>
                <w:color w:val="000000"/>
                <w:sz w:val="24"/>
                <w:szCs w:val="24"/>
              </w:rPr>
              <w:t>F-Bounds Test</w:t>
            </w:r>
          </w:p>
        </w:tc>
        <w:tc>
          <w:tcPr>
            <w:tcW w:w="6163" w:type="dxa"/>
            <w:gridSpan w:val="3"/>
            <w:hideMark/>
          </w:tcPr>
          <w:p w14:paraId="2ABD62FF"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Null Hypothesis: No levels relationship</w:t>
            </w:r>
          </w:p>
        </w:tc>
      </w:tr>
      <w:tr w:rsidR="00C86E86" w:rsidRPr="001424A3" w14:paraId="5267DE4A" w14:textId="77777777" w:rsidTr="00C86E86">
        <w:trPr>
          <w:trHeight w:val="225"/>
        </w:trPr>
        <w:tc>
          <w:tcPr>
            <w:tcW w:w="2227" w:type="dxa"/>
            <w:hideMark/>
          </w:tcPr>
          <w:p w14:paraId="0A2CD4A4" w14:textId="77777777" w:rsidR="00C86E86" w:rsidRPr="001424A3" w:rsidRDefault="00C86E86" w:rsidP="000E478B">
            <w:pPr>
              <w:autoSpaceDE w:val="0"/>
              <w:autoSpaceDN w:val="0"/>
              <w:adjustRightInd w:val="0"/>
              <w:spacing w:line="480" w:lineRule="auto"/>
              <w:jc w:val="center"/>
              <w:rPr>
                <w:rFonts w:ascii="Times New Roman" w:hAnsi="Times New Roman" w:cs="Times New Roman"/>
                <w:b/>
                <w:bCs/>
                <w:color w:val="000000"/>
                <w:sz w:val="24"/>
                <w:szCs w:val="24"/>
              </w:rPr>
            </w:pPr>
            <w:r w:rsidRPr="001424A3">
              <w:rPr>
                <w:rFonts w:ascii="Times New Roman" w:hAnsi="Times New Roman" w:cs="Times New Roman"/>
                <w:color w:val="000000"/>
                <w:sz w:val="24"/>
                <w:szCs w:val="24"/>
              </w:rPr>
              <w:t>Test Statistic</w:t>
            </w:r>
          </w:p>
        </w:tc>
        <w:tc>
          <w:tcPr>
            <w:tcW w:w="1103" w:type="dxa"/>
            <w:hideMark/>
          </w:tcPr>
          <w:p w14:paraId="74E64C8D" w14:textId="77777777" w:rsidR="00C86E86" w:rsidRPr="001424A3" w:rsidRDefault="00C86E86" w:rsidP="000E478B">
            <w:pPr>
              <w:autoSpaceDE w:val="0"/>
              <w:autoSpaceDN w:val="0"/>
              <w:adjustRightInd w:val="0"/>
              <w:spacing w:line="480" w:lineRule="auto"/>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Value</w:t>
            </w:r>
          </w:p>
        </w:tc>
        <w:tc>
          <w:tcPr>
            <w:tcW w:w="1768" w:type="dxa"/>
            <w:hideMark/>
          </w:tcPr>
          <w:p w14:paraId="4213A72C"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Signif.</w:t>
            </w:r>
          </w:p>
        </w:tc>
        <w:tc>
          <w:tcPr>
            <w:tcW w:w="1560" w:type="dxa"/>
            <w:hideMark/>
          </w:tcPr>
          <w:p w14:paraId="070116D5"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I(0)</w:t>
            </w:r>
          </w:p>
        </w:tc>
        <w:tc>
          <w:tcPr>
            <w:tcW w:w="2835" w:type="dxa"/>
            <w:hideMark/>
          </w:tcPr>
          <w:p w14:paraId="4FD5A6AB"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I(1)</w:t>
            </w:r>
          </w:p>
        </w:tc>
      </w:tr>
      <w:tr w:rsidR="00C86E86" w:rsidRPr="001424A3" w14:paraId="3EAF6D80" w14:textId="77777777" w:rsidTr="00C86E86">
        <w:trPr>
          <w:trHeight w:val="225"/>
        </w:trPr>
        <w:tc>
          <w:tcPr>
            <w:tcW w:w="2227" w:type="dxa"/>
            <w:hideMark/>
          </w:tcPr>
          <w:p w14:paraId="75C7937F" w14:textId="77777777" w:rsidR="00C86E86" w:rsidRPr="001424A3" w:rsidRDefault="00C86E86" w:rsidP="000E478B">
            <w:pPr>
              <w:autoSpaceDE w:val="0"/>
              <w:autoSpaceDN w:val="0"/>
              <w:adjustRightInd w:val="0"/>
              <w:spacing w:line="480" w:lineRule="auto"/>
              <w:jc w:val="center"/>
              <w:rPr>
                <w:rFonts w:ascii="Times New Roman" w:hAnsi="Times New Roman" w:cs="Times New Roman"/>
                <w:b/>
                <w:bCs/>
                <w:color w:val="000000"/>
                <w:sz w:val="24"/>
                <w:szCs w:val="24"/>
              </w:rPr>
            </w:pPr>
            <w:r w:rsidRPr="001424A3">
              <w:rPr>
                <w:rFonts w:ascii="Times New Roman" w:hAnsi="Times New Roman" w:cs="Times New Roman"/>
                <w:color w:val="000000"/>
                <w:sz w:val="24"/>
                <w:szCs w:val="24"/>
              </w:rPr>
              <w:t>F-statistic</w:t>
            </w:r>
          </w:p>
        </w:tc>
        <w:tc>
          <w:tcPr>
            <w:tcW w:w="1103" w:type="dxa"/>
            <w:hideMark/>
          </w:tcPr>
          <w:p w14:paraId="04726E72" w14:textId="77777777" w:rsidR="00C86E86" w:rsidRPr="001424A3" w:rsidRDefault="00C86E86" w:rsidP="000E478B">
            <w:pPr>
              <w:autoSpaceDE w:val="0"/>
              <w:autoSpaceDN w:val="0"/>
              <w:adjustRightInd w:val="0"/>
              <w:spacing w:line="480" w:lineRule="auto"/>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  3.682</w:t>
            </w:r>
          </w:p>
        </w:tc>
        <w:tc>
          <w:tcPr>
            <w:tcW w:w="1768" w:type="dxa"/>
            <w:hideMark/>
          </w:tcPr>
          <w:p w14:paraId="3503AFE8"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10%</w:t>
            </w:r>
          </w:p>
        </w:tc>
        <w:tc>
          <w:tcPr>
            <w:tcW w:w="1560" w:type="dxa"/>
            <w:hideMark/>
          </w:tcPr>
          <w:p w14:paraId="69801C5D"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2.2</w:t>
            </w:r>
          </w:p>
        </w:tc>
        <w:tc>
          <w:tcPr>
            <w:tcW w:w="2835" w:type="dxa"/>
            <w:hideMark/>
          </w:tcPr>
          <w:p w14:paraId="72CD07C1"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3.09</w:t>
            </w:r>
          </w:p>
        </w:tc>
      </w:tr>
      <w:tr w:rsidR="00C86E86" w:rsidRPr="001424A3" w14:paraId="6FF6CB53" w14:textId="77777777" w:rsidTr="00C86E86">
        <w:trPr>
          <w:trHeight w:val="225"/>
        </w:trPr>
        <w:tc>
          <w:tcPr>
            <w:tcW w:w="2227" w:type="dxa"/>
            <w:hideMark/>
          </w:tcPr>
          <w:p w14:paraId="6B08A109" w14:textId="77777777" w:rsidR="00C86E86" w:rsidRPr="001424A3" w:rsidRDefault="00C86E86" w:rsidP="000E478B">
            <w:pPr>
              <w:autoSpaceDE w:val="0"/>
              <w:autoSpaceDN w:val="0"/>
              <w:adjustRightInd w:val="0"/>
              <w:spacing w:line="480" w:lineRule="auto"/>
              <w:jc w:val="center"/>
              <w:rPr>
                <w:rFonts w:ascii="Times New Roman" w:hAnsi="Times New Roman" w:cs="Times New Roman"/>
                <w:b/>
                <w:bCs/>
                <w:color w:val="000000"/>
                <w:sz w:val="24"/>
                <w:szCs w:val="24"/>
              </w:rPr>
            </w:pPr>
            <w:r w:rsidRPr="001424A3">
              <w:rPr>
                <w:rFonts w:ascii="Times New Roman" w:hAnsi="Times New Roman" w:cs="Times New Roman"/>
                <w:color w:val="000000"/>
                <w:sz w:val="24"/>
                <w:szCs w:val="24"/>
              </w:rPr>
              <w:t>K</w:t>
            </w:r>
          </w:p>
        </w:tc>
        <w:tc>
          <w:tcPr>
            <w:tcW w:w="1103" w:type="dxa"/>
            <w:hideMark/>
          </w:tcPr>
          <w:p w14:paraId="4516D8CB" w14:textId="77777777" w:rsidR="00C86E86" w:rsidRPr="001424A3" w:rsidRDefault="00C86E86" w:rsidP="000E478B">
            <w:pPr>
              <w:autoSpaceDE w:val="0"/>
              <w:autoSpaceDN w:val="0"/>
              <w:adjustRightInd w:val="0"/>
              <w:spacing w:line="480" w:lineRule="auto"/>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4</w:t>
            </w:r>
          </w:p>
        </w:tc>
        <w:tc>
          <w:tcPr>
            <w:tcW w:w="1768" w:type="dxa"/>
            <w:hideMark/>
          </w:tcPr>
          <w:p w14:paraId="1887CDC6"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5%</w:t>
            </w:r>
          </w:p>
        </w:tc>
        <w:tc>
          <w:tcPr>
            <w:tcW w:w="1560" w:type="dxa"/>
            <w:hideMark/>
          </w:tcPr>
          <w:p w14:paraId="2CEDD93B"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2.56</w:t>
            </w:r>
          </w:p>
        </w:tc>
        <w:tc>
          <w:tcPr>
            <w:tcW w:w="2835" w:type="dxa"/>
            <w:hideMark/>
          </w:tcPr>
          <w:p w14:paraId="3BB37E08"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3.49</w:t>
            </w:r>
          </w:p>
        </w:tc>
      </w:tr>
      <w:tr w:rsidR="00C86E86" w:rsidRPr="001424A3" w14:paraId="44FE54FA" w14:textId="77777777" w:rsidTr="00C86E86">
        <w:trPr>
          <w:trHeight w:val="225"/>
        </w:trPr>
        <w:tc>
          <w:tcPr>
            <w:tcW w:w="2227" w:type="dxa"/>
          </w:tcPr>
          <w:p w14:paraId="69E327DC" w14:textId="77777777" w:rsidR="00C86E86" w:rsidRPr="001424A3" w:rsidRDefault="00C86E86" w:rsidP="000E478B">
            <w:pPr>
              <w:autoSpaceDE w:val="0"/>
              <w:autoSpaceDN w:val="0"/>
              <w:adjustRightInd w:val="0"/>
              <w:spacing w:line="480" w:lineRule="auto"/>
              <w:jc w:val="center"/>
              <w:rPr>
                <w:rFonts w:ascii="Times New Roman" w:hAnsi="Times New Roman" w:cs="Times New Roman"/>
                <w:b/>
                <w:bCs/>
                <w:color w:val="000000"/>
                <w:sz w:val="24"/>
                <w:szCs w:val="24"/>
              </w:rPr>
            </w:pPr>
          </w:p>
        </w:tc>
        <w:tc>
          <w:tcPr>
            <w:tcW w:w="1103" w:type="dxa"/>
          </w:tcPr>
          <w:p w14:paraId="4A7D14BD" w14:textId="77777777" w:rsidR="00C86E86" w:rsidRPr="001424A3" w:rsidRDefault="00C86E86" w:rsidP="000E478B">
            <w:pPr>
              <w:autoSpaceDE w:val="0"/>
              <w:autoSpaceDN w:val="0"/>
              <w:adjustRightInd w:val="0"/>
              <w:spacing w:line="480" w:lineRule="auto"/>
              <w:jc w:val="center"/>
              <w:rPr>
                <w:rFonts w:ascii="Times New Roman" w:hAnsi="Times New Roman" w:cs="Times New Roman"/>
                <w:color w:val="000000"/>
                <w:sz w:val="24"/>
                <w:szCs w:val="24"/>
              </w:rPr>
            </w:pPr>
          </w:p>
        </w:tc>
        <w:tc>
          <w:tcPr>
            <w:tcW w:w="1768" w:type="dxa"/>
            <w:hideMark/>
          </w:tcPr>
          <w:p w14:paraId="3B916D21"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2.5%</w:t>
            </w:r>
          </w:p>
        </w:tc>
        <w:tc>
          <w:tcPr>
            <w:tcW w:w="1560" w:type="dxa"/>
            <w:hideMark/>
          </w:tcPr>
          <w:p w14:paraId="551455FE"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2.88</w:t>
            </w:r>
          </w:p>
        </w:tc>
        <w:tc>
          <w:tcPr>
            <w:tcW w:w="2835" w:type="dxa"/>
            <w:hideMark/>
          </w:tcPr>
          <w:p w14:paraId="0833C44C"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3.87</w:t>
            </w:r>
          </w:p>
        </w:tc>
      </w:tr>
      <w:tr w:rsidR="00C86E86" w:rsidRPr="001424A3" w14:paraId="0A17A1FD" w14:textId="77777777" w:rsidTr="00C86E86">
        <w:trPr>
          <w:trHeight w:val="225"/>
        </w:trPr>
        <w:tc>
          <w:tcPr>
            <w:tcW w:w="2227" w:type="dxa"/>
          </w:tcPr>
          <w:p w14:paraId="6C0ECB97" w14:textId="77777777" w:rsidR="00C86E86" w:rsidRPr="001424A3" w:rsidRDefault="00C86E86" w:rsidP="000E478B">
            <w:pPr>
              <w:autoSpaceDE w:val="0"/>
              <w:autoSpaceDN w:val="0"/>
              <w:adjustRightInd w:val="0"/>
              <w:spacing w:line="480" w:lineRule="auto"/>
              <w:jc w:val="center"/>
              <w:rPr>
                <w:rFonts w:ascii="Times New Roman" w:hAnsi="Times New Roman" w:cs="Times New Roman"/>
                <w:b/>
                <w:bCs/>
                <w:color w:val="000000"/>
                <w:sz w:val="24"/>
                <w:szCs w:val="24"/>
              </w:rPr>
            </w:pPr>
          </w:p>
        </w:tc>
        <w:tc>
          <w:tcPr>
            <w:tcW w:w="1103" w:type="dxa"/>
          </w:tcPr>
          <w:p w14:paraId="0EA558B8" w14:textId="77777777" w:rsidR="00C86E86" w:rsidRPr="001424A3" w:rsidRDefault="00C86E86" w:rsidP="000E478B">
            <w:pPr>
              <w:autoSpaceDE w:val="0"/>
              <w:autoSpaceDN w:val="0"/>
              <w:adjustRightInd w:val="0"/>
              <w:spacing w:line="480" w:lineRule="auto"/>
              <w:jc w:val="center"/>
              <w:rPr>
                <w:rFonts w:ascii="Times New Roman" w:hAnsi="Times New Roman" w:cs="Times New Roman"/>
                <w:color w:val="000000"/>
                <w:sz w:val="24"/>
                <w:szCs w:val="24"/>
              </w:rPr>
            </w:pPr>
          </w:p>
        </w:tc>
        <w:tc>
          <w:tcPr>
            <w:tcW w:w="1768" w:type="dxa"/>
            <w:hideMark/>
          </w:tcPr>
          <w:p w14:paraId="78493DDE"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1%</w:t>
            </w:r>
          </w:p>
        </w:tc>
        <w:tc>
          <w:tcPr>
            <w:tcW w:w="1560" w:type="dxa"/>
            <w:hideMark/>
          </w:tcPr>
          <w:p w14:paraId="2CD7623D"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3.29</w:t>
            </w:r>
          </w:p>
        </w:tc>
        <w:tc>
          <w:tcPr>
            <w:tcW w:w="2835" w:type="dxa"/>
            <w:hideMark/>
          </w:tcPr>
          <w:p w14:paraId="5DE089E9" w14:textId="77777777" w:rsidR="00C86E86" w:rsidRPr="001424A3" w:rsidRDefault="00C86E86" w:rsidP="000E478B">
            <w:pPr>
              <w:autoSpaceDE w:val="0"/>
              <w:autoSpaceDN w:val="0"/>
              <w:adjustRightInd w:val="0"/>
              <w:spacing w:line="480" w:lineRule="auto"/>
              <w:ind w:right="10"/>
              <w:jc w:val="center"/>
              <w:rPr>
                <w:rFonts w:ascii="Times New Roman" w:hAnsi="Times New Roman" w:cs="Times New Roman"/>
                <w:color w:val="000000"/>
                <w:sz w:val="24"/>
                <w:szCs w:val="24"/>
              </w:rPr>
            </w:pPr>
            <w:r w:rsidRPr="001424A3">
              <w:rPr>
                <w:rFonts w:ascii="Times New Roman" w:hAnsi="Times New Roman" w:cs="Times New Roman"/>
                <w:color w:val="000000"/>
                <w:sz w:val="24"/>
                <w:szCs w:val="24"/>
              </w:rPr>
              <w:t>4.37</w:t>
            </w:r>
          </w:p>
        </w:tc>
      </w:tr>
    </w:tbl>
    <w:p w14:paraId="47AE216E" w14:textId="77777777" w:rsidR="00C86E86" w:rsidRDefault="00C86E86" w:rsidP="00C86E8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Source: E-views Software 12</w:t>
      </w:r>
    </w:p>
    <w:p w14:paraId="7E454D7A" w14:textId="375DD059" w:rsidR="00C86E86" w:rsidRDefault="00C86E86" w:rsidP="00C86E86">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bCs/>
          <w:sz w:val="24"/>
          <w:szCs w:val="24"/>
        </w:rPr>
        <w:t xml:space="preserve">The result shows that the computed F- statistics (3.682) is greater than the upper bound critical value (3.49) at the 5% significance level. This necessitates the rejection of the null hypothesis of no long-run relationships among the variables at the 5% significance level. Hence, service sector value added has a long run relationship with the energy use indicators. This finding equally aligns with the result of </w:t>
      </w:r>
      <w:r>
        <w:rPr>
          <w:rFonts w:ascii="Times New Roman" w:hAnsi="Times New Roman" w:cs="Times New Roman"/>
          <w:color w:val="222222"/>
          <w:sz w:val="24"/>
          <w:szCs w:val="24"/>
          <w:shd w:val="clear" w:color="auto" w:fill="FFFFFF"/>
        </w:rPr>
        <w:t>Samuel</w:t>
      </w:r>
      <w:r w:rsidR="00711008">
        <w:rPr>
          <w:rFonts w:ascii="Times New Roman" w:hAnsi="Times New Roman" w:cs="Times New Roman"/>
          <w:color w:val="222222"/>
          <w:sz w:val="24"/>
          <w:szCs w:val="24"/>
          <w:shd w:val="clear" w:color="auto" w:fill="FFFFFF"/>
          <w:lang w:val="en-GB"/>
        </w:rPr>
        <w:t xml:space="preserve"> </w:t>
      </w:r>
      <w:r w:rsidR="00711008">
        <w:rPr>
          <w:rFonts w:ascii="Times New Roman" w:hAnsi="Times New Roman" w:cs="Times New Roman"/>
          <w:i/>
          <w:iCs/>
          <w:color w:val="222222"/>
          <w:sz w:val="24"/>
          <w:szCs w:val="24"/>
          <w:shd w:val="clear" w:color="auto" w:fill="FFFFFF"/>
          <w:lang w:val="en-GB"/>
        </w:rPr>
        <w:t xml:space="preserve">et al. </w:t>
      </w:r>
      <w:r>
        <w:rPr>
          <w:rFonts w:ascii="Times New Roman" w:hAnsi="Times New Roman" w:cs="Times New Roman"/>
          <w:color w:val="222222"/>
          <w:sz w:val="24"/>
          <w:szCs w:val="24"/>
          <w:shd w:val="clear" w:color="auto" w:fill="FFFFFF"/>
        </w:rPr>
        <w:t xml:space="preserve">(2021) and Alam, (2015) who found evidence to justify the claim that there is a </w:t>
      </w:r>
      <w:r w:rsidR="00295054">
        <w:rPr>
          <w:rFonts w:ascii="Times New Roman" w:hAnsi="Times New Roman" w:cs="Times New Roman"/>
          <w:color w:val="222222"/>
          <w:sz w:val="24"/>
          <w:szCs w:val="24"/>
          <w:shd w:val="clear" w:color="auto" w:fill="FFFFFF"/>
        </w:rPr>
        <w:t>long-run</w:t>
      </w:r>
      <w:r>
        <w:rPr>
          <w:rFonts w:ascii="Times New Roman" w:hAnsi="Times New Roman" w:cs="Times New Roman"/>
          <w:color w:val="222222"/>
          <w:sz w:val="24"/>
          <w:szCs w:val="24"/>
          <w:shd w:val="clear" w:color="auto" w:fill="FFFFFF"/>
        </w:rPr>
        <w:t xml:space="preserve"> relationship between the service sector and energy use in developing economies.</w:t>
      </w:r>
    </w:p>
    <w:p w14:paraId="103042C2" w14:textId="77777777" w:rsidR="007723D0" w:rsidRDefault="007723D0" w:rsidP="00C86E86">
      <w:pPr>
        <w:spacing w:line="480" w:lineRule="auto"/>
        <w:jc w:val="both"/>
        <w:rPr>
          <w:rFonts w:ascii="Times New Roman" w:hAnsi="Times New Roman" w:cs="Times New Roman"/>
          <w:color w:val="222222"/>
          <w:sz w:val="24"/>
          <w:szCs w:val="24"/>
          <w:shd w:val="clear" w:color="auto" w:fill="FFFFFF"/>
        </w:rPr>
      </w:pPr>
    </w:p>
    <w:p w14:paraId="157ED7F5" w14:textId="6A2C65DD" w:rsidR="007723D0" w:rsidRDefault="007723D0" w:rsidP="00C86E86">
      <w:pPr>
        <w:spacing w:line="480" w:lineRule="auto"/>
        <w:jc w:val="both"/>
        <w:rPr>
          <w:rFonts w:ascii="Times New Roman" w:hAnsi="Times New Roman" w:cs="Times New Roman"/>
          <w:b/>
          <w:bCs/>
          <w:color w:val="222222"/>
          <w:sz w:val="24"/>
          <w:szCs w:val="24"/>
          <w:shd w:val="clear" w:color="auto" w:fill="FFFFFF"/>
          <w:lang w:val="en-GB"/>
        </w:rPr>
      </w:pPr>
      <w:r>
        <w:rPr>
          <w:rFonts w:ascii="Times New Roman" w:hAnsi="Times New Roman" w:cs="Times New Roman"/>
          <w:b/>
          <w:bCs/>
          <w:color w:val="222222"/>
          <w:sz w:val="24"/>
          <w:szCs w:val="24"/>
          <w:shd w:val="clear" w:color="auto" w:fill="FFFFFF"/>
          <w:lang w:val="en-GB"/>
        </w:rPr>
        <w:lastRenderedPageBreak/>
        <w:t>4.1 Model Estimation</w:t>
      </w:r>
    </w:p>
    <w:p w14:paraId="26654A8B" w14:textId="77777777" w:rsidR="00273A33" w:rsidRDefault="00273A33" w:rsidP="00273A33">
      <w:pPr>
        <w:spacing w:line="240" w:lineRule="auto"/>
        <w:jc w:val="both"/>
        <w:rPr>
          <w:rFonts w:ascii="Times New Roman" w:hAnsi="Times New Roman" w:cs="Times New Roman"/>
          <w:b/>
        </w:rPr>
      </w:pPr>
      <w:r>
        <w:rPr>
          <w:rFonts w:ascii="Times New Roman" w:hAnsi="Times New Roman" w:cs="Times New Roman"/>
          <w:b/>
        </w:rPr>
        <w:t>Model Estimation</w:t>
      </w:r>
    </w:p>
    <w:p w14:paraId="4C881C38" w14:textId="658847BF" w:rsidR="007723D0" w:rsidRDefault="00273A33" w:rsidP="00273A33">
      <w:pPr>
        <w:spacing w:line="480" w:lineRule="auto"/>
        <w:jc w:val="both"/>
        <w:rPr>
          <w:rFonts w:ascii="Times New Roman" w:hAnsi="Times New Roman" w:cs="Times New Roman"/>
          <w:bCs/>
          <w:lang w:val="en-GB"/>
        </w:rPr>
      </w:pPr>
      <w:r>
        <w:rPr>
          <w:rFonts w:ascii="Times New Roman" w:hAnsi="Times New Roman" w:cs="Times New Roman"/>
          <w:bCs/>
        </w:rPr>
        <w:t xml:space="preserve">The least squares method was employed to estimate the ARDL models. The results are presented in Table </w:t>
      </w:r>
      <w:r w:rsidR="00201379">
        <w:rPr>
          <w:rFonts w:ascii="Times New Roman" w:hAnsi="Times New Roman" w:cs="Times New Roman"/>
          <w:bCs/>
          <w:lang w:val="en-GB"/>
        </w:rPr>
        <w:t>3.</w:t>
      </w:r>
    </w:p>
    <w:p w14:paraId="7F600249" w14:textId="5BA51CDF" w:rsidR="009F42F9" w:rsidRPr="004265B4" w:rsidRDefault="004265B4" w:rsidP="009F42F9">
      <w:pPr>
        <w:spacing w:line="240" w:lineRule="auto"/>
        <w:jc w:val="both"/>
        <w:rPr>
          <w:rFonts w:ascii="Times New Roman" w:hAnsi="Times New Roman" w:cs="Times New Roman"/>
          <w:b/>
          <w:lang w:val="en-GB"/>
        </w:rPr>
      </w:pPr>
      <w:r>
        <w:rPr>
          <w:rFonts w:ascii="Times New Roman" w:hAnsi="Times New Roman" w:cs="Times New Roman"/>
          <w:b/>
          <w:lang w:val="en-GB"/>
        </w:rPr>
        <w:t>Table 3: Summary of A</w:t>
      </w:r>
      <w:r w:rsidR="009F42F9">
        <w:rPr>
          <w:rFonts w:ascii="Times New Roman" w:hAnsi="Times New Roman" w:cs="Times New Roman"/>
          <w:b/>
        </w:rPr>
        <w:t>RDL results</w:t>
      </w:r>
    </w:p>
    <w:tbl>
      <w:tblPr>
        <w:tblStyle w:val="TableGrid"/>
        <w:tblW w:w="9540" w:type="dxa"/>
        <w:tblLayout w:type="fixed"/>
        <w:tblLook w:val="04A0" w:firstRow="1" w:lastRow="0" w:firstColumn="1" w:lastColumn="0" w:noHBand="0" w:noVBand="1"/>
      </w:tblPr>
      <w:tblGrid>
        <w:gridCol w:w="2226"/>
        <w:gridCol w:w="2021"/>
        <w:gridCol w:w="1984"/>
        <w:gridCol w:w="1985"/>
        <w:gridCol w:w="1324"/>
      </w:tblGrid>
      <w:tr w:rsidR="009F42F9" w:rsidRPr="006F4041" w14:paraId="1F927621" w14:textId="77777777" w:rsidTr="00B45437">
        <w:trPr>
          <w:trHeight w:val="225"/>
        </w:trPr>
        <w:tc>
          <w:tcPr>
            <w:tcW w:w="6231" w:type="dxa"/>
            <w:gridSpan w:val="3"/>
            <w:hideMark/>
          </w:tcPr>
          <w:p w14:paraId="2144A5EE" w14:textId="77777777" w:rsidR="009F42F9" w:rsidRPr="006F4041" w:rsidRDefault="009F42F9" w:rsidP="000E478B">
            <w:pPr>
              <w:autoSpaceDE w:val="0"/>
              <w:autoSpaceDN w:val="0"/>
              <w:adjustRightInd w:val="0"/>
              <w:spacing w:line="360" w:lineRule="auto"/>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Dependent Variable: SSV</w:t>
            </w:r>
          </w:p>
        </w:tc>
        <w:tc>
          <w:tcPr>
            <w:tcW w:w="1985" w:type="dxa"/>
          </w:tcPr>
          <w:p w14:paraId="619E553B"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p>
        </w:tc>
        <w:tc>
          <w:tcPr>
            <w:tcW w:w="1324" w:type="dxa"/>
          </w:tcPr>
          <w:p w14:paraId="12389400"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p>
        </w:tc>
      </w:tr>
      <w:tr w:rsidR="009F42F9" w:rsidRPr="006F4041" w14:paraId="57913D55" w14:textId="77777777" w:rsidTr="00B45437">
        <w:trPr>
          <w:trHeight w:val="225"/>
        </w:trPr>
        <w:tc>
          <w:tcPr>
            <w:tcW w:w="8216" w:type="dxa"/>
            <w:gridSpan w:val="4"/>
            <w:hideMark/>
          </w:tcPr>
          <w:p w14:paraId="50CA9752" w14:textId="77777777" w:rsidR="009F42F9" w:rsidRPr="006F4041" w:rsidRDefault="009F42F9" w:rsidP="000E478B">
            <w:pPr>
              <w:autoSpaceDE w:val="0"/>
              <w:autoSpaceDN w:val="0"/>
              <w:adjustRightInd w:val="0"/>
              <w:spacing w:line="360" w:lineRule="auto"/>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Selected Model: ARDL(1, 1, 0, 1, 1)</w:t>
            </w:r>
          </w:p>
        </w:tc>
        <w:tc>
          <w:tcPr>
            <w:tcW w:w="1324" w:type="dxa"/>
          </w:tcPr>
          <w:p w14:paraId="071BFBA2" w14:textId="77777777" w:rsidR="009F42F9" w:rsidRPr="006F4041" w:rsidRDefault="009F42F9" w:rsidP="000E478B">
            <w:pPr>
              <w:autoSpaceDE w:val="0"/>
              <w:autoSpaceDN w:val="0"/>
              <w:adjustRightInd w:val="0"/>
              <w:spacing w:line="360" w:lineRule="auto"/>
              <w:jc w:val="center"/>
              <w:rPr>
                <w:rFonts w:ascii="Times New Roman" w:hAnsi="Times New Roman" w:cs="Times New Roman"/>
                <w:color w:val="000000"/>
                <w:sz w:val="24"/>
                <w:szCs w:val="24"/>
              </w:rPr>
            </w:pPr>
          </w:p>
        </w:tc>
      </w:tr>
      <w:tr w:rsidR="009F42F9" w:rsidRPr="006F4041" w14:paraId="3F6D74A2" w14:textId="77777777" w:rsidTr="00B45437">
        <w:trPr>
          <w:trHeight w:val="225"/>
        </w:trPr>
        <w:tc>
          <w:tcPr>
            <w:tcW w:w="9540" w:type="dxa"/>
            <w:gridSpan w:val="5"/>
            <w:hideMark/>
          </w:tcPr>
          <w:p w14:paraId="79EACAA7"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Short run results</w:t>
            </w:r>
          </w:p>
        </w:tc>
      </w:tr>
      <w:tr w:rsidR="009F42F9" w:rsidRPr="006F4041" w14:paraId="6E4C4E58" w14:textId="77777777" w:rsidTr="00B45437">
        <w:trPr>
          <w:trHeight w:val="225"/>
        </w:trPr>
        <w:tc>
          <w:tcPr>
            <w:tcW w:w="2226" w:type="dxa"/>
            <w:hideMark/>
          </w:tcPr>
          <w:p w14:paraId="65205061"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Variable</w:t>
            </w:r>
          </w:p>
        </w:tc>
        <w:tc>
          <w:tcPr>
            <w:tcW w:w="2021" w:type="dxa"/>
            <w:hideMark/>
          </w:tcPr>
          <w:p w14:paraId="23B877CD"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Coefficient</w:t>
            </w:r>
          </w:p>
        </w:tc>
        <w:tc>
          <w:tcPr>
            <w:tcW w:w="1984" w:type="dxa"/>
            <w:hideMark/>
          </w:tcPr>
          <w:p w14:paraId="76D8AFC9"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Std. Error</w:t>
            </w:r>
          </w:p>
        </w:tc>
        <w:tc>
          <w:tcPr>
            <w:tcW w:w="1985" w:type="dxa"/>
            <w:hideMark/>
          </w:tcPr>
          <w:p w14:paraId="71DCBAB0"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t-Statistic</w:t>
            </w:r>
          </w:p>
        </w:tc>
        <w:tc>
          <w:tcPr>
            <w:tcW w:w="1324" w:type="dxa"/>
            <w:hideMark/>
          </w:tcPr>
          <w:p w14:paraId="3BF2D7C4"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Prob.</w:t>
            </w:r>
          </w:p>
        </w:tc>
      </w:tr>
      <w:tr w:rsidR="009F42F9" w:rsidRPr="006F4041" w14:paraId="1B321B33" w14:textId="77777777" w:rsidTr="00B45437">
        <w:trPr>
          <w:trHeight w:val="225"/>
        </w:trPr>
        <w:tc>
          <w:tcPr>
            <w:tcW w:w="2226" w:type="dxa"/>
            <w:hideMark/>
          </w:tcPr>
          <w:p w14:paraId="00668580"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D(FEU)</w:t>
            </w:r>
          </w:p>
        </w:tc>
        <w:tc>
          <w:tcPr>
            <w:tcW w:w="2021" w:type="dxa"/>
            <w:hideMark/>
          </w:tcPr>
          <w:p w14:paraId="781C38F8"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1.7688***</w:t>
            </w:r>
          </w:p>
        </w:tc>
        <w:tc>
          <w:tcPr>
            <w:tcW w:w="1984" w:type="dxa"/>
            <w:hideMark/>
          </w:tcPr>
          <w:p w14:paraId="6DC2682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0.708098</w:t>
            </w:r>
          </w:p>
        </w:tc>
        <w:tc>
          <w:tcPr>
            <w:tcW w:w="1985" w:type="dxa"/>
            <w:hideMark/>
          </w:tcPr>
          <w:p w14:paraId="56224ACD"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2.498074</w:t>
            </w:r>
          </w:p>
        </w:tc>
        <w:tc>
          <w:tcPr>
            <w:tcW w:w="1324" w:type="dxa"/>
            <w:hideMark/>
          </w:tcPr>
          <w:p w14:paraId="7C9C81F2"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0.0197</w:t>
            </w:r>
          </w:p>
        </w:tc>
      </w:tr>
      <w:tr w:rsidR="009F42F9" w:rsidRPr="006F4041" w14:paraId="24AE626C" w14:textId="77777777" w:rsidTr="00B45437">
        <w:trPr>
          <w:trHeight w:val="225"/>
        </w:trPr>
        <w:tc>
          <w:tcPr>
            <w:tcW w:w="2226" w:type="dxa"/>
            <w:hideMark/>
          </w:tcPr>
          <w:p w14:paraId="6C4A37C9"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D(REU)</w:t>
            </w:r>
          </w:p>
        </w:tc>
        <w:tc>
          <w:tcPr>
            <w:tcW w:w="2021" w:type="dxa"/>
            <w:hideMark/>
          </w:tcPr>
          <w:p w14:paraId="764B0610"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1.8708***</w:t>
            </w:r>
          </w:p>
        </w:tc>
        <w:tc>
          <w:tcPr>
            <w:tcW w:w="1984" w:type="dxa"/>
            <w:hideMark/>
          </w:tcPr>
          <w:p w14:paraId="37349151"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0.585739</w:t>
            </w:r>
          </w:p>
        </w:tc>
        <w:tc>
          <w:tcPr>
            <w:tcW w:w="1985" w:type="dxa"/>
            <w:hideMark/>
          </w:tcPr>
          <w:p w14:paraId="76B7B3DA"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3.193978</w:t>
            </w:r>
          </w:p>
        </w:tc>
        <w:tc>
          <w:tcPr>
            <w:tcW w:w="1324" w:type="dxa"/>
            <w:hideMark/>
          </w:tcPr>
          <w:p w14:paraId="007BB3D3"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0.0039</w:t>
            </w:r>
          </w:p>
        </w:tc>
      </w:tr>
      <w:tr w:rsidR="009F42F9" w:rsidRPr="006F4041" w14:paraId="5C8DEADD" w14:textId="77777777" w:rsidTr="00B45437">
        <w:trPr>
          <w:trHeight w:val="225"/>
        </w:trPr>
        <w:tc>
          <w:tcPr>
            <w:tcW w:w="2226" w:type="dxa"/>
            <w:hideMark/>
          </w:tcPr>
          <w:p w14:paraId="510288A0"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D(AEU)</w:t>
            </w:r>
          </w:p>
        </w:tc>
        <w:tc>
          <w:tcPr>
            <w:tcW w:w="2021" w:type="dxa"/>
            <w:hideMark/>
          </w:tcPr>
          <w:p w14:paraId="69403ABA"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-46.5229***</w:t>
            </w:r>
          </w:p>
        </w:tc>
        <w:tc>
          <w:tcPr>
            <w:tcW w:w="1984" w:type="dxa"/>
            <w:hideMark/>
          </w:tcPr>
          <w:p w14:paraId="6019D692"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14.057853</w:t>
            </w:r>
          </w:p>
        </w:tc>
        <w:tc>
          <w:tcPr>
            <w:tcW w:w="1985" w:type="dxa"/>
            <w:hideMark/>
          </w:tcPr>
          <w:p w14:paraId="5A49998C"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-3.309390</w:t>
            </w:r>
          </w:p>
        </w:tc>
        <w:tc>
          <w:tcPr>
            <w:tcW w:w="1324" w:type="dxa"/>
            <w:hideMark/>
          </w:tcPr>
          <w:p w14:paraId="54946906"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0.0029</w:t>
            </w:r>
          </w:p>
        </w:tc>
      </w:tr>
      <w:tr w:rsidR="009F42F9" w:rsidRPr="006F4041" w14:paraId="77AE102A" w14:textId="77777777" w:rsidTr="00B45437">
        <w:trPr>
          <w:trHeight w:val="225"/>
        </w:trPr>
        <w:tc>
          <w:tcPr>
            <w:tcW w:w="2226" w:type="dxa"/>
            <w:hideMark/>
          </w:tcPr>
          <w:p w14:paraId="4B77F867"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D(TOU)</w:t>
            </w:r>
          </w:p>
        </w:tc>
        <w:tc>
          <w:tcPr>
            <w:tcW w:w="2021" w:type="dxa"/>
            <w:hideMark/>
          </w:tcPr>
          <w:p w14:paraId="5481524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0.24446</w:t>
            </w:r>
          </w:p>
        </w:tc>
        <w:tc>
          <w:tcPr>
            <w:tcW w:w="1984" w:type="dxa"/>
            <w:hideMark/>
          </w:tcPr>
          <w:p w14:paraId="003E0C8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0.177540</w:t>
            </w:r>
          </w:p>
        </w:tc>
        <w:tc>
          <w:tcPr>
            <w:tcW w:w="1985" w:type="dxa"/>
            <w:hideMark/>
          </w:tcPr>
          <w:p w14:paraId="6772E98F"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1.376964</w:t>
            </w:r>
          </w:p>
        </w:tc>
        <w:tc>
          <w:tcPr>
            <w:tcW w:w="1324" w:type="dxa"/>
            <w:hideMark/>
          </w:tcPr>
          <w:p w14:paraId="3E770956"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0.1812</w:t>
            </w:r>
          </w:p>
        </w:tc>
      </w:tr>
      <w:tr w:rsidR="009F42F9" w:rsidRPr="006F4041" w14:paraId="02366847" w14:textId="77777777" w:rsidTr="00B45437">
        <w:trPr>
          <w:trHeight w:val="225"/>
        </w:trPr>
        <w:tc>
          <w:tcPr>
            <w:tcW w:w="2226" w:type="dxa"/>
            <w:hideMark/>
          </w:tcPr>
          <w:p w14:paraId="6BAF18FC"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CointEq(-1)</w:t>
            </w:r>
          </w:p>
        </w:tc>
        <w:tc>
          <w:tcPr>
            <w:tcW w:w="2021" w:type="dxa"/>
            <w:hideMark/>
          </w:tcPr>
          <w:p w14:paraId="375E73F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-0.26429**</w:t>
            </w:r>
          </w:p>
        </w:tc>
        <w:tc>
          <w:tcPr>
            <w:tcW w:w="1984" w:type="dxa"/>
            <w:hideMark/>
          </w:tcPr>
          <w:p w14:paraId="3D9353F2"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0.109832</w:t>
            </w:r>
          </w:p>
        </w:tc>
        <w:tc>
          <w:tcPr>
            <w:tcW w:w="1985" w:type="dxa"/>
            <w:hideMark/>
          </w:tcPr>
          <w:p w14:paraId="580851DD"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-2.406332</w:t>
            </w:r>
          </w:p>
        </w:tc>
        <w:tc>
          <w:tcPr>
            <w:tcW w:w="1324" w:type="dxa"/>
            <w:hideMark/>
          </w:tcPr>
          <w:p w14:paraId="52397B27"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0.0242</w:t>
            </w:r>
          </w:p>
        </w:tc>
      </w:tr>
      <w:tr w:rsidR="009F42F9" w:rsidRPr="006F4041" w14:paraId="6B5150D7" w14:textId="77777777" w:rsidTr="00B45437">
        <w:trPr>
          <w:trHeight w:val="225"/>
        </w:trPr>
        <w:tc>
          <w:tcPr>
            <w:tcW w:w="9540" w:type="dxa"/>
            <w:gridSpan w:val="5"/>
            <w:hideMark/>
          </w:tcPr>
          <w:p w14:paraId="7C4B2EDA"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Long run results</w:t>
            </w:r>
          </w:p>
        </w:tc>
      </w:tr>
      <w:tr w:rsidR="009F42F9" w:rsidRPr="006F4041" w14:paraId="08A5DFA1" w14:textId="77777777" w:rsidTr="00B45437">
        <w:trPr>
          <w:trHeight w:val="225"/>
        </w:trPr>
        <w:tc>
          <w:tcPr>
            <w:tcW w:w="2226" w:type="dxa"/>
            <w:hideMark/>
          </w:tcPr>
          <w:p w14:paraId="29972B63"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Variable</w:t>
            </w:r>
          </w:p>
        </w:tc>
        <w:tc>
          <w:tcPr>
            <w:tcW w:w="2021" w:type="dxa"/>
            <w:hideMark/>
          </w:tcPr>
          <w:p w14:paraId="2768425E"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Coefficient</w:t>
            </w:r>
          </w:p>
        </w:tc>
        <w:tc>
          <w:tcPr>
            <w:tcW w:w="1984" w:type="dxa"/>
            <w:hideMark/>
          </w:tcPr>
          <w:p w14:paraId="65C6DBF9"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Std. Error</w:t>
            </w:r>
          </w:p>
        </w:tc>
        <w:tc>
          <w:tcPr>
            <w:tcW w:w="1985" w:type="dxa"/>
            <w:hideMark/>
          </w:tcPr>
          <w:p w14:paraId="18F1D8C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t-Statistic</w:t>
            </w:r>
          </w:p>
        </w:tc>
        <w:tc>
          <w:tcPr>
            <w:tcW w:w="1324" w:type="dxa"/>
            <w:hideMark/>
          </w:tcPr>
          <w:p w14:paraId="1115B3F8"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Prob.</w:t>
            </w:r>
          </w:p>
        </w:tc>
      </w:tr>
      <w:tr w:rsidR="009F42F9" w:rsidRPr="006F4041" w14:paraId="2A40502E" w14:textId="77777777" w:rsidTr="00B45437">
        <w:trPr>
          <w:trHeight w:val="225"/>
        </w:trPr>
        <w:tc>
          <w:tcPr>
            <w:tcW w:w="2226" w:type="dxa"/>
            <w:hideMark/>
          </w:tcPr>
          <w:p w14:paraId="5E80CF3F"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FEU</w:t>
            </w:r>
          </w:p>
        </w:tc>
        <w:tc>
          <w:tcPr>
            <w:tcW w:w="2021" w:type="dxa"/>
            <w:hideMark/>
          </w:tcPr>
          <w:p w14:paraId="0E9B80BA"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11.0262**</w:t>
            </w:r>
          </w:p>
        </w:tc>
        <w:tc>
          <w:tcPr>
            <w:tcW w:w="1984" w:type="dxa"/>
            <w:hideMark/>
          </w:tcPr>
          <w:p w14:paraId="7EA61511"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4.976909</w:t>
            </w:r>
          </w:p>
        </w:tc>
        <w:tc>
          <w:tcPr>
            <w:tcW w:w="1985" w:type="dxa"/>
            <w:hideMark/>
          </w:tcPr>
          <w:p w14:paraId="4483218A"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2.215475</w:t>
            </w:r>
          </w:p>
        </w:tc>
        <w:tc>
          <w:tcPr>
            <w:tcW w:w="1324" w:type="dxa"/>
            <w:hideMark/>
          </w:tcPr>
          <w:p w14:paraId="75AA886A"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0.0365</w:t>
            </w:r>
          </w:p>
        </w:tc>
      </w:tr>
      <w:tr w:rsidR="009F42F9" w:rsidRPr="006F4041" w14:paraId="2F166A4E" w14:textId="77777777" w:rsidTr="00B45437">
        <w:trPr>
          <w:trHeight w:val="225"/>
        </w:trPr>
        <w:tc>
          <w:tcPr>
            <w:tcW w:w="2226" w:type="dxa"/>
            <w:hideMark/>
          </w:tcPr>
          <w:p w14:paraId="0050D05A"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REU</w:t>
            </w:r>
          </w:p>
        </w:tc>
        <w:tc>
          <w:tcPr>
            <w:tcW w:w="2021" w:type="dxa"/>
            <w:hideMark/>
          </w:tcPr>
          <w:p w14:paraId="3755C5CB"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7.07865**</w:t>
            </w:r>
          </w:p>
        </w:tc>
        <w:tc>
          <w:tcPr>
            <w:tcW w:w="1984" w:type="dxa"/>
            <w:hideMark/>
          </w:tcPr>
          <w:p w14:paraId="7091BFF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3.224294</w:t>
            </w:r>
          </w:p>
        </w:tc>
        <w:tc>
          <w:tcPr>
            <w:tcW w:w="1985" w:type="dxa"/>
            <w:hideMark/>
          </w:tcPr>
          <w:p w14:paraId="227DFF9C"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2.195411</w:t>
            </w:r>
          </w:p>
        </w:tc>
        <w:tc>
          <w:tcPr>
            <w:tcW w:w="1324" w:type="dxa"/>
            <w:hideMark/>
          </w:tcPr>
          <w:p w14:paraId="56C3C2D6"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0.0380</w:t>
            </w:r>
          </w:p>
        </w:tc>
      </w:tr>
      <w:tr w:rsidR="009F42F9" w:rsidRPr="006F4041" w14:paraId="44104D87" w14:textId="77777777" w:rsidTr="00B45437">
        <w:trPr>
          <w:trHeight w:val="225"/>
        </w:trPr>
        <w:tc>
          <w:tcPr>
            <w:tcW w:w="2226" w:type="dxa"/>
            <w:hideMark/>
          </w:tcPr>
          <w:p w14:paraId="09F8EEA8"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AEU</w:t>
            </w:r>
          </w:p>
        </w:tc>
        <w:tc>
          <w:tcPr>
            <w:tcW w:w="2021" w:type="dxa"/>
            <w:hideMark/>
          </w:tcPr>
          <w:p w14:paraId="2DE85EFA"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-269.4716**</w:t>
            </w:r>
          </w:p>
        </w:tc>
        <w:tc>
          <w:tcPr>
            <w:tcW w:w="1984" w:type="dxa"/>
            <w:hideMark/>
          </w:tcPr>
          <w:p w14:paraId="46905C49"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113.528061</w:t>
            </w:r>
          </w:p>
        </w:tc>
        <w:tc>
          <w:tcPr>
            <w:tcW w:w="1985" w:type="dxa"/>
            <w:hideMark/>
          </w:tcPr>
          <w:p w14:paraId="2B313097"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-2.373612</w:t>
            </w:r>
          </w:p>
        </w:tc>
        <w:tc>
          <w:tcPr>
            <w:tcW w:w="1324" w:type="dxa"/>
            <w:hideMark/>
          </w:tcPr>
          <w:p w14:paraId="1921E30E"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0.0260</w:t>
            </w:r>
          </w:p>
        </w:tc>
      </w:tr>
      <w:tr w:rsidR="009F42F9" w:rsidRPr="006F4041" w14:paraId="53E675DA" w14:textId="77777777" w:rsidTr="00B45437">
        <w:trPr>
          <w:trHeight w:val="225"/>
        </w:trPr>
        <w:tc>
          <w:tcPr>
            <w:tcW w:w="2226" w:type="dxa"/>
            <w:hideMark/>
          </w:tcPr>
          <w:p w14:paraId="407B0BC9"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TOU</w:t>
            </w:r>
          </w:p>
        </w:tc>
        <w:tc>
          <w:tcPr>
            <w:tcW w:w="2021" w:type="dxa"/>
            <w:hideMark/>
          </w:tcPr>
          <w:p w14:paraId="4B7FEC6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1.83162***</w:t>
            </w:r>
          </w:p>
        </w:tc>
        <w:tc>
          <w:tcPr>
            <w:tcW w:w="1984" w:type="dxa"/>
            <w:hideMark/>
          </w:tcPr>
          <w:p w14:paraId="059CB862"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0.700676</w:t>
            </w:r>
          </w:p>
        </w:tc>
        <w:tc>
          <w:tcPr>
            <w:tcW w:w="1985" w:type="dxa"/>
            <w:hideMark/>
          </w:tcPr>
          <w:p w14:paraId="685A4B56"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2.614079</w:t>
            </w:r>
          </w:p>
        </w:tc>
        <w:tc>
          <w:tcPr>
            <w:tcW w:w="1324" w:type="dxa"/>
            <w:hideMark/>
          </w:tcPr>
          <w:p w14:paraId="6B0903DF"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0.0152</w:t>
            </w:r>
          </w:p>
        </w:tc>
      </w:tr>
      <w:tr w:rsidR="009F42F9" w:rsidRPr="006F4041" w14:paraId="5E221BF1" w14:textId="77777777" w:rsidTr="00B45437">
        <w:trPr>
          <w:trHeight w:val="225"/>
        </w:trPr>
        <w:tc>
          <w:tcPr>
            <w:tcW w:w="2226" w:type="dxa"/>
            <w:hideMark/>
          </w:tcPr>
          <w:p w14:paraId="4B43FF24"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C</w:t>
            </w:r>
          </w:p>
        </w:tc>
        <w:tc>
          <w:tcPr>
            <w:tcW w:w="2021" w:type="dxa"/>
            <w:hideMark/>
          </w:tcPr>
          <w:p w14:paraId="0A9FE4D8"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-755.746**</w:t>
            </w:r>
          </w:p>
        </w:tc>
        <w:tc>
          <w:tcPr>
            <w:tcW w:w="1984" w:type="dxa"/>
            <w:hideMark/>
          </w:tcPr>
          <w:p w14:paraId="331AE100"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358.221917</w:t>
            </w:r>
          </w:p>
        </w:tc>
        <w:tc>
          <w:tcPr>
            <w:tcW w:w="1985" w:type="dxa"/>
            <w:hideMark/>
          </w:tcPr>
          <w:p w14:paraId="29368F20"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-2.109716</w:t>
            </w:r>
          </w:p>
        </w:tc>
        <w:tc>
          <w:tcPr>
            <w:tcW w:w="1324" w:type="dxa"/>
            <w:hideMark/>
          </w:tcPr>
          <w:p w14:paraId="2D1D7519"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0.0455</w:t>
            </w:r>
          </w:p>
        </w:tc>
      </w:tr>
      <w:tr w:rsidR="009F42F9" w:rsidRPr="006F4041" w14:paraId="172AC3B0" w14:textId="77777777" w:rsidTr="00B45437">
        <w:trPr>
          <w:trHeight w:val="225"/>
        </w:trPr>
        <w:tc>
          <w:tcPr>
            <w:tcW w:w="2226" w:type="dxa"/>
            <w:hideMark/>
          </w:tcPr>
          <w:p w14:paraId="5D96E0EA" w14:textId="77777777" w:rsidR="009F42F9" w:rsidRPr="006F4041" w:rsidRDefault="009F42F9" w:rsidP="000E478B">
            <w:pPr>
              <w:autoSpaceDE w:val="0"/>
              <w:autoSpaceDN w:val="0"/>
              <w:adjustRightInd w:val="0"/>
              <w:spacing w:line="360" w:lineRule="auto"/>
              <w:jc w:val="center"/>
              <w:rPr>
                <w:rFonts w:ascii="Times New Roman" w:hAnsi="Times New Roman" w:cs="Times New Roman"/>
                <w:b/>
                <w:bCs/>
                <w:color w:val="000000"/>
                <w:sz w:val="24"/>
                <w:szCs w:val="24"/>
              </w:rPr>
            </w:pPr>
            <w:r w:rsidRPr="006F4041">
              <w:rPr>
                <w:rFonts w:ascii="Times New Roman" w:hAnsi="Times New Roman" w:cs="Times New Roman"/>
                <w:color w:val="000000"/>
                <w:sz w:val="24"/>
                <w:szCs w:val="24"/>
              </w:rPr>
              <w:t>Adjusted R-squared</w:t>
            </w:r>
          </w:p>
        </w:tc>
        <w:tc>
          <w:tcPr>
            <w:tcW w:w="2021" w:type="dxa"/>
            <w:hideMark/>
          </w:tcPr>
          <w:p w14:paraId="003F4E39"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0.84962</w:t>
            </w:r>
          </w:p>
        </w:tc>
        <w:tc>
          <w:tcPr>
            <w:tcW w:w="1984" w:type="dxa"/>
          </w:tcPr>
          <w:p w14:paraId="17A892B0"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p>
        </w:tc>
        <w:tc>
          <w:tcPr>
            <w:tcW w:w="1985" w:type="dxa"/>
            <w:hideMark/>
          </w:tcPr>
          <w:p w14:paraId="39102356"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Prob(F-statistic)</w:t>
            </w:r>
          </w:p>
        </w:tc>
        <w:tc>
          <w:tcPr>
            <w:tcW w:w="1324" w:type="dxa"/>
            <w:hideMark/>
          </w:tcPr>
          <w:p w14:paraId="3B286155" w14:textId="77777777" w:rsidR="009F42F9" w:rsidRPr="006F4041" w:rsidRDefault="009F42F9" w:rsidP="000E478B">
            <w:pPr>
              <w:autoSpaceDE w:val="0"/>
              <w:autoSpaceDN w:val="0"/>
              <w:adjustRightInd w:val="0"/>
              <w:spacing w:line="360" w:lineRule="auto"/>
              <w:ind w:right="10"/>
              <w:jc w:val="center"/>
              <w:rPr>
                <w:rFonts w:ascii="Times New Roman" w:hAnsi="Times New Roman" w:cs="Times New Roman"/>
                <w:color w:val="000000"/>
                <w:sz w:val="24"/>
                <w:szCs w:val="24"/>
              </w:rPr>
            </w:pPr>
            <w:r w:rsidRPr="006F4041">
              <w:rPr>
                <w:rFonts w:ascii="Times New Roman" w:hAnsi="Times New Roman" w:cs="Times New Roman"/>
                <w:color w:val="000000"/>
                <w:sz w:val="24"/>
                <w:szCs w:val="24"/>
              </w:rPr>
              <w:t>0.0000</w:t>
            </w:r>
          </w:p>
        </w:tc>
      </w:tr>
    </w:tbl>
    <w:p w14:paraId="5EA1E731" w14:textId="77777777" w:rsidR="009F42F9" w:rsidRDefault="009F42F9" w:rsidP="009F42F9">
      <w:pPr>
        <w:rPr>
          <w:rFonts w:ascii="Times New Roman" w:hAnsi="Times New Roman" w:cs="Times New Roman"/>
          <w:b/>
          <w:bCs/>
          <w:sz w:val="24"/>
          <w:szCs w:val="24"/>
        </w:rPr>
      </w:pPr>
      <w:r>
        <w:rPr>
          <w:rFonts w:ascii="Times New Roman" w:hAnsi="Times New Roman" w:cs="Times New Roman"/>
          <w:b/>
          <w:bCs/>
          <w:sz w:val="24"/>
          <w:szCs w:val="24"/>
        </w:rPr>
        <w:t>Source: E-views Output (2024)</w:t>
      </w:r>
    </w:p>
    <w:p w14:paraId="042F1BBF" w14:textId="77777777" w:rsidR="009F42F9" w:rsidRDefault="009F42F9" w:rsidP="009F42F9">
      <w:pPr>
        <w:rPr>
          <w:rFonts w:ascii="Times New Roman" w:hAnsi="Times New Roman" w:cs="Times New Roman"/>
          <w:b/>
          <w:bCs/>
          <w:sz w:val="24"/>
          <w:szCs w:val="24"/>
        </w:rPr>
      </w:pPr>
      <w:r>
        <w:rPr>
          <w:rFonts w:ascii="Times New Roman" w:hAnsi="Times New Roman" w:cs="Times New Roman"/>
          <w:b/>
          <w:bCs/>
          <w:sz w:val="24"/>
          <w:szCs w:val="24"/>
        </w:rPr>
        <w:t>Note: ***, ** and * denote significant at 1%, 5% and 10% levels respectively</w:t>
      </w:r>
    </w:p>
    <w:p w14:paraId="0FAAB997" w14:textId="4B9E379C" w:rsidR="007A6336" w:rsidRDefault="007A6336" w:rsidP="007A6336">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The findings showed that fossil fuel use positively and significantly affects the service sector value added to GDP. This finding aligns with the theoretical expectation which predicts that fossil fuels are an important energy source for the service sector. The positive contribution of fossil fuel usage to service sector value added to GDP agrees with the findings of </w:t>
      </w:r>
      <w:r>
        <w:rPr>
          <w:rFonts w:ascii="Times New Roman" w:hAnsi="Times New Roman" w:cs="Times New Roman"/>
          <w:color w:val="222222"/>
          <w:sz w:val="24"/>
          <w:szCs w:val="24"/>
          <w:shd w:val="clear" w:color="auto" w:fill="FFFFFF"/>
        </w:rPr>
        <w:t xml:space="preserve">Kwakwa, Adu and Osei-Fosu (2018) who reported that fossil fuels significantly enhanced the growth of the service. This finding is not surprising following the increasing dependence of the service sector, especially transportation as an important source of energy in developing economies </w:t>
      </w:r>
      <w:r>
        <w:rPr>
          <w:rFonts w:ascii="Times New Roman" w:hAnsi="Times New Roman" w:cs="Times New Roman"/>
          <w:color w:val="222222"/>
          <w:sz w:val="24"/>
          <w:szCs w:val="24"/>
          <w:shd w:val="clear" w:color="auto" w:fill="FFFFFF"/>
        </w:rPr>
        <w:lastRenderedPageBreak/>
        <w:t>including Nigeria. This goes forth to explain how the transportation of goods and services in Nigeria largely depends on fossil fuels including premium motor spirit and diesel.</w:t>
      </w:r>
    </w:p>
    <w:p w14:paraId="239EA25C" w14:textId="39216FDC" w:rsidR="007A6336" w:rsidRDefault="007A6336" w:rsidP="007A6336">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Similarly, the results showed</w:t>
      </w:r>
      <w:r>
        <w:rPr>
          <w:rFonts w:ascii="Times New Roman" w:hAnsi="Times New Roman" w:cs="Times New Roman"/>
          <w:color w:val="000000"/>
          <w:sz w:val="24"/>
          <w:szCs w:val="24"/>
        </w:rPr>
        <w:t xml:space="preserve"> evidence of a positive and significant effect of renewable energy use on the service sector value added in both the short and long run. This finding is in tandem with the a priori expectation and highlights the growth benefits of renewable in the service sector. It further explains that energy transition is beneficial to the growth of the service sector. The significant positive contribution of renewable energy use to service sector value added agrees with the findings of </w:t>
      </w:r>
      <w:r>
        <w:rPr>
          <w:rFonts w:ascii="Times New Roman" w:hAnsi="Times New Roman" w:cs="Times New Roman"/>
          <w:color w:val="222222"/>
          <w:sz w:val="24"/>
          <w:szCs w:val="24"/>
          <w:shd w:val="clear" w:color="auto" w:fill="FFFFFF"/>
        </w:rPr>
        <w:t xml:space="preserve">Strielkowski </w:t>
      </w:r>
      <w:r>
        <w:rPr>
          <w:rFonts w:ascii="Times New Roman" w:hAnsi="Times New Roman" w:cs="Times New Roman"/>
          <w:i/>
          <w:iCs/>
          <w:color w:val="222222"/>
          <w:sz w:val="24"/>
          <w:szCs w:val="24"/>
          <w:shd w:val="clear" w:color="auto" w:fill="FFFFFF"/>
        </w:rPr>
        <w:t xml:space="preserve">et al. </w:t>
      </w:r>
      <w:r>
        <w:rPr>
          <w:rFonts w:ascii="Times New Roman" w:hAnsi="Times New Roman" w:cs="Times New Roman"/>
          <w:color w:val="222222"/>
          <w:sz w:val="24"/>
          <w:szCs w:val="24"/>
          <w:shd w:val="clear" w:color="auto" w:fill="FFFFFF"/>
        </w:rPr>
        <w:t xml:space="preserve">(2021) and Opeyemi (2021) who reported that renewable energy is essential for the growth of the service sector including the electric power sector development. </w:t>
      </w:r>
      <w:r>
        <w:rPr>
          <w:rFonts w:ascii="Times New Roman" w:hAnsi="Times New Roman" w:cs="Times New Roman"/>
          <w:color w:val="000000"/>
          <w:sz w:val="24"/>
          <w:szCs w:val="24"/>
        </w:rPr>
        <w:t xml:space="preserve">The results further showed that total electricity use has a positive and significant effect on the service sector value added in both the long and short run. This finding </w:t>
      </w:r>
      <w:r w:rsidR="002B2A3D">
        <w:rPr>
          <w:rFonts w:ascii="Times New Roman" w:hAnsi="Times New Roman" w:cs="Times New Roman"/>
          <w:color w:val="000000"/>
          <w:sz w:val="24"/>
          <w:szCs w:val="24"/>
        </w:rPr>
        <w:t>follows</w:t>
      </w:r>
      <w:r>
        <w:rPr>
          <w:rFonts w:ascii="Times New Roman" w:hAnsi="Times New Roman" w:cs="Times New Roman"/>
          <w:color w:val="000000"/>
          <w:sz w:val="24"/>
          <w:szCs w:val="24"/>
        </w:rPr>
        <w:t xml:space="preserve"> the results of </w:t>
      </w:r>
      <w:r>
        <w:rPr>
          <w:rFonts w:ascii="Times New Roman" w:hAnsi="Times New Roman" w:cs="Times New Roman"/>
          <w:color w:val="222222"/>
          <w:sz w:val="24"/>
          <w:szCs w:val="24"/>
          <w:shd w:val="clear" w:color="auto" w:fill="FFFFFF"/>
        </w:rPr>
        <w:t xml:space="preserve">Olanrele </w:t>
      </w:r>
      <w:r>
        <w:rPr>
          <w:rFonts w:ascii="Times New Roman" w:hAnsi="Times New Roman" w:cs="Times New Roman"/>
          <w:i/>
          <w:iCs/>
          <w:color w:val="222222"/>
          <w:sz w:val="24"/>
          <w:szCs w:val="24"/>
          <w:shd w:val="clear" w:color="auto" w:fill="FFFFFF"/>
        </w:rPr>
        <w:t xml:space="preserve">et al. </w:t>
      </w:r>
      <w:r>
        <w:rPr>
          <w:rFonts w:ascii="Times New Roman" w:hAnsi="Times New Roman" w:cs="Times New Roman"/>
          <w:color w:val="222222"/>
          <w:sz w:val="24"/>
          <w:szCs w:val="24"/>
          <w:shd w:val="clear" w:color="auto" w:fill="FFFFFF"/>
        </w:rPr>
        <w:t>(2020), Kirikkaleli, Güngör and Adebayo (2022) and Lukić (2016) who reported that electricity consumption is significant in driving long-term growth in the service sector. The implication of this finding is that access to stable and affordable electricity to service firms has the potential to promote sustainable development in the sector.</w:t>
      </w:r>
      <w:r>
        <w:rPr>
          <w:rFonts w:ascii="Times New Roman" w:hAnsi="Times New Roman" w:cs="Times New Roman"/>
          <w:color w:val="000000"/>
          <w:sz w:val="24"/>
          <w:szCs w:val="24"/>
        </w:rPr>
        <w:t xml:space="preserve"> However, the results showed that alternative energy use affected the service sector value added negatively in both the short and long run. This finding could be linked to the large dependence of transportation, communication and entertainment services on fossil fuels as key energy sources. This finding is contrary to the results of </w:t>
      </w:r>
      <w:r>
        <w:rPr>
          <w:rFonts w:ascii="Times New Roman" w:hAnsi="Times New Roman" w:cs="Times New Roman"/>
          <w:color w:val="222222"/>
          <w:sz w:val="24"/>
          <w:szCs w:val="24"/>
          <w:shd w:val="clear" w:color="auto" w:fill="FFFFFF"/>
        </w:rPr>
        <w:t xml:space="preserve">Iqbal, Hassan and Arshed (2023) and Oh, Pang and Chua (2010) who reported that alternative energy plays a moderating role in boosting the growth of the service sector. </w:t>
      </w:r>
    </w:p>
    <w:p w14:paraId="5D11285E" w14:textId="621820DF" w:rsidR="009F42F9" w:rsidRDefault="009F42F9" w:rsidP="009F42F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Table 4.: Post-estimation test results</w:t>
      </w:r>
    </w:p>
    <w:tbl>
      <w:tblPr>
        <w:tblStyle w:val="TableGrid"/>
        <w:tblW w:w="9630" w:type="dxa"/>
        <w:tblLook w:val="04A0" w:firstRow="1" w:lastRow="0" w:firstColumn="1" w:lastColumn="0" w:noHBand="0" w:noVBand="1"/>
      </w:tblPr>
      <w:tblGrid>
        <w:gridCol w:w="4815"/>
        <w:gridCol w:w="2693"/>
        <w:gridCol w:w="2122"/>
      </w:tblGrid>
      <w:tr w:rsidR="009F42F9" w14:paraId="4CEDC786" w14:textId="77777777" w:rsidTr="00DA47E2">
        <w:tc>
          <w:tcPr>
            <w:tcW w:w="4815" w:type="dxa"/>
            <w:hideMark/>
          </w:tcPr>
          <w:p w14:paraId="76469428" w14:textId="77777777" w:rsidR="009F42F9" w:rsidRDefault="009F42F9" w:rsidP="00DA47E2">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Test Type</w:t>
            </w:r>
          </w:p>
        </w:tc>
        <w:tc>
          <w:tcPr>
            <w:tcW w:w="2693" w:type="dxa"/>
            <w:hideMark/>
          </w:tcPr>
          <w:p w14:paraId="0CAEC5F5" w14:textId="77777777" w:rsidR="009F42F9" w:rsidRDefault="009F42F9" w:rsidP="00DA47E2">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Test Statistic</w:t>
            </w:r>
          </w:p>
        </w:tc>
        <w:tc>
          <w:tcPr>
            <w:tcW w:w="2122" w:type="dxa"/>
            <w:hideMark/>
          </w:tcPr>
          <w:p w14:paraId="27ED128F" w14:textId="77777777" w:rsidR="009F42F9" w:rsidRDefault="009F42F9" w:rsidP="00DA47E2">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Probability value</w:t>
            </w:r>
          </w:p>
        </w:tc>
      </w:tr>
      <w:tr w:rsidR="009F42F9" w14:paraId="20119910" w14:textId="77777777" w:rsidTr="00DA47E2">
        <w:tc>
          <w:tcPr>
            <w:tcW w:w="4815" w:type="dxa"/>
            <w:hideMark/>
          </w:tcPr>
          <w:p w14:paraId="590C35C5" w14:textId="77777777" w:rsidR="009F42F9" w:rsidRDefault="009F42F9" w:rsidP="00DA47E2">
            <w:pPr>
              <w:spacing w:line="360" w:lineRule="auto"/>
              <w:jc w:val="center"/>
              <w:rPr>
                <w:rFonts w:ascii="Times New Roman" w:hAnsi="Times New Roman" w:cs="Times New Roman"/>
                <w:b/>
                <w:bCs/>
                <w:sz w:val="24"/>
                <w:szCs w:val="24"/>
              </w:rPr>
            </w:pPr>
            <w:r>
              <w:rPr>
                <w:rFonts w:ascii="Times New Roman" w:hAnsi="Times New Roman" w:cs="Times New Roman"/>
                <w:color w:val="000000"/>
                <w:sz w:val="24"/>
                <w:szCs w:val="24"/>
              </w:rPr>
              <w:t>Breusch-Godfrey Serial Correlation LM Test</w:t>
            </w:r>
          </w:p>
        </w:tc>
        <w:tc>
          <w:tcPr>
            <w:tcW w:w="2693" w:type="dxa"/>
            <w:hideMark/>
          </w:tcPr>
          <w:p w14:paraId="4477BB74" w14:textId="77777777" w:rsidR="009F42F9" w:rsidRDefault="009F42F9" w:rsidP="00DA47E2">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2.4675</w:t>
            </w:r>
          </w:p>
        </w:tc>
        <w:tc>
          <w:tcPr>
            <w:tcW w:w="2122" w:type="dxa"/>
            <w:hideMark/>
          </w:tcPr>
          <w:p w14:paraId="405F38C4" w14:textId="77777777" w:rsidR="009F42F9" w:rsidRDefault="009F42F9" w:rsidP="00DA47E2">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0.4812</w:t>
            </w:r>
          </w:p>
        </w:tc>
      </w:tr>
      <w:tr w:rsidR="009F42F9" w14:paraId="54212A29" w14:textId="77777777" w:rsidTr="00DA47E2">
        <w:tc>
          <w:tcPr>
            <w:tcW w:w="4815" w:type="dxa"/>
            <w:hideMark/>
          </w:tcPr>
          <w:p w14:paraId="5E29B6D4" w14:textId="77777777" w:rsidR="009F42F9" w:rsidRDefault="009F42F9" w:rsidP="00DA47E2">
            <w:pPr>
              <w:spacing w:line="36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White heteroskedasticity test</w:t>
            </w:r>
          </w:p>
        </w:tc>
        <w:tc>
          <w:tcPr>
            <w:tcW w:w="2693" w:type="dxa"/>
            <w:hideMark/>
          </w:tcPr>
          <w:p w14:paraId="0157CFD1" w14:textId="77777777" w:rsidR="009F42F9" w:rsidRDefault="009F42F9" w:rsidP="00DA47E2">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8.7531</w:t>
            </w:r>
          </w:p>
        </w:tc>
        <w:tc>
          <w:tcPr>
            <w:tcW w:w="2122" w:type="dxa"/>
            <w:hideMark/>
          </w:tcPr>
          <w:p w14:paraId="20CC2E83" w14:textId="77777777" w:rsidR="009F42F9" w:rsidRDefault="009F42F9" w:rsidP="00DA47E2">
            <w:pPr>
              <w:spacing w:line="360" w:lineRule="auto"/>
              <w:jc w:val="center"/>
              <w:rPr>
                <w:rFonts w:ascii="Times New Roman" w:hAnsi="Times New Roman" w:cs="Times New Roman"/>
                <w:sz w:val="24"/>
                <w:szCs w:val="24"/>
              </w:rPr>
            </w:pPr>
            <w:r>
              <w:rPr>
                <w:rFonts w:ascii="Times New Roman" w:hAnsi="Times New Roman" w:cs="Times New Roman"/>
                <w:sz w:val="24"/>
                <w:szCs w:val="24"/>
              </w:rPr>
              <w:t>0.3635</w:t>
            </w:r>
          </w:p>
        </w:tc>
      </w:tr>
      <w:tr w:rsidR="009F42F9" w14:paraId="4D849CC8" w14:textId="77777777" w:rsidTr="00DA47E2">
        <w:tc>
          <w:tcPr>
            <w:tcW w:w="4815" w:type="dxa"/>
            <w:hideMark/>
          </w:tcPr>
          <w:p w14:paraId="175B52AF" w14:textId="77777777" w:rsidR="009F42F9" w:rsidRDefault="009F42F9" w:rsidP="00DA47E2">
            <w:pPr>
              <w:spacing w:line="36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Ramsey RESET</w:t>
            </w:r>
          </w:p>
        </w:tc>
        <w:tc>
          <w:tcPr>
            <w:tcW w:w="2693" w:type="dxa"/>
            <w:hideMark/>
          </w:tcPr>
          <w:p w14:paraId="257FAF09" w14:textId="77777777" w:rsidR="009F42F9" w:rsidRDefault="009F42F9" w:rsidP="00DA47E2">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0.5367</w:t>
            </w:r>
          </w:p>
        </w:tc>
        <w:tc>
          <w:tcPr>
            <w:tcW w:w="2122" w:type="dxa"/>
            <w:hideMark/>
          </w:tcPr>
          <w:p w14:paraId="2E6AAD3C" w14:textId="77777777" w:rsidR="009F42F9" w:rsidRDefault="009F42F9" w:rsidP="00DA47E2">
            <w:pPr>
              <w:spacing w:line="360" w:lineRule="auto"/>
              <w:jc w:val="center"/>
              <w:rPr>
                <w:rFonts w:ascii="Times New Roman" w:hAnsi="Times New Roman" w:cs="Times New Roman"/>
                <w:sz w:val="24"/>
                <w:szCs w:val="24"/>
              </w:rPr>
            </w:pPr>
            <w:r>
              <w:rPr>
                <w:rFonts w:ascii="Times New Roman" w:hAnsi="Times New Roman" w:cs="Times New Roman"/>
                <w:sz w:val="24"/>
                <w:szCs w:val="24"/>
              </w:rPr>
              <w:t>0.6622</w:t>
            </w:r>
          </w:p>
        </w:tc>
      </w:tr>
    </w:tbl>
    <w:p w14:paraId="737F7128" w14:textId="77777777" w:rsidR="009F42F9" w:rsidRDefault="009F42F9" w:rsidP="009F42F9">
      <w:pPr>
        <w:rPr>
          <w:rFonts w:ascii="Times New Roman" w:hAnsi="Times New Roman" w:cs="Times New Roman"/>
          <w:b/>
          <w:bCs/>
          <w:sz w:val="24"/>
          <w:szCs w:val="24"/>
        </w:rPr>
      </w:pPr>
      <w:r>
        <w:rPr>
          <w:rFonts w:ascii="Times New Roman" w:hAnsi="Times New Roman" w:cs="Times New Roman"/>
          <w:b/>
          <w:bCs/>
          <w:sz w:val="24"/>
          <w:szCs w:val="24"/>
        </w:rPr>
        <w:t>Source: E-views Output (2024)</w:t>
      </w:r>
    </w:p>
    <w:p w14:paraId="7B24F6D3" w14:textId="77777777" w:rsidR="009F42F9" w:rsidRDefault="009F42F9" w:rsidP="000D0151">
      <w:pPr>
        <w:spacing w:line="360" w:lineRule="auto"/>
        <w:jc w:val="both"/>
        <w:rPr>
          <w:rFonts w:ascii="Times New Roman" w:hAnsi="Times New Roman" w:cs="Times New Roman"/>
          <w:sz w:val="24"/>
          <w:szCs w:val="24"/>
        </w:rPr>
      </w:pPr>
      <w:r>
        <w:rPr>
          <w:rFonts w:ascii="Times New Roman" w:hAnsi="Times New Roman" w:cs="Times New Roman"/>
          <w:sz w:val="24"/>
          <w:szCs w:val="24"/>
        </w:rPr>
        <w:t>As observed from the post-estimation test results, there is no serial correlation in the model at the 5% level. This is based on fact that the probability value (</w:t>
      </w:r>
      <w:r>
        <w:rPr>
          <w:rFonts w:ascii="Times New Roman" w:hAnsi="Times New Roman" w:cs="Times New Roman"/>
          <w:color w:val="000000"/>
          <w:sz w:val="24"/>
          <w:szCs w:val="24"/>
        </w:rPr>
        <w:t>0.4812</w:t>
      </w:r>
      <w:r>
        <w:rPr>
          <w:rFonts w:ascii="Times New Roman" w:hAnsi="Times New Roman" w:cs="Times New Roman"/>
          <w:sz w:val="24"/>
          <w:szCs w:val="24"/>
        </w:rPr>
        <w:t xml:space="preserve">) of the </w:t>
      </w:r>
      <w:r>
        <w:rPr>
          <w:rFonts w:ascii="Times New Roman" w:hAnsi="Times New Roman" w:cs="Times New Roman"/>
          <w:color w:val="000000"/>
          <w:sz w:val="24"/>
          <w:szCs w:val="24"/>
        </w:rPr>
        <w:t xml:space="preserve">Breusch-Godfrey serial correlation LM test result is greater than 0.05. Thus, the null hypothesis of no serial correlation is accepted at the 5% level. The results further showed that the variance of the residuals is constant over the study period given that White heteroskedasticity test result is </w:t>
      </w:r>
      <w:r>
        <w:rPr>
          <w:rFonts w:ascii="Times New Roman" w:hAnsi="Times New Roman" w:cs="Times New Roman"/>
          <w:color w:val="000000"/>
          <w:sz w:val="24"/>
          <w:szCs w:val="24"/>
        </w:rPr>
        <w:lastRenderedPageBreak/>
        <w:t xml:space="preserve">associated with a probability value of </w:t>
      </w:r>
      <w:r>
        <w:rPr>
          <w:rFonts w:ascii="Times New Roman" w:hAnsi="Times New Roman" w:cs="Times New Roman"/>
          <w:sz w:val="24"/>
          <w:szCs w:val="24"/>
        </w:rPr>
        <w:t>0.3635</w:t>
      </w:r>
      <w:r>
        <w:rPr>
          <w:rFonts w:ascii="Times New Roman" w:hAnsi="Times New Roman" w:cs="Times New Roman"/>
          <w:color w:val="000000"/>
          <w:sz w:val="24"/>
          <w:szCs w:val="24"/>
        </w:rPr>
        <w:t>. In addition, there is no problem of functional misspecification in the model at the 5% significance level given that the probability value (</w:t>
      </w:r>
      <w:r>
        <w:rPr>
          <w:rFonts w:ascii="Times New Roman" w:hAnsi="Times New Roman" w:cs="Times New Roman"/>
          <w:sz w:val="24"/>
          <w:szCs w:val="24"/>
        </w:rPr>
        <w:t xml:space="preserve">0.6622) </w:t>
      </w:r>
      <w:r>
        <w:rPr>
          <w:rFonts w:ascii="Times New Roman" w:hAnsi="Times New Roman" w:cs="Times New Roman"/>
          <w:color w:val="000000"/>
          <w:sz w:val="24"/>
          <w:szCs w:val="24"/>
        </w:rPr>
        <w:t>of the Ramsey RESET result is greater than 0.05. In this regard, the null hypothesis of no functional misspecification in the model is accepted. These findings are impressive as they provide enough evidence for the reliability of the estimated ARDL model.</w:t>
      </w:r>
    </w:p>
    <w:p w14:paraId="541E010D" w14:textId="77777777" w:rsidR="009F42F9" w:rsidRDefault="009F42F9" w:rsidP="009F42F9">
      <w:pPr>
        <w:rPr>
          <w:rFonts w:ascii="Times New Roman" w:hAnsi="Times New Roman" w:cs="Times New Roman"/>
          <w:b/>
          <w:bCs/>
          <w:sz w:val="24"/>
          <w:szCs w:val="24"/>
        </w:rPr>
      </w:pPr>
    </w:p>
    <w:p w14:paraId="1E1B2811" w14:textId="720ACDEB" w:rsidR="009F42F9" w:rsidRDefault="004265B4" w:rsidP="009F42F9">
      <w:pPr>
        <w:spacing w:line="240" w:lineRule="auto"/>
        <w:jc w:val="both"/>
      </w:pPr>
      <w:r>
        <w:object w:dxaOrig="9975" w:dyaOrig="6495" w14:anchorId="51F35711">
          <v:shape id="_x0000_i1028" type="#_x0000_t75" style="width:477.05pt;height:224.8pt" o:ole="">
            <v:imagedata r:id="rId12" o:title=""/>
          </v:shape>
          <o:OLEObject Type="Embed" ProgID="EViews.Workfile.2" ShapeID="_x0000_i1028" DrawAspect="Content" ObjectID="_1801930454" r:id="rId13"/>
        </w:object>
      </w:r>
    </w:p>
    <w:p w14:paraId="12DCCD93" w14:textId="60036A96" w:rsidR="009F42F9" w:rsidRDefault="009F42F9" w:rsidP="009F42F9">
      <w:pPr>
        <w:rPr>
          <w:rFonts w:ascii="Times New Roman" w:hAnsi="Times New Roman" w:cs="Times New Roman"/>
          <w:b/>
          <w:bCs/>
          <w:sz w:val="24"/>
          <w:szCs w:val="24"/>
        </w:rPr>
      </w:pPr>
      <w:r>
        <w:rPr>
          <w:rFonts w:ascii="Times New Roman" w:hAnsi="Times New Roman" w:cs="Times New Roman"/>
          <w:b/>
          <w:bCs/>
          <w:sz w:val="24"/>
          <w:szCs w:val="24"/>
        </w:rPr>
        <w:t xml:space="preserve">Figure </w:t>
      </w:r>
      <w:r w:rsidR="00D70FB9">
        <w:rPr>
          <w:rFonts w:ascii="Times New Roman" w:hAnsi="Times New Roman" w:cs="Times New Roman"/>
          <w:b/>
          <w:bCs/>
          <w:sz w:val="24"/>
          <w:szCs w:val="24"/>
          <w:lang w:val="en-IN"/>
        </w:rPr>
        <w:t>1</w:t>
      </w:r>
      <w:r>
        <w:rPr>
          <w:rFonts w:ascii="Times New Roman" w:hAnsi="Times New Roman" w:cs="Times New Roman"/>
          <w:b/>
          <w:bCs/>
          <w:sz w:val="24"/>
          <w:szCs w:val="24"/>
        </w:rPr>
        <w:t>: Cumulative sum (CUSUM) graph for model 4</w:t>
      </w:r>
    </w:p>
    <w:p w14:paraId="3BC73920" w14:textId="77777777" w:rsidR="009F42F9" w:rsidRDefault="009F42F9" w:rsidP="00E560C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study, the stability of the estimated ARDL model was determined using the CUSUM graph. The results show that, at the 5% significance level, the CUSUM graph falls between the two critical bound lines. This suggests that during the study period, the estimated parameters remain constant. In sum, the post-estimation test result further confirms the estimated ARDL model is reliable.</w:t>
      </w:r>
    </w:p>
    <w:p w14:paraId="740D771C" w14:textId="0FF346DA" w:rsidR="00201379" w:rsidRDefault="00E560C5" w:rsidP="00E560C5">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5. Concluding Remarks</w:t>
      </w:r>
    </w:p>
    <w:p w14:paraId="218351A3" w14:textId="79217050" w:rsidR="00C62389" w:rsidRDefault="00E560C5" w:rsidP="00C62389">
      <w:pPr>
        <w:spacing w:line="360" w:lineRule="auto"/>
        <w:jc w:val="both"/>
        <w:rPr>
          <w:rFonts w:asciiTheme="majorBidi" w:hAnsiTheme="majorBidi" w:cstheme="majorBidi"/>
          <w:sz w:val="24"/>
          <w:szCs w:val="24"/>
          <w:lang w:val="en-IN"/>
        </w:rPr>
      </w:pPr>
      <w:r w:rsidRPr="00C62389">
        <w:rPr>
          <w:rFonts w:ascii="Times New Roman" w:hAnsi="Times New Roman" w:cs="Times New Roman"/>
          <w:color w:val="000000"/>
          <w:sz w:val="24"/>
          <w:szCs w:val="24"/>
        </w:rPr>
        <w:t xml:space="preserve">The role of energy in </w:t>
      </w:r>
      <w:r w:rsidRPr="00C62389">
        <w:rPr>
          <w:rFonts w:ascii="Times New Roman" w:hAnsi="Times New Roman" w:cs="Times New Roman"/>
          <w:color w:val="000000"/>
          <w:sz w:val="24"/>
          <w:szCs w:val="24"/>
          <w:lang w:val="en-GB"/>
        </w:rPr>
        <w:t>service</w:t>
      </w:r>
      <w:r w:rsidRPr="00C62389">
        <w:rPr>
          <w:rFonts w:ascii="Times New Roman" w:hAnsi="Times New Roman" w:cs="Times New Roman"/>
          <w:color w:val="000000"/>
          <w:sz w:val="24"/>
          <w:szCs w:val="24"/>
        </w:rPr>
        <w:t xml:space="preserve"> sector development has continued to attract the attention of policymakers, researchers and stakeholders in the energy sector. This has triggered several researches to provide insights into the contribution of </w:t>
      </w:r>
      <w:r w:rsidRPr="00C62389">
        <w:rPr>
          <w:rFonts w:ascii="Times New Roman" w:hAnsi="Times New Roman" w:cs="Times New Roman"/>
          <w:color w:val="000000"/>
          <w:sz w:val="24"/>
          <w:szCs w:val="24"/>
          <w:lang w:val="en-GB"/>
        </w:rPr>
        <w:t xml:space="preserve"> the value added of the service sector</w:t>
      </w:r>
      <w:r w:rsidRPr="00C62389">
        <w:rPr>
          <w:rFonts w:ascii="Times New Roman" w:hAnsi="Times New Roman" w:cs="Times New Roman"/>
          <w:color w:val="000000"/>
          <w:sz w:val="24"/>
          <w:szCs w:val="24"/>
        </w:rPr>
        <w:t>.</w:t>
      </w:r>
      <w:r w:rsidRPr="00C62389">
        <w:rPr>
          <w:rFonts w:ascii="Times New Roman" w:hAnsi="Times New Roman" w:cs="Times New Roman"/>
          <w:color w:val="000000"/>
          <w:sz w:val="24"/>
          <w:szCs w:val="24"/>
          <w:lang w:val="en-GB"/>
        </w:rPr>
        <w:t xml:space="preserve"> F</w:t>
      </w:r>
      <w:r w:rsidRPr="00C62389">
        <w:rPr>
          <w:rFonts w:ascii="Times New Roman" w:hAnsi="Times New Roman" w:cs="Times New Roman"/>
          <w:color w:val="000000"/>
          <w:sz w:val="24"/>
          <w:szCs w:val="24"/>
        </w:rPr>
        <w:t xml:space="preserve">indings showed that </w:t>
      </w:r>
      <w:r w:rsidRPr="00C62389">
        <w:rPr>
          <w:rFonts w:ascii="Times New Roman" w:hAnsi="Times New Roman" w:cs="Times New Roman"/>
          <w:color w:val="000000"/>
          <w:sz w:val="24"/>
          <w:szCs w:val="24"/>
          <w:lang w:val="en-GB"/>
        </w:rPr>
        <w:t>the</w:t>
      </w:r>
      <w:r w:rsidRPr="00C62389">
        <w:rPr>
          <w:rFonts w:ascii="Times New Roman" w:hAnsi="Times New Roman" w:cs="Times New Roman"/>
          <w:color w:val="000000"/>
          <w:sz w:val="24"/>
          <w:szCs w:val="24"/>
        </w:rPr>
        <w:t xml:space="preserve"> long-term effect of fossil fuel usage on service sectors value added is positive. This finding could be linked to the large dependent of the </w:t>
      </w:r>
      <w:r w:rsidRPr="00C62389">
        <w:rPr>
          <w:rFonts w:ascii="Times New Roman" w:hAnsi="Times New Roman" w:cs="Times New Roman"/>
          <w:color w:val="000000"/>
          <w:sz w:val="24"/>
          <w:szCs w:val="24"/>
          <w:lang w:val="en-GB"/>
        </w:rPr>
        <w:t>service</w:t>
      </w:r>
      <w:r w:rsidRPr="00C62389">
        <w:rPr>
          <w:rFonts w:ascii="Times New Roman" w:hAnsi="Times New Roman" w:cs="Times New Roman"/>
          <w:color w:val="000000"/>
          <w:sz w:val="24"/>
          <w:szCs w:val="24"/>
        </w:rPr>
        <w:t xml:space="preserve"> sector on fossil fuels, especially diesel for a</w:t>
      </w:r>
      <w:r w:rsidRPr="00C62389">
        <w:rPr>
          <w:rFonts w:ascii="Times New Roman" w:hAnsi="Times New Roman" w:cs="Times New Roman"/>
          <w:color w:val="000000"/>
          <w:sz w:val="24"/>
          <w:szCs w:val="24"/>
          <w:lang w:val="en-GB"/>
        </w:rPr>
        <w:t>n</w:t>
      </w:r>
      <w:r w:rsidRPr="00C62389">
        <w:rPr>
          <w:rFonts w:ascii="Times New Roman" w:hAnsi="Times New Roman" w:cs="Times New Roman"/>
          <w:color w:val="000000"/>
          <w:sz w:val="24"/>
          <w:szCs w:val="24"/>
        </w:rPr>
        <w:t xml:space="preserve"> increased </w:t>
      </w:r>
      <w:r w:rsidRPr="00C62389">
        <w:rPr>
          <w:rFonts w:ascii="Times New Roman" w:hAnsi="Times New Roman" w:cs="Times New Roman"/>
          <w:color w:val="000000"/>
          <w:sz w:val="24"/>
          <w:szCs w:val="24"/>
          <w:lang w:val="en-GB"/>
        </w:rPr>
        <w:t xml:space="preserve">service </w:t>
      </w:r>
      <w:r w:rsidR="00C62389" w:rsidRPr="00C62389">
        <w:rPr>
          <w:rFonts w:ascii="Times New Roman" w:hAnsi="Times New Roman" w:cs="Times New Roman"/>
          <w:color w:val="000000"/>
          <w:sz w:val="24"/>
          <w:szCs w:val="24"/>
          <w:lang w:val="en-GB"/>
        </w:rPr>
        <w:t xml:space="preserve">delivery </w:t>
      </w:r>
      <w:r w:rsidR="00C62389" w:rsidRPr="00C62389">
        <w:rPr>
          <w:rFonts w:ascii="Times New Roman" w:hAnsi="Times New Roman" w:cs="Times New Roman"/>
          <w:color w:val="000000"/>
          <w:sz w:val="24"/>
          <w:szCs w:val="24"/>
        </w:rPr>
        <w:t>and</w:t>
      </w:r>
      <w:r w:rsidRPr="00C62389">
        <w:rPr>
          <w:rFonts w:ascii="Times New Roman" w:hAnsi="Times New Roman" w:cs="Times New Roman"/>
          <w:color w:val="000000"/>
          <w:sz w:val="24"/>
          <w:szCs w:val="24"/>
        </w:rPr>
        <w:t xml:space="preserve"> value addition to GDP. The results further showed that the effect of renewable energy use on service sector value added is positive and significant. This finding is impressive as explains that access to renewable energy is </w:t>
      </w:r>
      <w:r w:rsidRPr="00C62389">
        <w:rPr>
          <w:rFonts w:ascii="Times New Roman" w:hAnsi="Times New Roman" w:cs="Times New Roman"/>
          <w:color w:val="000000"/>
          <w:sz w:val="24"/>
          <w:szCs w:val="24"/>
        </w:rPr>
        <w:lastRenderedPageBreak/>
        <w:t>imperative for the improved performance of the service sector</w:t>
      </w:r>
      <w:r w:rsidRPr="00C62389">
        <w:rPr>
          <w:rFonts w:ascii="Times New Roman" w:hAnsi="Times New Roman" w:cs="Times New Roman"/>
          <w:color w:val="000000"/>
          <w:sz w:val="24"/>
          <w:szCs w:val="24"/>
          <w:lang w:val="en-GB"/>
        </w:rPr>
        <w:t xml:space="preserve">. </w:t>
      </w:r>
      <w:r w:rsidRPr="00C62389">
        <w:rPr>
          <w:rFonts w:ascii="Times New Roman" w:hAnsi="Times New Roman" w:cs="Times New Roman"/>
          <w:color w:val="000000"/>
          <w:sz w:val="24"/>
          <w:szCs w:val="24"/>
        </w:rPr>
        <w:t xml:space="preserve">However, it was found from the results that alternative energy use contributed negatively to </w:t>
      </w:r>
      <w:r w:rsidRPr="00C62389">
        <w:rPr>
          <w:rFonts w:ascii="Times New Roman" w:hAnsi="Times New Roman" w:cs="Times New Roman"/>
          <w:color w:val="000000"/>
          <w:sz w:val="24"/>
          <w:szCs w:val="24"/>
          <w:lang w:val="en-GB"/>
        </w:rPr>
        <w:t>the</w:t>
      </w:r>
      <w:r w:rsidRPr="00C62389">
        <w:rPr>
          <w:rFonts w:ascii="Times New Roman" w:hAnsi="Times New Roman" w:cs="Times New Roman"/>
          <w:color w:val="000000"/>
          <w:sz w:val="24"/>
          <w:szCs w:val="24"/>
        </w:rPr>
        <w:t xml:space="preserve"> service sector value added. On the </w:t>
      </w:r>
      <w:r w:rsidRPr="00C62389">
        <w:rPr>
          <w:rFonts w:ascii="Times New Roman" w:hAnsi="Times New Roman" w:cs="Times New Roman"/>
          <w:color w:val="000000"/>
          <w:sz w:val="24"/>
          <w:szCs w:val="24"/>
          <w:lang w:val="en-GB"/>
        </w:rPr>
        <w:t>contrary</w:t>
      </w:r>
      <w:r w:rsidRPr="00C62389">
        <w:rPr>
          <w:rFonts w:ascii="Times New Roman" w:hAnsi="Times New Roman" w:cs="Times New Roman"/>
          <w:color w:val="000000"/>
          <w:sz w:val="24"/>
          <w:szCs w:val="24"/>
        </w:rPr>
        <w:t xml:space="preserve">, the long-term effect of total electricity use on service sector value added is positive. Given the findings, this study concludes that the use of clean and modern energy in the forms of renewable energy, alternative energy and electricity </w:t>
      </w:r>
      <w:r w:rsidRPr="00C62389">
        <w:rPr>
          <w:rFonts w:ascii="Times New Roman" w:hAnsi="Times New Roman" w:cs="Times New Roman"/>
          <w:color w:val="000000"/>
          <w:sz w:val="24"/>
          <w:szCs w:val="24"/>
          <w:lang w:val="en-GB"/>
        </w:rPr>
        <w:t xml:space="preserve">is important for the growth of service sector. </w:t>
      </w:r>
      <w:r w:rsidR="00C62389" w:rsidRPr="00C62389">
        <w:rPr>
          <w:rFonts w:ascii="Times New Roman" w:hAnsi="Times New Roman" w:cs="Times New Roman"/>
          <w:color w:val="000000"/>
          <w:sz w:val="24"/>
          <w:szCs w:val="24"/>
          <w:lang w:val="en-GB"/>
        </w:rPr>
        <w:t xml:space="preserve">Hence, it is recommended that </w:t>
      </w:r>
      <w:r w:rsidR="00C62389" w:rsidRPr="00C62389">
        <w:rPr>
          <w:rFonts w:asciiTheme="majorBidi" w:hAnsiTheme="majorBidi" w:cstheme="majorBidi"/>
          <w:color w:val="000000"/>
          <w:sz w:val="24"/>
          <w:szCs w:val="24"/>
          <w:lang w:val="en-GB"/>
        </w:rPr>
        <w:t>g</w:t>
      </w:r>
      <w:r w:rsidR="00C62389" w:rsidRPr="00C62389">
        <w:rPr>
          <w:rFonts w:asciiTheme="majorBidi" w:hAnsiTheme="majorBidi" w:cstheme="majorBidi"/>
          <w:color w:val="000000"/>
          <w:sz w:val="24"/>
          <w:szCs w:val="24"/>
        </w:rPr>
        <w:t xml:space="preserve">overnments at all levels should incentivize investments in renewable energy by providing </w:t>
      </w:r>
      <w:r w:rsidR="00C62389" w:rsidRPr="00C62389">
        <w:rPr>
          <w:rFonts w:asciiTheme="majorBidi" w:hAnsiTheme="majorBidi" w:cstheme="majorBidi"/>
          <w:sz w:val="24"/>
          <w:szCs w:val="24"/>
        </w:rPr>
        <w:t xml:space="preserve">tax breaks, grants, and subsidies for businesses that invest in renewable energy technologies to foster the long-term development of the </w:t>
      </w:r>
      <w:r w:rsidR="00C62389" w:rsidRPr="00C62389">
        <w:rPr>
          <w:rFonts w:asciiTheme="majorBidi" w:hAnsiTheme="majorBidi" w:cstheme="majorBidi"/>
          <w:sz w:val="24"/>
          <w:szCs w:val="24"/>
          <w:lang w:val="en-GB"/>
        </w:rPr>
        <w:t>sevice</w:t>
      </w:r>
      <w:r w:rsidR="00C62389" w:rsidRPr="00C62389">
        <w:rPr>
          <w:rFonts w:asciiTheme="majorBidi" w:hAnsiTheme="majorBidi" w:cstheme="majorBidi"/>
          <w:sz w:val="24"/>
          <w:szCs w:val="24"/>
        </w:rPr>
        <w:t xml:space="preserve"> sector.</w:t>
      </w:r>
    </w:p>
    <w:p w14:paraId="39C49447" w14:textId="77777777" w:rsidR="006A1730" w:rsidRDefault="006A1730" w:rsidP="00C62389">
      <w:pPr>
        <w:spacing w:line="360" w:lineRule="auto"/>
        <w:jc w:val="both"/>
        <w:rPr>
          <w:rFonts w:asciiTheme="majorBidi" w:hAnsiTheme="majorBidi" w:cstheme="majorBidi"/>
          <w:sz w:val="24"/>
          <w:szCs w:val="24"/>
          <w:lang w:val="en-IN"/>
        </w:rPr>
      </w:pPr>
    </w:p>
    <w:p w14:paraId="61BE86A5" w14:textId="77777777" w:rsidR="006A1730" w:rsidRPr="006A1730" w:rsidRDefault="006A1730" w:rsidP="006A1730">
      <w:pPr>
        <w:spacing w:line="360" w:lineRule="auto"/>
        <w:jc w:val="both"/>
        <w:rPr>
          <w:rFonts w:asciiTheme="majorBidi" w:hAnsiTheme="majorBidi" w:cstheme="majorBidi"/>
          <w:sz w:val="24"/>
          <w:szCs w:val="24"/>
          <w:lang w:val="en-IN"/>
        </w:rPr>
      </w:pPr>
      <w:r w:rsidRPr="006A1730">
        <w:rPr>
          <w:rFonts w:asciiTheme="majorBidi" w:hAnsiTheme="majorBidi" w:cstheme="majorBidi"/>
          <w:sz w:val="24"/>
          <w:szCs w:val="24"/>
          <w:lang w:val="en-IN"/>
        </w:rPr>
        <w:t>COMPETING INTERESTS DISCLAIMER:</w:t>
      </w:r>
    </w:p>
    <w:p w14:paraId="654060A6" w14:textId="77777777" w:rsidR="006A1730" w:rsidRPr="006A1730" w:rsidRDefault="006A1730" w:rsidP="006A1730">
      <w:pPr>
        <w:spacing w:line="360" w:lineRule="auto"/>
        <w:jc w:val="both"/>
        <w:rPr>
          <w:rFonts w:asciiTheme="majorBidi" w:hAnsiTheme="majorBidi" w:cstheme="majorBidi"/>
          <w:sz w:val="24"/>
          <w:szCs w:val="24"/>
          <w:lang w:val="en-IN"/>
        </w:rPr>
      </w:pPr>
      <w:r w:rsidRPr="006A1730">
        <w:rPr>
          <w:rFonts w:asciiTheme="majorBidi" w:hAnsiTheme="majorBidi" w:cstheme="majorBidi"/>
          <w:sz w:val="24"/>
          <w:szCs w:val="24"/>
          <w:lang w:val="en-IN"/>
        </w:rPr>
        <w:t>Authors have declared that they have no known competing financial interests OR non-financial interests OR personal relationships that could have appeared to influence the work reported in this paper.</w:t>
      </w:r>
    </w:p>
    <w:p w14:paraId="71C8B20B" w14:textId="77777777" w:rsidR="006A1730" w:rsidRPr="006A1730" w:rsidRDefault="006A1730" w:rsidP="006A1730">
      <w:pPr>
        <w:spacing w:line="360" w:lineRule="auto"/>
        <w:jc w:val="both"/>
        <w:rPr>
          <w:rFonts w:asciiTheme="majorBidi" w:hAnsiTheme="majorBidi" w:cstheme="majorBidi"/>
          <w:sz w:val="24"/>
          <w:szCs w:val="24"/>
          <w:lang w:val="en-IN"/>
        </w:rPr>
      </w:pPr>
    </w:p>
    <w:p w14:paraId="5553D27E" w14:textId="77777777" w:rsidR="006A1730" w:rsidRPr="006A1730" w:rsidRDefault="006A1730" w:rsidP="00C62389">
      <w:pPr>
        <w:spacing w:line="360" w:lineRule="auto"/>
        <w:jc w:val="both"/>
        <w:rPr>
          <w:rFonts w:asciiTheme="majorBidi" w:hAnsiTheme="majorBidi" w:cstheme="majorBidi"/>
          <w:sz w:val="24"/>
          <w:szCs w:val="24"/>
          <w:lang w:val="en-IN"/>
        </w:rPr>
      </w:pPr>
    </w:p>
    <w:p w14:paraId="12DE9FDB" w14:textId="296F9C52" w:rsidR="002B2A3D" w:rsidRPr="002B2A3D" w:rsidRDefault="002B2A3D" w:rsidP="00C62389">
      <w:pPr>
        <w:spacing w:line="360" w:lineRule="auto"/>
        <w:jc w:val="both"/>
        <w:rPr>
          <w:rFonts w:asciiTheme="majorBidi" w:hAnsiTheme="majorBidi" w:cstheme="majorBidi"/>
          <w:color w:val="000000"/>
          <w:sz w:val="24"/>
          <w:szCs w:val="24"/>
          <w:lang w:val="en-GB"/>
        </w:rPr>
      </w:pPr>
      <w:r w:rsidRPr="002B2A3D">
        <w:rPr>
          <w:rFonts w:asciiTheme="majorBidi" w:hAnsiTheme="majorBidi" w:cstheme="majorBidi"/>
          <w:b/>
          <w:bCs/>
          <w:sz w:val="24"/>
          <w:szCs w:val="24"/>
          <w:lang w:val="en-GB"/>
        </w:rPr>
        <w:t>REFERENCES</w:t>
      </w:r>
    </w:p>
    <w:p w14:paraId="39CCC73D" w14:textId="77777777" w:rsidR="002B2A3D" w:rsidRPr="006300B2" w:rsidRDefault="002B2A3D" w:rsidP="002B2A3D">
      <w:pPr>
        <w:ind w:left="567" w:hanging="567"/>
        <w:jc w:val="both"/>
        <w:rPr>
          <w:rFonts w:asciiTheme="majorBidi" w:hAnsiTheme="majorBidi" w:cstheme="majorBidi"/>
          <w:color w:val="333333"/>
          <w:sz w:val="24"/>
          <w:szCs w:val="24"/>
          <w:shd w:val="clear" w:color="auto" w:fill="FFFFFF"/>
          <w:lang w:val="en-GB"/>
        </w:rPr>
      </w:pPr>
      <w:r w:rsidRPr="006300B2">
        <w:rPr>
          <w:rFonts w:asciiTheme="majorBidi" w:hAnsiTheme="majorBidi" w:cstheme="majorBidi"/>
          <w:color w:val="333333"/>
          <w:sz w:val="24"/>
          <w:szCs w:val="24"/>
          <w:shd w:val="clear" w:color="auto" w:fill="FFFFFF"/>
        </w:rPr>
        <w:t>Agbanike</w:t>
      </w:r>
      <w:r w:rsidRPr="006300B2">
        <w:rPr>
          <w:rFonts w:asciiTheme="majorBidi" w:hAnsiTheme="majorBidi" w:cstheme="majorBidi"/>
          <w:color w:val="333333"/>
          <w:sz w:val="24"/>
          <w:szCs w:val="24"/>
          <w:shd w:val="clear" w:color="auto" w:fill="FFFFFF"/>
          <w:lang w:val="en-GB"/>
        </w:rPr>
        <w:t xml:space="preserve">, T., </w:t>
      </w:r>
      <w:r w:rsidRPr="006300B2">
        <w:rPr>
          <w:rFonts w:asciiTheme="majorBidi" w:hAnsiTheme="majorBidi" w:cstheme="majorBidi"/>
          <w:color w:val="333333"/>
          <w:sz w:val="24"/>
          <w:szCs w:val="24"/>
          <w:shd w:val="clear" w:color="auto" w:fill="FFFFFF"/>
        </w:rPr>
        <w:t>Nwani</w:t>
      </w:r>
      <w:r w:rsidRPr="006300B2">
        <w:rPr>
          <w:rFonts w:asciiTheme="majorBidi" w:hAnsiTheme="majorBidi" w:cstheme="majorBidi"/>
          <w:color w:val="333333"/>
          <w:sz w:val="24"/>
          <w:szCs w:val="24"/>
          <w:shd w:val="clear" w:color="auto" w:fill="FFFFFF"/>
          <w:lang w:val="en-GB"/>
        </w:rPr>
        <w:t>. C.</w:t>
      </w:r>
      <w:r w:rsidRPr="006300B2">
        <w:rPr>
          <w:rFonts w:asciiTheme="majorBidi" w:hAnsiTheme="majorBidi" w:cstheme="majorBidi"/>
          <w:color w:val="333333"/>
          <w:sz w:val="24"/>
          <w:szCs w:val="24"/>
          <w:shd w:val="clear" w:color="auto" w:fill="FFFFFF"/>
        </w:rPr>
        <w:t xml:space="preserve"> &amp; Uwazie I.</w:t>
      </w:r>
      <w:r w:rsidRPr="006300B2">
        <w:rPr>
          <w:rFonts w:asciiTheme="majorBidi" w:hAnsiTheme="majorBidi" w:cstheme="majorBidi"/>
          <w:color w:val="333333"/>
          <w:sz w:val="24"/>
          <w:szCs w:val="24"/>
          <w:shd w:val="clear" w:color="auto" w:fill="FFFFFF"/>
          <w:lang w:val="en-GB"/>
        </w:rPr>
        <w:t xml:space="preserve">, </w:t>
      </w:r>
      <w:r w:rsidRPr="006300B2">
        <w:rPr>
          <w:rFonts w:asciiTheme="majorBidi" w:hAnsiTheme="majorBidi" w:cstheme="majorBidi"/>
          <w:color w:val="333333"/>
          <w:sz w:val="24"/>
          <w:szCs w:val="24"/>
          <w:shd w:val="clear" w:color="auto" w:fill="FFFFFF"/>
        </w:rPr>
        <w:t>Anochiwa</w:t>
      </w:r>
      <w:r w:rsidRPr="006300B2">
        <w:rPr>
          <w:rFonts w:asciiTheme="majorBidi" w:hAnsiTheme="majorBidi" w:cstheme="majorBidi"/>
          <w:color w:val="333333"/>
          <w:sz w:val="24"/>
          <w:szCs w:val="24"/>
          <w:shd w:val="clear" w:color="auto" w:fill="FFFFFF"/>
          <w:lang w:val="en-GB"/>
        </w:rPr>
        <w:t>, I. A.</w:t>
      </w:r>
      <w:r w:rsidRPr="006300B2">
        <w:rPr>
          <w:rFonts w:asciiTheme="majorBidi" w:hAnsiTheme="majorBidi" w:cstheme="majorBidi"/>
          <w:color w:val="333333"/>
          <w:sz w:val="24"/>
          <w:szCs w:val="24"/>
          <w:shd w:val="clear" w:color="auto" w:fill="FFFFFF"/>
        </w:rPr>
        <w:t xml:space="preserve"> &amp;</w:t>
      </w:r>
      <w:r w:rsidRPr="006300B2">
        <w:rPr>
          <w:rFonts w:asciiTheme="majorBidi" w:hAnsiTheme="majorBidi" w:cstheme="majorBidi"/>
          <w:color w:val="333333"/>
          <w:sz w:val="24"/>
          <w:szCs w:val="24"/>
          <w:shd w:val="clear" w:color="auto" w:fill="FFFFFF"/>
          <w:lang w:val="en-GB"/>
        </w:rPr>
        <w:t xml:space="preserve"> </w:t>
      </w:r>
      <w:r w:rsidRPr="006300B2">
        <w:rPr>
          <w:rFonts w:asciiTheme="majorBidi" w:hAnsiTheme="majorBidi" w:cstheme="majorBidi"/>
          <w:color w:val="333333"/>
          <w:sz w:val="24"/>
          <w:szCs w:val="24"/>
          <w:shd w:val="clear" w:color="auto" w:fill="FFFFFF"/>
        </w:rPr>
        <w:t>Enyoghasim,</w:t>
      </w:r>
      <w:r w:rsidRPr="006300B2">
        <w:rPr>
          <w:rFonts w:asciiTheme="majorBidi" w:hAnsiTheme="majorBidi" w:cstheme="majorBidi"/>
          <w:color w:val="333333"/>
          <w:sz w:val="24"/>
          <w:szCs w:val="24"/>
          <w:shd w:val="clear" w:color="auto" w:fill="FFFFFF"/>
          <w:lang w:val="en-GB"/>
        </w:rPr>
        <w:t xml:space="preserve"> M. O.</w:t>
      </w:r>
      <w:r w:rsidRPr="006300B2">
        <w:rPr>
          <w:rFonts w:asciiTheme="majorBidi" w:hAnsiTheme="majorBidi" w:cstheme="majorBidi"/>
          <w:color w:val="333333"/>
          <w:sz w:val="24"/>
          <w:szCs w:val="24"/>
          <w:shd w:val="clear" w:color="auto" w:fill="FFFFFF"/>
        </w:rPr>
        <w:t xml:space="preserve"> </w:t>
      </w:r>
      <w:r w:rsidRPr="006300B2">
        <w:rPr>
          <w:rFonts w:asciiTheme="majorBidi" w:hAnsiTheme="majorBidi" w:cstheme="majorBidi"/>
          <w:color w:val="333333"/>
          <w:sz w:val="24"/>
          <w:szCs w:val="24"/>
          <w:shd w:val="clear" w:color="auto" w:fill="FFFFFF"/>
          <w:lang w:val="en-GB"/>
        </w:rPr>
        <w:t>(</w:t>
      </w:r>
      <w:r w:rsidRPr="006300B2">
        <w:rPr>
          <w:rFonts w:asciiTheme="majorBidi" w:hAnsiTheme="majorBidi" w:cstheme="majorBidi"/>
          <w:color w:val="333333"/>
          <w:sz w:val="24"/>
          <w:szCs w:val="24"/>
          <w:shd w:val="clear" w:color="auto" w:fill="FFFFFF"/>
        </w:rPr>
        <w:t>2019</w:t>
      </w:r>
      <w:r w:rsidRPr="006300B2">
        <w:rPr>
          <w:rFonts w:asciiTheme="majorBidi" w:hAnsiTheme="majorBidi" w:cstheme="majorBidi"/>
          <w:sz w:val="24"/>
          <w:szCs w:val="24"/>
        </w:rPr>
        <w:t xml:space="preserve">). </w:t>
      </w:r>
      <w:hyperlink r:id="rId14" w:history="1">
        <w:r w:rsidRPr="00E2380B">
          <w:rPr>
            <w:rStyle w:val="Hyperlink"/>
            <w:rFonts w:asciiTheme="majorBidi" w:hAnsiTheme="majorBidi" w:cstheme="majorBidi"/>
            <w:color w:val="auto"/>
            <w:sz w:val="24"/>
            <w:szCs w:val="24"/>
            <w:u w:val="none"/>
          </w:rPr>
          <w:t>Banking sector development and energy consumption in Nigeria: Exploring the causal relationship and its implications</w:t>
        </w:r>
      </w:hyperlink>
      <w:r w:rsidRPr="00E2380B">
        <w:rPr>
          <w:rFonts w:asciiTheme="majorBidi" w:hAnsiTheme="majorBidi" w:cstheme="majorBidi"/>
          <w:sz w:val="24"/>
          <w:szCs w:val="24"/>
          <w:shd w:val="clear" w:color="auto" w:fill="FFFFFF"/>
          <w:lang w:val="en-GB"/>
        </w:rPr>
        <w:t>.</w:t>
      </w:r>
      <w:r w:rsidRPr="006300B2">
        <w:rPr>
          <w:rFonts w:asciiTheme="majorBidi" w:hAnsiTheme="majorBidi" w:cstheme="majorBidi"/>
          <w:color w:val="333333"/>
          <w:sz w:val="24"/>
          <w:szCs w:val="24"/>
          <w:shd w:val="clear" w:color="auto" w:fill="FFFFFF"/>
          <w:lang w:val="en-GB"/>
        </w:rPr>
        <w:t xml:space="preserve"> </w:t>
      </w:r>
      <w:hyperlink r:id="rId15" w:history="1">
        <w:r w:rsidRPr="00123F38">
          <w:rPr>
            <w:rStyle w:val="Hyperlink"/>
            <w:rFonts w:asciiTheme="majorBidi" w:hAnsiTheme="majorBidi" w:cstheme="majorBidi"/>
            <w:i/>
            <w:iCs/>
            <w:color w:val="auto"/>
            <w:sz w:val="24"/>
            <w:szCs w:val="24"/>
            <w:u w:val="none"/>
          </w:rPr>
          <w:t>African Development Review</w:t>
        </w:r>
      </w:hyperlink>
      <w:r w:rsidRPr="00123F38">
        <w:rPr>
          <w:rFonts w:asciiTheme="majorBidi" w:hAnsiTheme="majorBidi" w:cstheme="majorBidi"/>
          <w:i/>
          <w:iCs/>
          <w:sz w:val="24"/>
          <w:szCs w:val="24"/>
          <w:shd w:val="clear" w:color="auto" w:fill="FFFFFF"/>
        </w:rPr>
        <w:t>,</w:t>
      </w:r>
      <w:r w:rsidRPr="00123F38">
        <w:rPr>
          <w:rFonts w:asciiTheme="majorBidi" w:hAnsiTheme="majorBidi" w:cstheme="majorBidi"/>
          <w:sz w:val="24"/>
          <w:szCs w:val="24"/>
          <w:shd w:val="clear" w:color="auto" w:fill="FFFFFF"/>
          <w:lang w:val="en-GB"/>
        </w:rPr>
        <w:t xml:space="preserve"> </w:t>
      </w:r>
      <w:r w:rsidRPr="006300B2">
        <w:rPr>
          <w:rFonts w:asciiTheme="majorBidi" w:hAnsiTheme="majorBidi" w:cstheme="majorBidi"/>
          <w:color w:val="333333"/>
          <w:sz w:val="24"/>
          <w:szCs w:val="24"/>
          <w:shd w:val="clear" w:color="auto" w:fill="FFFFFF"/>
        </w:rPr>
        <w:t>31(3), 292-306</w:t>
      </w:r>
      <w:r w:rsidRPr="006300B2">
        <w:rPr>
          <w:rFonts w:asciiTheme="majorBidi" w:hAnsiTheme="majorBidi" w:cstheme="majorBidi"/>
          <w:color w:val="333333"/>
          <w:sz w:val="24"/>
          <w:szCs w:val="24"/>
          <w:shd w:val="clear" w:color="auto" w:fill="FFFFFF"/>
          <w:lang w:val="en-GB"/>
        </w:rPr>
        <w:t>.</w:t>
      </w:r>
    </w:p>
    <w:p w14:paraId="000433A6"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Akinlo, T. (2018). The impact of exchange rate volatility on manufacturing sector in sub-Saharan Africa (1980-2015). </w:t>
      </w:r>
      <w:r w:rsidRPr="006300B2">
        <w:rPr>
          <w:rFonts w:asciiTheme="majorBidi" w:hAnsiTheme="majorBidi" w:cstheme="majorBidi"/>
          <w:i/>
          <w:iCs/>
          <w:color w:val="222222"/>
          <w:sz w:val="24"/>
          <w:szCs w:val="24"/>
          <w:shd w:val="clear" w:color="auto" w:fill="FFFFFF"/>
        </w:rPr>
        <w:t>Jurnal Perspektif Pembiayaan dan Pembangunan Daerah</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6</w:t>
      </w:r>
      <w:r w:rsidRPr="006300B2">
        <w:rPr>
          <w:rFonts w:asciiTheme="majorBidi" w:hAnsiTheme="majorBidi" w:cstheme="majorBidi"/>
          <w:color w:val="222222"/>
          <w:sz w:val="24"/>
          <w:szCs w:val="24"/>
          <w:shd w:val="clear" w:color="auto" w:fill="FFFFFF"/>
        </w:rPr>
        <w:t>(1), 59-68.</w:t>
      </w:r>
    </w:p>
    <w:p w14:paraId="3C3E1B88"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Babatunde, O. A. (2013). Impact of economic reform on the Nigerian telecommunications Sector. </w:t>
      </w:r>
      <w:r w:rsidRPr="006300B2">
        <w:rPr>
          <w:rFonts w:asciiTheme="majorBidi" w:hAnsiTheme="majorBidi" w:cstheme="majorBidi"/>
          <w:i/>
          <w:iCs/>
          <w:color w:val="222222"/>
          <w:sz w:val="24"/>
          <w:szCs w:val="24"/>
          <w:shd w:val="clear" w:color="auto" w:fill="FFFFFF"/>
        </w:rPr>
        <w:t>Advances in Management and Applied Economics</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3</w:t>
      </w:r>
      <w:r w:rsidRPr="006300B2">
        <w:rPr>
          <w:rFonts w:asciiTheme="majorBidi" w:hAnsiTheme="majorBidi" w:cstheme="majorBidi"/>
          <w:color w:val="222222"/>
          <w:sz w:val="24"/>
          <w:szCs w:val="24"/>
          <w:shd w:val="clear" w:color="auto" w:fill="FFFFFF"/>
        </w:rPr>
        <w:t>(3), 141.</w:t>
      </w:r>
    </w:p>
    <w:p w14:paraId="35B2FB0A"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 xml:space="preserve">Bernard, O. A., &amp; Oludare, A. (2016). Is energy consumption relevant to industrial output in </w:t>
      </w:r>
      <w:bookmarkStart w:id="2" w:name="_GoBack"/>
      <w:bookmarkEnd w:id="2"/>
      <w:r w:rsidRPr="006300B2">
        <w:rPr>
          <w:rFonts w:asciiTheme="majorBidi" w:hAnsiTheme="majorBidi" w:cstheme="majorBidi"/>
          <w:color w:val="222222"/>
          <w:sz w:val="24"/>
          <w:szCs w:val="24"/>
          <w:shd w:val="clear" w:color="auto" w:fill="FFFFFF"/>
        </w:rPr>
        <w:t>Nigeria. </w:t>
      </w:r>
      <w:r w:rsidRPr="006300B2">
        <w:rPr>
          <w:rFonts w:asciiTheme="majorBidi" w:hAnsiTheme="majorBidi" w:cstheme="majorBidi"/>
          <w:i/>
          <w:iCs/>
          <w:color w:val="222222"/>
          <w:sz w:val="24"/>
          <w:szCs w:val="24"/>
          <w:shd w:val="clear" w:color="auto" w:fill="FFFFFF"/>
        </w:rPr>
        <w:t>European Journal of Research in Social Sciences</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4</w:t>
      </w:r>
      <w:r w:rsidRPr="006300B2">
        <w:rPr>
          <w:rFonts w:asciiTheme="majorBidi" w:hAnsiTheme="majorBidi" w:cstheme="majorBidi"/>
          <w:color w:val="222222"/>
          <w:sz w:val="24"/>
          <w:szCs w:val="24"/>
          <w:shd w:val="clear" w:color="auto" w:fill="FFFFFF"/>
        </w:rPr>
        <w:t>(4), 1-14.</w:t>
      </w:r>
    </w:p>
    <w:p w14:paraId="2E556CAD" w14:textId="77777777" w:rsidR="002B2A3D" w:rsidRPr="006300B2" w:rsidRDefault="002B2A3D" w:rsidP="002B2A3D">
      <w:pPr>
        <w:ind w:left="567" w:hanging="567"/>
        <w:jc w:val="both"/>
        <w:rPr>
          <w:rFonts w:asciiTheme="majorBidi" w:hAnsiTheme="majorBidi" w:cstheme="majorBidi"/>
          <w:sz w:val="24"/>
          <w:szCs w:val="24"/>
          <w:lang w:val="en-GB"/>
        </w:rPr>
      </w:pPr>
      <w:r w:rsidRPr="006300B2">
        <w:rPr>
          <w:rFonts w:asciiTheme="majorBidi" w:hAnsiTheme="majorBidi" w:cstheme="majorBidi"/>
          <w:sz w:val="24"/>
          <w:szCs w:val="24"/>
          <w:lang w:val="en-GB"/>
        </w:rPr>
        <w:t xml:space="preserve">Engle, R.F. &amp; Granger, C.W.J. (1987). Co-Integration and error correction: representation, estimation, and testing. </w:t>
      </w:r>
      <w:r w:rsidRPr="006300B2">
        <w:rPr>
          <w:rFonts w:asciiTheme="majorBidi" w:hAnsiTheme="majorBidi" w:cstheme="majorBidi"/>
          <w:i/>
          <w:iCs/>
          <w:sz w:val="24"/>
          <w:szCs w:val="24"/>
          <w:lang w:val="en-GB"/>
        </w:rPr>
        <w:t>Econometrica</w:t>
      </w:r>
      <w:r w:rsidRPr="006300B2">
        <w:rPr>
          <w:rFonts w:asciiTheme="majorBidi" w:hAnsiTheme="majorBidi" w:cstheme="majorBidi"/>
          <w:sz w:val="24"/>
          <w:szCs w:val="24"/>
          <w:lang w:val="en-GB"/>
        </w:rPr>
        <w:t xml:space="preserve">, 55 (2), 251-276. </w:t>
      </w:r>
    </w:p>
    <w:p w14:paraId="1E36EB9C" w14:textId="636F23A1" w:rsidR="002B2A3D"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Esso, L. J., &amp; Keho, Y. (2016). Energy consumption, economic growth and carbon emissions: Cointegration and causality evidence from selected African countries. </w:t>
      </w:r>
      <w:r w:rsidRPr="006300B2">
        <w:rPr>
          <w:rFonts w:asciiTheme="majorBidi" w:hAnsiTheme="majorBidi" w:cstheme="majorBidi"/>
          <w:i/>
          <w:iCs/>
          <w:color w:val="222222"/>
          <w:sz w:val="24"/>
          <w:szCs w:val="24"/>
          <w:shd w:val="clear" w:color="auto" w:fill="FFFFFF"/>
        </w:rPr>
        <w:t>Energy</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114</w:t>
      </w:r>
      <w:r w:rsidRPr="006300B2">
        <w:rPr>
          <w:rFonts w:asciiTheme="majorBidi" w:hAnsiTheme="majorBidi" w:cstheme="majorBidi"/>
          <w:color w:val="222222"/>
          <w:sz w:val="24"/>
          <w:szCs w:val="24"/>
          <w:shd w:val="clear" w:color="auto" w:fill="FFFFFF"/>
        </w:rPr>
        <w:t>, 492-497.</w:t>
      </w:r>
    </w:p>
    <w:p w14:paraId="39B6BB98" w14:textId="1A1E39FC" w:rsidR="002E751C" w:rsidRPr="002E751C" w:rsidRDefault="002E751C" w:rsidP="002B2A3D">
      <w:pPr>
        <w:ind w:left="567" w:hanging="567"/>
        <w:jc w:val="both"/>
        <w:rPr>
          <w:rFonts w:asciiTheme="majorBidi" w:hAnsiTheme="majorBidi" w:cstheme="majorBidi"/>
          <w:color w:val="222222"/>
          <w:sz w:val="24"/>
          <w:szCs w:val="24"/>
          <w:shd w:val="clear" w:color="auto" w:fill="FFFFFF"/>
        </w:rPr>
      </w:pPr>
      <w:r w:rsidRPr="002E751C">
        <w:rPr>
          <w:rFonts w:asciiTheme="majorBidi" w:hAnsiTheme="majorBidi" w:cstheme="majorBidi"/>
          <w:color w:val="222222"/>
          <w:sz w:val="24"/>
          <w:szCs w:val="24"/>
          <w:shd w:val="clear" w:color="auto" w:fill="FFFFFF"/>
        </w:rPr>
        <w:lastRenderedPageBreak/>
        <w:t>Ezekwe, C. I., &amp; Chidi, U. (2024). Energy Transition in West African Monetary Zone (WAMZ): Does Financial Development Matter</w:t>
      </w:r>
      <w:r w:rsidR="00B2354E">
        <w:rPr>
          <w:rFonts w:asciiTheme="majorBidi" w:hAnsiTheme="majorBidi" w:cstheme="majorBidi"/>
          <w:color w:val="222222"/>
          <w:sz w:val="24"/>
          <w:szCs w:val="24"/>
          <w:shd w:val="clear" w:color="auto" w:fill="FFFFFF"/>
        </w:rPr>
        <w:t>?</w:t>
      </w:r>
      <w:r w:rsidRPr="002E751C">
        <w:rPr>
          <w:rFonts w:asciiTheme="majorBidi" w:hAnsiTheme="majorBidi" w:cstheme="majorBidi"/>
          <w:color w:val="222222"/>
          <w:sz w:val="24"/>
          <w:szCs w:val="24"/>
          <w:shd w:val="clear" w:color="auto" w:fill="FFFFFF"/>
        </w:rPr>
        <w:t> </w:t>
      </w:r>
      <w:r w:rsidRPr="002E751C">
        <w:rPr>
          <w:rFonts w:asciiTheme="majorBidi" w:hAnsiTheme="majorBidi" w:cstheme="majorBidi"/>
          <w:i/>
          <w:iCs/>
          <w:color w:val="222222"/>
          <w:sz w:val="24"/>
          <w:szCs w:val="24"/>
          <w:shd w:val="clear" w:color="auto" w:fill="FFFFFF"/>
        </w:rPr>
        <w:t>International Journal of Research and Innovation in Social Science</w:t>
      </w:r>
      <w:r w:rsidRPr="002E751C">
        <w:rPr>
          <w:rFonts w:asciiTheme="majorBidi" w:hAnsiTheme="majorBidi" w:cstheme="majorBidi"/>
          <w:color w:val="222222"/>
          <w:sz w:val="24"/>
          <w:szCs w:val="24"/>
          <w:shd w:val="clear" w:color="auto" w:fill="FFFFFF"/>
        </w:rPr>
        <w:t>, </w:t>
      </w:r>
      <w:r w:rsidRPr="002E751C">
        <w:rPr>
          <w:rFonts w:asciiTheme="majorBidi" w:hAnsiTheme="majorBidi" w:cstheme="majorBidi"/>
          <w:i/>
          <w:iCs/>
          <w:color w:val="222222"/>
          <w:sz w:val="24"/>
          <w:szCs w:val="24"/>
          <w:shd w:val="clear" w:color="auto" w:fill="FFFFFF"/>
        </w:rPr>
        <w:t>8</w:t>
      </w:r>
      <w:r w:rsidRPr="002E751C">
        <w:rPr>
          <w:rFonts w:asciiTheme="majorBidi" w:hAnsiTheme="majorBidi" w:cstheme="majorBidi"/>
          <w:color w:val="222222"/>
          <w:sz w:val="24"/>
          <w:szCs w:val="24"/>
          <w:shd w:val="clear" w:color="auto" w:fill="FFFFFF"/>
        </w:rPr>
        <w:t>(11), 1847-1855.</w:t>
      </w:r>
    </w:p>
    <w:p w14:paraId="3BF99371"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Iqbal, M., Hassan, M. S., &amp; Arshed, N. (2023). Sustainable environment quality: moderating role of renewable energy consumption in service sector for selected HDR listed countries. </w:t>
      </w:r>
      <w:r w:rsidRPr="006300B2">
        <w:rPr>
          <w:rFonts w:asciiTheme="majorBidi" w:hAnsiTheme="majorBidi" w:cstheme="majorBidi"/>
          <w:i/>
          <w:iCs/>
          <w:color w:val="222222"/>
          <w:sz w:val="24"/>
          <w:szCs w:val="24"/>
          <w:shd w:val="clear" w:color="auto" w:fill="FFFFFF"/>
        </w:rPr>
        <w:t>Environmental Science and Pollution Research</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30</w:t>
      </w:r>
      <w:r w:rsidRPr="006300B2">
        <w:rPr>
          <w:rFonts w:asciiTheme="majorBidi" w:hAnsiTheme="majorBidi" w:cstheme="majorBidi"/>
          <w:color w:val="222222"/>
          <w:sz w:val="24"/>
          <w:szCs w:val="24"/>
          <w:shd w:val="clear" w:color="auto" w:fill="FFFFFF"/>
        </w:rPr>
        <w:t>(30), 75777-75787.</w:t>
      </w:r>
    </w:p>
    <w:p w14:paraId="709A32BC"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Karanfil, F., &amp; Li, Y. (2015). Electricity consumption and economic growth: Exploring panel-specific differences. </w:t>
      </w:r>
      <w:r w:rsidRPr="006300B2">
        <w:rPr>
          <w:rFonts w:asciiTheme="majorBidi" w:hAnsiTheme="majorBidi" w:cstheme="majorBidi"/>
          <w:i/>
          <w:iCs/>
          <w:color w:val="222222"/>
          <w:sz w:val="24"/>
          <w:szCs w:val="24"/>
          <w:shd w:val="clear" w:color="auto" w:fill="FFFFFF"/>
        </w:rPr>
        <w:t>Energy Policy</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82</w:t>
      </w:r>
      <w:r w:rsidRPr="006300B2">
        <w:rPr>
          <w:rFonts w:asciiTheme="majorBidi" w:hAnsiTheme="majorBidi" w:cstheme="majorBidi"/>
          <w:color w:val="222222"/>
          <w:sz w:val="24"/>
          <w:szCs w:val="24"/>
          <w:shd w:val="clear" w:color="auto" w:fill="FFFFFF"/>
        </w:rPr>
        <w:t>, 264-277.</w:t>
      </w:r>
    </w:p>
    <w:p w14:paraId="66994A95"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Kirikkaleli, D., Güngör, H., &amp; Adebayo, T. S. (2022). Consumption‐based carbon emissions, renewable energy consumption, financial development and economic growth in Chile. </w:t>
      </w:r>
      <w:r w:rsidRPr="006300B2">
        <w:rPr>
          <w:rFonts w:asciiTheme="majorBidi" w:hAnsiTheme="majorBidi" w:cstheme="majorBidi"/>
          <w:i/>
          <w:iCs/>
          <w:color w:val="222222"/>
          <w:sz w:val="24"/>
          <w:szCs w:val="24"/>
          <w:shd w:val="clear" w:color="auto" w:fill="FFFFFF"/>
        </w:rPr>
        <w:t>Business Strategy and the Environment</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31</w:t>
      </w:r>
      <w:r w:rsidRPr="006300B2">
        <w:rPr>
          <w:rFonts w:asciiTheme="majorBidi" w:hAnsiTheme="majorBidi" w:cstheme="majorBidi"/>
          <w:color w:val="222222"/>
          <w:sz w:val="24"/>
          <w:szCs w:val="24"/>
          <w:shd w:val="clear" w:color="auto" w:fill="FFFFFF"/>
        </w:rPr>
        <w:t>(3), 1123-1137.</w:t>
      </w:r>
    </w:p>
    <w:p w14:paraId="21CF32BD"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Kwakwa, P. A., Adu, G., &amp; Osei-Fosu, A. K. (2018). A time series analysis of fossil fuel consumption in Sub-Saharan Africa: evidence from Ghana, Kenya and South Africa. </w:t>
      </w:r>
      <w:r w:rsidRPr="006300B2">
        <w:rPr>
          <w:rFonts w:asciiTheme="majorBidi" w:hAnsiTheme="majorBidi" w:cstheme="majorBidi"/>
          <w:i/>
          <w:iCs/>
          <w:color w:val="222222"/>
          <w:sz w:val="24"/>
          <w:szCs w:val="24"/>
          <w:shd w:val="clear" w:color="auto" w:fill="FFFFFF"/>
        </w:rPr>
        <w:t>International Journal of Sustainable Energy Planning and Management</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17</w:t>
      </w:r>
      <w:r w:rsidRPr="006300B2">
        <w:rPr>
          <w:rFonts w:asciiTheme="majorBidi" w:hAnsiTheme="majorBidi" w:cstheme="majorBidi"/>
          <w:color w:val="222222"/>
          <w:sz w:val="24"/>
          <w:szCs w:val="24"/>
          <w:shd w:val="clear" w:color="auto" w:fill="FFFFFF"/>
        </w:rPr>
        <w:t>, 31-44.</w:t>
      </w:r>
    </w:p>
    <w:p w14:paraId="24DA32C3"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lang w:val="en-GB"/>
        </w:rPr>
      </w:pPr>
      <w:r w:rsidRPr="006300B2">
        <w:rPr>
          <w:rFonts w:asciiTheme="majorBidi" w:hAnsiTheme="majorBidi" w:cstheme="majorBidi"/>
          <w:color w:val="222222"/>
          <w:sz w:val="24"/>
          <w:szCs w:val="24"/>
          <w:shd w:val="clear" w:color="auto" w:fill="FFFFFF"/>
        </w:rPr>
        <w:t>Mawejje, J., &amp; Mawejje, D. N. (2016). Electricity consumption and sectoral output in Uganda: an empirical investigation. </w:t>
      </w:r>
      <w:r w:rsidRPr="006300B2">
        <w:rPr>
          <w:rFonts w:asciiTheme="majorBidi" w:hAnsiTheme="majorBidi" w:cstheme="majorBidi"/>
          <w:i/>
          <w:iCs/>
          <w:color w:val="222222"/>
          <w:sz w:val="24"/>
          <w:szCs w:val="24"/>
          <w:shd w:val="clear" w:color="auto" w:fill="FFFFFF"/>
        </w:rPr>
        <w:t>Journal of Economic Structures</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5</w:t>
      </w:r>
      <w:r w:rsidRPr="006300B2">
        <w:rPr>
          <w:rFonts w:asciiTheme="majorBidi" w:hAnsiTheme="majorBidi" w:cstheme="majorBidi"/>
          <w:color w:val="222222"/>
          <w:sz w:val="24"/>
          <w:szCs w:val="24"/>
          <w:shd w:val="clear" w:color="auto" w:fill="FFFFFF"/>
        </w:rPr>
        <w:t>(1), 21</w:t>
      </w:r>
      <w:r w:rsidRPr="006300B2">
        <w:rPr>
          <w:rFonts w:asciiTheme="majorBidi" w:hAnsiTheme="majorBidi" w:cstheme="majorBidi"/>
          <w:color w:val="222222"/>
          <w:sz w:val="24"/>
          <w:szCs w:val="24"/>
          <w:shd w:val="clear" w:color="auto" w:fill="FFFFFF"/>
          <w:lang w:val="en-GB"/>
        </w:rPr>
        <w:t>-37.</w:t>
      </w:r>
    </w:p>
    <w:p w14:paraId="61DA1BDC"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Nwosa, P. I., &amp; Akinbobola, T. O. (2012). Aggregate energy consumption and sectoral output in Nigeria. </w:t>
      </w:r>
      <w:r w:rsidRPr="006300B2">
        <w:rPr>
          <w:rFonts w:asciiTheme="majorBidi" w:hAnsiTheme="majorBidi" w:cstheme="majorBidi"/>
          <w:i/>
          <w:iCs/>
          <w:color w:val="222222"/>
          <w:sz w:val="24"/>
          <w:szCs w:val="24"/>
          <w:shd w:val="clear" w:color="auto" w:fill="FFFFFF"/>
        </w:rPr>
        <w:t>African Research Review</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6</w:t>
      </w:r>
      <w:r w:rsidRPr="006300B2">
        <w:rPr>
          <w:rFonts w:asciiTheme="majorBidi" w:hAnsiTheme="majorBidi" w:cstheme="majorBidi"/>
          <w:color w:val="222222"/>
          <w:sz w:val="24"/>
          <w:szCs w:val="24"/>
          <w:shd w:val="clear" w:color="auto" w:fill="FFFFFF"/>
        </w:rPr>
        <w:t>(4), 206-215.</w:t>
      </w:r>
    </w:p>
    <w:p w14:paraId="076BA988"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Odularu, G., &amp; Okonkwo, C. S. (2017). Advancing regional trade interests between Africa and South Korea: Emerging issues, concerns and policy options. </w:t>
      </w:r>
      <w:r w:rsidRPr="006300B2">
        <w:rPr>
          <w:rFonts w:asciiTheme="majorBidi" w:hAnsiTheme="majorBidi" w:cstheme="majorBidi"/>
          <w:i/>
          <w:iCs/>
          <w:color w:val="222222"/>
          <w:sz w:val="24"/>
          <w:szCs w:val="24"/>
          <w:shd w:val="clear" w:color="auto" w:fill="FFFFFF"/>
        </w:rPr>
        <w:t>Negotiating South-South Regional Trade Agreements: Economic Opportunities and Policy Directions for Africa</w:t>
      </w:r>
      <w:r w:rsidRPr="006300B2">
        <w:rPr>
          <w:rFonts w:asciiTheme="majorBidi" w:hAnsiTheme="majorBidi" w:cstheme="majorBidi"/>
          <w:color w:val="222222"/>
          <w:sz w:val="24"/>
          <w:szCs w:val="24"/>
          <w:shd w:val="clear" w:color="auto" w:fill="FFFFFF"/>
        </w:rPr>
        <w:t>, 85-100.</w:t>
      </w:r>
    </w:p>
    <w:p w14:paraId="48537B61" w14:textId="77777777" w:rsidR="002B2A3D" w:rsidRPr="006300B2" w:rsidRDefault="002B2A3D" w:rsidP="002B2A3D">
      <w:pPr>
        <w:ind w:left="567" w:hanging="567"/>
        <w:jc w:val="both"/>
        <w:rPr>
          <w:rFonts w:asciiTheme="majorBidi" w:hAnsiTheme="majorBidi" w:cstheme="majorBidi"/>
          <w:sz w:val="24"/>
          <w:szCs w:val="24"/>
          <w:lang w:val="en-GB"/>
        </w:rPr>
      </w:pPr>
      <w:r w:rsidRPr="006300B2">
        <w:rPr>
          <w:rFonts w:asciiTheme="majorBidi" w:hAnsiTheme="majorBidi" w:cstheme="majorBidi"/>
          <w:color w:val="222222"/>
          <w:sz w:val="24"/>
          <w:szCs w:val="24"/>
          <w:shd w:val="clear" w:color="auto" w:fill="FFFFFF"/>
        </w:rPr>
        <w:t>Oh, T. H., Pang, S. Y., &amp; Chua, S. C. (2010). Energy policy and alternative energy in Malaysia: Issues and challenges for sustainable growth. </w:t>
      </w:r>
      <w:r w:rsidRPr="006300B2">
        <w:rPr>
          <w:rFonts w:asciiTheme="majorBidi" w:hAnsiTheme="majorBidi" w:cstheme="majorBidi"/>
          <w:i/>
          <w:iCs/>
          <w:color w:val="222222"/>
          <w:sz w:val="24"/>
          <w:szCs w:val="24"/>
          <w:shd w:val="clear" w:color="auto" w:fill="FFFFFF"/>
        </w:rPr>
        <w:t>Renewable and Sustainable Energy Reviews</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14</w:t>
      </w:r>
      <w:r w:rsidRPr="006300B2">
        <w:rPr>
          <w:rFonts w:asciiTheme="majorBidi" w:hAnsiTheme="majorBidi" w:cstheme="majorBidi"/>
          <w:color w:val="222222"/>
          <w:sz w:val="24"/>
          <w:szCs w:val="24"/>
          <w:shd w:val="clear" w:color="auto" w:fill="FFFFFF"/>
        </w:rPr>
        <w:t>(4), 1241-1252.</w:t>
      </w:r>
    </w:p>
    <w:p w14:paraId="45B12230"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Olanrele, I. A., Lawal, A. I., Dahunsi, S. O., Babajide, A. A., &amp; IseOlorunkanmi, J. O. (2020). The impact of access to electricity on education and health sectors in Nigeria’s rural communities. </w:t>
      </w:r>
      <w:r w:rsidRPr="006300B2">
        <w:rPr>
          <w:rFonts w:asciiTheme="majorBidi" w:hAnsiTheme="majorBidi" w:cstheme="majorBidi"/>
          <w:i/>
          <w:iCs/>
          <w:color w:val="222222"/>
          <w:sz w:val="24"/>
          <w:szCs w:val="24"/>
          <w:shd w:val="clear" w:color="auto" w:fill="FFFFFF"/>
        </w:rPr>
        <w:t>Entrepreneurship and Sustainability Issues</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7</w:t>
      </w:r>
      <w:r w:rsidRPr="006300B2">
        <w:rPr>
          <w:rFonts w:asciiTheme="majorBidi" w:hAnsiTheme="majorBidi" w:cstheme="majorBidi"/>
          <w:color w:val="222222"/>
          <w:sz w:val="24"/>
          <w:szCs w:val="24"/>
          <w:shd w:val="clear" w:color="auto" w:fill="FFFFFF"/>
        </w:rPr>
        <w:t>(4), 3016-3035.</w:t>
      </w:r>
    </w:p>
    <w:p w14:paraId="37795F22"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Opeyemi, B. M. (2021). Path to sustainable energy consumption: The possibility of substituting renewable energy for non-renewable energy. </w:t>
      </w:r>
      <w:r w:rsidRPr="006300B2">
        <w:rPr>
          <w:rFonts w:asciiTheme="majorBidi" w:hAnsiTheme="majorBidi" w:cstheme="majorBidi"/>
          <w:i/>
          <w:iCs/>
          <w:color w:val="222222"/>
          <w:sz w:val="24"/>
          <w:szCs w:val="24"/>
          <w:shd w:val="clear" w:color="auto" w:fill="FFFFFF"/>
        </w:rPr>
        <w:t>Energy</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228</w:t>
      </w:r>
      <w:r w:rsidRPr="006300B2">
        <w:rPr>
          <w:rFonts w:asciiTheme="majorBidi" w:hAnsiTheme="majorBidi" w:cstheme="majorBidi"/>
          <w:color w:val="222222"/>
          <w:sz w:val="24"/>
          <w:szCs w:val="24"/>
          <w:shd w:val="clear" w:color="auto" w:fill="FFFFFF"/>
        </w:rPr>
        <w:t>, 120519.</w:t>
      </w:r>
    </w:p>
    <w:p w14:paraId="46437112"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Samuel, U. E., Rosemary, I. H., Inim, V., Ededem, A. J., &amp; Ndubuaku, V. (2021). Energy consumption and sectorial value addition on economic growth in Nigeria. </w:t>
      </w:r>
      <w:r w:rsidRPr="006300B2">
        <w:rPr>
          <w:rFonts w:asciiTheme="majorBidi" w:hAnsiTheme="majorBidi" w:cstheme="majorBidi"/>
          <w:i/>
          <w:iCs/>
          <w:color w:val="222222"/>
          <w:sz w:val="24"/>
          <w:szCs w:val="24"/>
          <w:shd w:val="clear" w:color="auto" w:fill="FFFFFF"/>
        </w:rPr>
        <w:t>Universal Journal of Accounting and Finance</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9</w:t>
      </w:r>
      <w:r w:rsidRPr="006300B2">
        <w:rPr>
          <w:rFonts w:asciiTheme="majorBidi" w:hAnsiTheme="majorBidi" w:cstheme="majorBidi"/>
          <w:color w:val="222222"/>
          <w:sz w:val="24"/>
          <w:szCs w:val="24"/>
          <w:shd w:val="clear" w:color="auto" w:fill="FFFFFF"/>
        </w:rPr>
        <w:t>(1), 74-85.</w:t>
      </w:r>
    </w:p>
    <w:p w14:paraId="24559196" w14:textId="77777777" w:rsidR="002B2A3D" w:rsidRPr="006300B2" w:rsidRDefault="002B2A3D" w:rsidP="002B2A3D">
      <w:pPr>
        <w:ind w:left="567" w:hanging="567"/>
        <w:jc w:val="both"/>
        <w:rPr>
          <w:rFonts w:asciiTheme="majorBidi" w:hAnsiTheme="majorBidi" w:cstheme="majorBidi"/>
          <w:color w:val="222222"/>
          <w:sz w:val="24"/>
          <w:szCs w:val="24"/>
          <w:shd w:val="clear" w:color="auto" w:fill="FFFFFF"/>
        </w:rPr>
      </w:pPr>
      <w:r w:rsidRPr="006300B2">
        <w:rPr>
          <w:rFonts w:asciiTheme="majorBidi" w:hAnsiTheme="majorBidi" w:cstheme="majorBidi"/>
          <w:color w:val="222222"/>
          <w:sz w:val="24"/>
          <w:szCs w:val="24"/>
          <w:shd w:val="clear" w:color="auto" w:fill="FFFFFF"/>
        </w:rPr>
        <w:t>Strielkowski, W., Civín, L., Tarkhanova, E., Tvaronavičienė, M., &amp; Petrenko, Y. (2021). Renewable energy in the sustainable development of electrical power sector: A review. </w:t>
      </w:r>
      <w:r w:rsidRPr="006300B2">
        <w:rPr>
          <w:rFonts w:asciiTheme="majorBidi" w:hAnsiTheme="majorBidi" w:cstheme="majorBidi"/>
          <w:i/>
          <w:iCs/>
          <w:color w:val="222222"/>
          <w:sz w:val="24"/>
          <w:szCs w:val="24"/>
          <w:shd w:val="clear" w:color="auto" w:fill="FFFFFF"/>
        </w:rPr>
        <w:t>Energies</w:t>
      </w:r>
      <w:r w:rsidRPr="006300B2">
        <w:rPr>
          <w:rFonts w:asciiTheme="majorBidi" w:hAnsiTheme="majorBidi" w:cstheme="majorBidi"/>
          <w:color w:val="222222"/>
          <w:sz w:val="24"/>
          <w:szCs w:val="24"/>
          <w:shd w:val="clear" w:color="auto" w:fill="FFFFFF"/>
        </w:rPr>
        <w:t>, </w:t>
      </w:r>
      <w:r w:rsidRPr="006300B2">
        <w:rPr>
          <w:rFonts w:asciiTheme="majorBidi" w:hAnsiTheme="majorBidi" w:cstheme="majorBidi"/>
          <w:i/>
          <w:iCs/>
          <w:color w:val="222222"/>
          <w:sz w:val="24"/>
          <w:szCs w:val="24"/>
          <w:shd w:val="clear" w:color="auto" w:fill="FFFFFF"/>
        </w:rPr>
        <w:t>14</w:t>
      </w:r>
      <w:r w:rsidRPr="006300B2">
        <w:rPr>
          <w:rFonts w:asciiTheme="majorBidi" w:hAnsiTheme="majorBidi" w:cstheme="majorBidi"/>
          <w:color w:val="222222"/>
          <w:sz w:val="24"/>
          <w:szCs w:val="24"/>
          <w:shd w:val="clear" w:color="auto" w:fill="FFFFFF"/>
        </w:rPr>
        <w:t>(24), 8240.</w:t>
      </w:r>
    </w:p>
    <w:p w14:paraId="074436E2" w14:textId="45DF98A1" w:rsidR="00B92C50" w:rsidRPr="00C62389" w:rsidRDefault="00B92C50" w:rsidP="00E560C5">
      <w:pPr>
        <w:spacing w:line="360" w:lineRule="auto"/>
        <w:jc w:val="both"/>
        <w:rPr>
          <w:rFonts w:ascii="Times New Roman" w:hAnsi="Times New Roman" w:cs="Times New Roman"/>
          <w:color w:val="000000"/>
          <w:sz w:val="24"/>
          <w:szCs w:val="24"/>
        </w:rPr>
      </w:pPr>
    </w:p>
    <w:p w14:paraId="3151DCF0" w14:textId="77777777" w:rsidR="00E2480D" w:rsidRPr="00B92C50" w:rsidRDefault="00E2480D" w:rsidP="00E560C5">
      <w:pPr>
        <w:spacing w:line="360" w:lineRule="auto"/>
        <w:jc w:val="both"/>
        <w:rPr>
          <w:rFonts w:asciiTheme="majorBidi" w:hAnsiTheme="majorBidi" w:cstheme="majorBidi"/>
          <w:b/>
          <w:bCs/>
          <w:sz w:val="24"/>
          <w:szCs w:val="24"/>
          <w:lang w:val="en-GB"/>
        </w:rPr>
      </w:pPr>
    </w:p>
    <w:sectPr w:rsidR="00E2480D" w:rsidRPr="00B92C50">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52047" w14:textId="77777777" w:rsidR="00034516" w:rsidRDefault="00034516" w:rsidP="008812F9">
      <w:pPr>
        <w:spacing w:after="0" w:line="240" w:lineRule="auto"/>
      </w:pPr>
      <w:r>
        <w:separator/>
      </w:r>
    </w:p>
  </w:endnote>
  <w:endnote w:type="continuationSeparator" w:id="0">
    <w:p w14:paraId="73D931AC" w14:textId="77777777" w:rsidR="00034516" w:rsidRDefault="00034516" w:rsidP="0088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B49A" w14:textId="77777777" w:rsidR="008812F9" w:rsidRDefault="00881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2E46B" w14:textId="77777777" w:rsidR="008812F9" w:rsidRDefault="00881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9B0F4" w14:textId="77777777" w:rsidR="008812F9" w:rsidRDefault="00881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D09D7" w14:textId="77777777" w:rsidR="00034516" w:rsidRDefault="00034516" w:rsidP="008812F9">
      <w:pPr>
        <w:spacing w:after="0" w:line="240" w:lineRule="auto"/>
      </w:pPr>
      <w:r>
        <w:separator/>
      </w:r>
    </w:p>
  </w:footnote>
  <w:footnote w:type="continuationSeparator" w:id="0">
    <w:p w14:paraId="2147BB29" w14:textId="77777777" w:rsidR="00034516" w:rsidRDefault="00034516" w:rsidP="00881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EF4CF" w14:textId="1AE7798F" w:rsidR="008812F9" w:rsidRDefault="008812F9">
    <w:pPr>
      <w:pStyle w:val="Header"/>
    </w:pPr>
    <w:r>
      <w:rPr>
        <w:noProof/>
      </w:rPr>
      <w:pict w14:anchorId="09263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863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1297D" w14:textId="4BD08332" w:rsidR="008812F9" w:rsidRDefault="008812F9">
    <w:pPr>
      <w:pStyle w:val="Header"/>
    </w:pPr>
    <w:r>
      <w:rPr>
        <w:noProof/>
      </w:rPr>
      <w:pict w14:anchorId="174BA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863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91FC" w14:textId="227C9E91" w:rsidR="008812F9" w:rsidRDefault="008812F9">
    <w:pPr>
      <w:pStyle w:val="Header"/>
    </w:pPr>
    <w:r>
      <w:rPr>
        <w:noProof/>
      </w:rPr>
      <w:pict w14:anchorId="28DC3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863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3D23"/>
    <w:multiLevelType w:val="hybridMultilevel"/>
    <w:tmpl w:val="2F94B14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50"/>
    <w:rsid w:val="00004CB7"/>
    <w:rsid w:val="0001525A"/>
    <w:rsid w:val="000279F0"/>
    <w:rsid w:val="00034516"/>
    <w:rsid w:val="000D0151"/>
    <w:rsid w:val="00123F38"/>
    <w:rsid w:val="0014026C"/>
    <w:rsid w:val="00146653"/>
    <w:rsid w:val="001D746B"/>
    <w:rsid w:val="001E5FE5"/>
    <w:rsid w:val="00201379"/>
    <w:rsid w:val="002221C5"/>
    <w:rsid w:val="00227215"/>
    <w:rsid w:val="0024332E"/>
    <w:rsid w:val="002653E2"/>
    <w:rsid w:val="00266985"/>
    <w:rsid w:val="00273A33"/>
    <w:rsid w:val="00282DE7"/>
    <w:rsid w:val="00295054"/>
    <w:rsid w:val="002B2A3D"/>
    <w:rsid w:val="002C7E96"/>
    <w:rsid w:val="002E751C"/>
    <w:rsid w:val="002F5717"/>
    <w:rsid w:val="00315D2B"/>
    <w:rsid w:val="00327328"/>
    <w:rsid w:val="003767F1"/>
    <w:rsid w:val="00390CA8"/>
    <w:rsid w:val="003C4099"/>
    <w:rsid w:val="003D3644"/>
    <w:rsid w:val="003F5753"/>
    <w:rsid w:val="004136F9"/>
    <w:rsid w:val="0042603D"/>
    <w:rsid w:val="004265B4"/>
    <w:rsid w:val="00466C93"/>
    <w:rsid w:val="0047150A"/>
    <w:rsid w:val="004B7AF3"/>
    <w:rsid w:val="004E474C"/>
    <w:rsid w:val="00522814"/>
    <w:rsid w:val="005D384A"/>
    <w:rsid w:val="005D60F9"/>
    <w:rsid w:val="0065138E"/>
    <w:rsid w:val="00667FE6"/>
    <w:rsid w:val="006803C8"/>
    <w:rsid w:val="00685921"/>
    <w:rsid w:val="006A1730"/>
    <w:rsid w:val="00704F09"/>
    <w:rsid w:val="007075EA"/>
    <w:rsid w:val="00711008"/>
    <w:rsid w:val="007707B0"/>
    <w:rsid w:val="007723D0"/>
    <w:rsid w:val="007A6336"/>
    <w:rsid w:val="007B0F31"/>
    <w:rsid w:val="007B5C8C"/>
    <w:rsid w:val="007D2140"/>
    <w:rsid w:val="00854EF1"/>
    <w:rsid w:val="008812F9"/>
    <w:rsid w:val="008D702B"/>
    <w:rsid w:val="008E21AD"/>
    <w:rsid w:val="008F2E81"/>
    <w:rsid w:val="0092214B"/>
    <w:rsid w:val="00936753"/>
    <w:rsid w:val="00952AF5"/>
    <w:rsid w:val="00982F66"/>
    <w:rsid w:val="009F331E"/>
    <w:rsid w:val="009F42F9"/>
    <w:rsid w:val="009F6B8A"/>
    <w:rsid w:val="00A327CD"/>
    <w:rsid w:val="00A474FB"/>
    <w:rsid w:val="00A64B60"/>
    <w:rsid w:val="00B14C4B"/>
    <w:rsid w:val="00B2072A"/>
    <w:rsid w:val="00B2354E"/>
    <w:rsid w:val="00B45437"/>
    <w:rsid w:val="00B65635"/>
    <w:rsid w:val="00B92C50"/>
    <w:rsid w:val="00B97A35"/>
    <w:rsid w:val="00BA287C"/>
    <w:rsid w:val="00BA2F80"/>
    <w:rsid w:val="00BB67C3"/>
    <w:rsid w:val="00BC183C"/>
    <w:rsid w:val="00BE1681"/>
    <w:rsid w:val="00C0456D"/>
    <w:rsid w:val="00C14CB1"/>
    <w:rsid w:val="00C36466"/>
    <w:rsid w:val="00C5206B"/>
    <w:rsid w:val="00C62389"/>
    <w:rsid w:val="00C86E86"/>
    <w:rsid w:val="00C90E24"/>
    <w:rsid w:val="00CB41EB"/>
    <w:rsid w:val="00CD144F"/>
    <w:rsid w:val="00CD6A39"/>
    <w:rsid w:val="00CE2828"/>
    <w:rsid w:val="00D70FB9"/>
    <w:rsid w:val="00D71239"/>
    <w:rsid w:val="00D92BFE"/>
    <w:rsid w:val="00DA47E2"/>
    <w:rsid w:val="00DD430C"/>
    <w:rsid w:val="00E22623"/>
    <w:rsid w:val="00E2380B"/>
    <w:rsid w:val="00E2480D"/>
    <w:rsid w:val="00E560C5"/>
    <w:rsid w:val="00E7009B"/>
    <w:rsid w:val="00E82BF2"/>
    <w:rsid w:val="00EB3609"/>
    <w:rsid w:val="00ED16D4"/>
    <w:rsid w:val="00F33F3F"/>
    <w:rsid w:val="00F405B4"/>
    <w:rsid w:val="00FF35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81D458"/>
  <w15:chartTrackingRefBased/>
  <w15:docId w15:val="{1F65ECDE-2652-44FA-AA66-02999E85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2C50"/>
    <w:pPr>
      <w:ind w:left="720"/>
      <w:contextualSpacing/>
    </w:pPr>
  </w:style>
  <w:style w:type="character" w:customStyle="1" w:styleId="editortnoteditedlongjunnx">
    <w:name w:val="editor_t__not_edited_long__junnx"/>
    <w:basedOn w:val="DefaultParagraphFont"/>
    <w:rsid w:val="00BA2F80"/>
  </w:style>
  <w:style w:type="character" w:customStyle="1" w:styleId="editortaddedltunj">
    <w:name w:val="editor_t__added__ltunj"/>
    <w:basedOn w:val="DefaultParagraphFont"/>
    <w:rsid w:val="00BA2F80"/>
  </w:style>
  <w:style w:type="character" w:customStyle="1" w:styleId="editortnoteditedwurp8">
    <w:name w:val="editor_t__not_edited__wurp8"/>
    <w:basedOn w:val="DefaultParagraphFont"/>
    <w:rsid w:val="00BA2F80"/>
  </w:style>
  <w:style w:type="table" w:styleId="PlainTable4">
    <w:name w:val="Plain Table 4"/>
    <w:basedOn w:val="TableNormal"/>
    <w:uiPriority w:val="44"/>
    <w:rsid w:val="002669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54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62389"/>
  </w:style>
  <w:style w:type="character" w:styleId="Hyperlink">
    <w:name w:val="Hyperlink"/>
    <w:basedOn w:val="DefaultParagraphFont"/>
    <w:uiPriority w:val="99"/>
    <w:unhideWhenUsed/>
    <w:rsid w:val="002B2A3D"/>
    <w:rPr>
      <w:color w:val="0000FF"/>
      <w:u w:val="single"/>
    </w:rPr>
  </w:style>
  <w:style w:type="character" w:styleId="UnresolvedMention">
    <w:name w:val="Unresolved Mention"/>
    <w:basedOn w:val="DefaultParagraphFont"/>
    <w:uiPriority w:val="99"/>
    <w:semiHidden/>
    <w:unhideWhenUsed/>
    <w:rsid w:val="00936753"/>
    <w:rPr>
      <w:color w:val="605E5C"/>
      <w:shd w:val="clear" w:color="auto" w:fill="E1DFDD"/>
    </w:rPr>
  </w:style>
  <w:style w:type="paragraph" w:styleId="Header">
    <w:name w:val="header"/>
    <w:basedOn w:val="Normal"/>
    <w:link w:val="HeaderChar"/>
    <w:uiPriority w:val="99"/>
    <w:unhideWhenUsed/>
    <w:rsid w:val="00881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2F9"/>
  </w:style>
  <w:style w:type="paragraph" w:styleId="Footer">
    <w:name w:val="footer"/>
    <w:basedOn w:val="Normal"/>
    <w:link w:val="FooterChar"/>
    <w:uiPriority w:val="99"/>
    <w:unhideWhenUsed/>
    <w:rsid w:val="00881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90141">
      <w:bodyDiv w:val="1"/>
      <w:marLeft w:val="0"/>
      <w:marRight w:val="0"/>
      <w:marTop w:val="0"/>
      <w:marBottom w:val="0"/>
      <w:divBdr>
        <w:top w:val="none" w:sz="0" w:space="0" w:color="auto"/>
        <w:left w:val="none" w:sz="0" w:space="0" w:color="auto"/>
        <w:bottom w:val="none" w:sz="0" w:space="0" w:color="auto"/>
        <w:right w:val="none" w:sz="0" w:space="0" w:color="auto"/>
      </w:divBdr>
    </w:div>
    <w:div w:id="50004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yperlink" Target="https://ideas.repec.org/s/bla/afrdev.html" TargetMode="External"/><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s://ideas.repec.org/a/bla/afrdev/v31y2019i3p292-306.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12</Pages>
  <Words>4079</Words>
  <Characters>23252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christoezekwe@gmail.com</dc:creator>
  <cp:keywords/>
  <dc:description/>
  <cp:lastModifiedBy>SDI 1084</cp:lastModifiedBy>
  <cp:revision>102</cp:revision>
  <dcterms:created xsi:type="dcterms:W3CDTF">2025-02-22T12:07:00Z</dcterms:created>
  <dcterms:modified xsi:type="dcterms:W3CDTF">2025-02-24T13:58:00Z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d10b9195-9b7f-4b8f-83d0-c9f543bc3663</vt:lpwstr>
  </property>
</Properties>
</file>