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A15E7" w14:textId="36329760" w:rsidR="00BC6A0A" w:rsidRPr="0092006B" w:rsidRDefault="00D83DA5" w:rsidP="00055D83">
      <w:pPr>
        <w:spacing w:line="240" w:lineRule="auto"/>
        <w:jc w:val="center"/>
        <w:rPr>
          <w:rFonts w:cs="Times New Roman"/>
          <w:b/>
          <w:bCs/>
          <w:color w:val="000000" w:themeColor="text1"/>
          <w:sz w:val="36"/>
          <w:szCs w:val="36"/>
        </w:rPr>
      </w:pPr>
      <w:bookmarkStart w:id="0" w:name="_GoBack"/>
      <w:bookmarkEnd w:id="0"/>
      <w:r w:rsidRPr="00D83DA5">
        <w:rPr>
          <w:rFonts w:cs="Times New Roman"/>
          <w:b/>
          <w:bCs/>
          <w:color w:val="000000" w:themeColor="text1"/>
          <w:sz w:val="36"/>
          <w:szCs w:val="36"/>
          <w:highlight w:val="green"/>
        </w:rPr>
        <w:t>Impact of Prudential Regulations on the Profitability of Commercial Banks Listed at the Nairobi Securities Exchange in Kenya</w:t>
      </w:r>
    </w:p>
    <w:p w14:paraId="25CCDF75" w14:textId="77777777" w:rsidR="00BC6A0A" w:rsidRPr="0092006B" w:rsidRDefault="00BC6A0A" w:rsidP="00055D83">
      <w:pPr>
        <w:spacing w:line="240" w:lineRule="auto"/>
        <w:jc w:val="center"/>
        <w:rPr>
          <w:rFonts w:cs="Times New Roman"/>
          <w:b/>
          <w:bCs/>
          <w:color w:val="000000" w:themeColor="text1"/>
          <w:sz w:val="36"/>
          <w:szCs w:val="36"/>
        </w:rPr>
      </w:pPr>
    </w:p>
    <w:p w14:paraId="42946DD8" w14:textId="77777777" w:rsidR="00055D83" w:rsidRPr="0092006B" w:rsidRDefault="00055D83" w:rsidP="00055D83">
      <w:pPr>
        <w:pStyle w:val="Heading1"/>
      </w:pPr>
      <w:bookmarkStart w:id="1" w:name="_Toc488404692"/>
      <w:bookmarkStart w:id="2" w:name="_Toc102409737"/>
      <w:r w:rsidRPr="0092006B">
        <w:t>ABSTRACT</w:t>
      </w:r>
      <w:bookmarkEnd w:id="1"/>
      <w:bookmarkEnd w:id="2"/>
    </w:p>
    <w:p w14:paraId="0D75BEC1" w14:textId="1860EB07" w:rsidR="000443AB" w:rsidRPr="0092006B" w:rsidRDefault="00C72C38" w:rsidP="000443AB">
      <w:pPr>
        <w:spacing w:line="240" w:lineRule="auto"/>
        <w:rPr>
          <w:rFonts w:cs="Times New Roman"/>
          <w:szCs w:val="24"/>
        </w:rPr>
      </w:pPr>
      <w:r w:rsidRPr="00C72C38">
        <w:rPr>
          <w:rFonts w:cs="Times New Roman"/>
          <w:szCs w:val="24"/>
          <w:highlight w:val="green"/>
        </w:rPr>
        <w:t>This study examines the impact of prudential regulations on the profitability of commercial banks listed on the Nairobi Stock Exchange (NSE), addressing the persistent challenge of unstable profitability in the sector. Existing literature largely focuses on general banking regulations but lacks insights into their specific effects on bank performance in Kenya. The study explores how capital adequacy, liquidity, and credit risk regulations influence profitability and whether bank size moderates this relationship. Guided by stakeholder, capital buffer, liquidity preference, efficiency structure, and resource-based theories, the study employs an explanatory research design, analyzing panel data from 2013 to 2021 for all 11 publicly traded banks in Kenya. Robust statistical analyses were conducted to ensure result validity. Findings indicate that liquidity and credit risk regulations significantly and negatively impact profitability when measured by Return on Assets (ROA) and Return on Equity (ROE). Stricter liquidity requirements reduce banks' ability to meet short-term financial obligations, thereby lowering profitability. Similarly, stringent credit risk regulations limit banks’ flexibility in lending, increasing the likelihood of non-performing loans and reducing earnings. However, capital adequacy regulations showed little effect on profitability, suggesting that Kenyan banks maintain sufficient capital reserves without directly influencing earnings. Additionally, the study found that bank size does not significantly moderate the relationship between prudential regulations and profitability. The study recommends that the Central Bank of Kenya review liquidity regulations to balance financial stability with profitability. Commercial banks should collaborate with regulators to refine credit risk policies, ensuring efficient loan utilization and improved loan recovery rates. Management should also optimize liquid asset holdings to enhance profitability while maintaining financial obligations. Credit managers should implement stricter approval processes to minimize non-performing loans, ultimately improving bank performance and stability</w:t>
      </w:r>
      <w:r w:rsidR="000443AB" w:rsidRPr="0092006B">
        <w:rPr>
          <w:rFonts w:cs="Times New Roman"/>
          <w:szCs w:val="24"/>
        </w:rPr>
        <w:t>.</w:t>
      </w:r>
    </w:p>
    <w:p w14:paraId="61AB1A5D" w14:textId="23AFFD0F" w:rsidR="008456FF" w:rsidRPr="0092006B" w:rsidRDefault="000443AB" w:rsidP="007A0442">
      <w:pPr>
        <w:spacing w:line="240" w:lineRule="auto"/>
        <w:rPr>
          <w:i/>
          <w:iCs/>
        </w:rPr>
      </w:pPr>
      <w:r w:rsidRPr="0092006B">
        <w:rPr>
          <w:b/>
          <w:bCs/>
        </w:rPr>
        <w:t>Key Words:</w:t>
      </w:r>
      <w:r w:rsidRPr="0092006B">
        <w:t xml:space="preserve"> </w:t>
      </w:r>
      <w:r w:rsidRPr="0092006B">
        <w:rPr>
          <w:i/>
          <w:iCs/>
        </w:rPr>
        <w:t>commercial banks, profitability, prudential regulations, liquidity, credit risk, capital adequacy, loan recovery, non-performing loans.</w:t>
      </w:r>
    </w:p>
    <w:p w14:paraId="694C3245" w14:textId="77777777" w:rsidR="00055D83" w:rsidRPr="0092006B" w:rsidRDefault="00055D83" w:rsidP="00055D83">
      <w:pPr>
        <w:spacing w:line="240" w:lineRule="auto"/>
        <w:rPr>
          <w:rFonts w:cs="Times New Roman"/>
          <w:color w:val="000000" w:themeColor="text1"/>
          <w:szCs w:val="24"/>
        </w:rPr>
      </w:pPr>
    </w:p>
    <w:p w14:paraId="2B31750F" w14:textId="77777777" w:rsidR="00055D83" w:rsidRPr="0092006B" w:rsidRDefault="00055D83" w:rsidP="00055D83">
      <w:pPr>
        <w:spacing w:line="240" w:lineRule="auto"/>
        <w:rPr>
          <w:rFonts w:cs="Times New Roman"/>
          <w:color w:val="000000" w:themeColor="text1"/>
          <w:szCs w:val="24"/>
        </w:rPr>
      </w:pPr>
    </w:p>
    <w:p w14:paraId="23647AD2" w14:textId="77777777" w:rsidR="00055D83" w:rsidRPr="0092006B" w:rsidRDefault="00055D83" w:rsidP="00055D83">
      <w:pPr>
        <w:spacing w:before="0" w:after="160" w:line="240" w:lineRule="auto"/>
        <w:jc w:val="left"/>
        <w:rPr>
          <w:rFonts w:eastAsia="Times New Roman" w:cs="Times New Roman"/>
          <w:b/>
          <w:bCs/>
          <w:color w:val="000000" w:themeColor="text1"/>
          <w:szCs w:val="24"/>
        </w:rPr>
      </w:pPr>
      <w:r w:rsidRPr="0092006B">
        <w:rPr>
          <w:rFonts w:eastAsia="Times New Roman" w:cs="Times New Roman"/>
          <w:b/>
          <w:bCs/>
          <w:color w:val="000000" w:themeColor="text1"/>
          <w:szCs w:val="24"/>
        </w:rPr>
        <w:br w:type="page"/>
      </w:r>
    </w:p>
    <w:p w14:paraId="60C890DF" w14:textId="77777777" w:rsidR="00055D83" w:rsidRPr="0092006B" w:rsidRDefault="00055D83" w:rsidP="00055D83">
      <w:pPr>
        <w:shd w:val="clear" w:color="auto" w:fill="FFFFFF"/>
        <w:spacing w:line="240" w:lineRule="auto"/>
        <w:rPr>
          <w:rFonts w:eastAsia="Times New Roman" w:cs="Times New Roman"/>
          <w:b/>
          <w:bCs/>
          <w:color w:val="000000" w:themeColor="text1"/>
          <w:sz w:val="28"/>
          <w:szCs w:val="28"/>
        </w:rPr>
      </w:pPr>
      <w:r w:rsidRPr="0092006B">
        <w:rPr>
          <w:rFonts w:eastAsia="Times New Roman" w:cs="Times New Roman"/>
          <w:b/>
          <w:bCs/>
          <w:color w:val="000000" w:themeColor="text1"/>
          <w:sz w:val="28"/>
          <w:szCs w:val="28"/>
        </w:rPr>
        <w:lastRenderedPageBreak/>
        <w:t>1.0 INTRODUCTION</w:t>
      </w:r>
    </w:p>
    <w:p w14:paraId="2E51710E" w14:textId="77777777" w:rsidR="00B068AE" w:rsidRPr="00B068AE" w:rsidRDefault="00B068AE" w:rsidP="00B068AE">
      <w:pPr>
        <w:shd w:val="clear" w:color="auto" w:fill="FFFFFF"/>
        <w:spacing w:line="240" w:lineRule="auto"/>
        <w:rPr>
          <w:rFonts w:cs="Times New Roman"/>
          <w:color w:val="000000" w:themeColor="text1"/>
          <w:szCs w:val="24"/>
          <w:highlight w:val="green"/>
        </w:rPr>
      </w:pPr>
      <w:r w:rsidRPr="00B068AE">
        <w:rPr>
          <w:rFonts w:cs="Times New Roman"/>
          <w:color w:val="000000" w:themeColor="text1"/>
          <w:szCs w:val="24"/>
          <w:highlight w:val="green"/>
        </w:rPr>
        <w:t>The emerging issue of weak regulation in the banking sector has raised concerns about its potential impact on profitability. Complaints about inadequate regulation of capital and liquidity highlight the need for stricter oversight to ensure stability and efficiency. Commercial banks are crucial to economic resource allocation, providing loans to investors and supporting state finances. However, banking challenges persist due to internal weaknesses such as inadequate capital and lax regulation, necessitating continuous reforms. Effective regulation is vital for managing the banking sector responsibly and ensuring profitability. Various studies have examined the factors influencing bank profitability, with a focus on institutional characteristics. In Malaysia, research has explored the determinants of profitability in both conventional and Islamic banks, while Nigeria's introduction of the National Strategy for Economic Strengthening and Development (NEEDS) in 2004 led to significant growth in the banking industry. In contrast, Kenya has experienced declining bank profitability, negatively impacting economic growth. Low profitability can lead to banking crises, as seen during the 2007 global financial crisis, reinforcing the need for proper regulation by central banks to protect depositors and ensure stability.</w:t>
      </w:r>
    </w:p>
    <w:p w14:paraId="056AE10F" w14:textId="77777777" w:rsidR="00B068AE" w:rsidRPr="00B068AE" w:rsidRDefault="00B068AE" w:rsidP="00B068AE">
      <w:pPr>
        <w:shd w:val="clear" w:color="auto" w:fill="FFFFFF"/>
        <w:spacing w:line="240" w:lineRule="auto"/>
        <w:rPr>
          <w:rFonts w:cs="Times New Roman"/>
          <w:color w:val="000000" w:themeColor="text1"/>
          <w:szCs w:val="24"/>
          <w:highlight w:val="green"/>
        </w:rPr>
      </w:pPr>
      <w:r w:rsidRPr="00B068AE">
        <w:rPr>
          <w:rFonts w:cs="Times New Roman"/>
          <w:color w:val="000000" w:themeColor="text1"/>
          <w:szCs w:val="24"/>
          <w:highlight w:val="green"/>
        </w:rPr>
        <w:t>In Kenya, the Central Bank serves as the primary regulatory authority, with its mandate grounded in the Financial Act and the Central Bank of Kenya Act. Prudential regulations, including capital adequacy, credit risk, and liquidity management, are key to maintaining financial stability and preventing crises. While tighter regulatory standards help avert banking failures, they also increase initial setup costs, favoring larger banks over smaller institutions. Prudential regulations are essential for structuring financial institutions and ensuring the stability of financial markets. Implemented by central banks, these regulations safeguard the efficient operation of banks, thereby promoting economic growth through investment activities. Among the most critical prudential regulations is the Capital Adequacy Ratio (CAR), which measures a bank’s ability to absorb losses and maintain stability. CAR is determined by comparing a bank's equity capital to its risk-weighted assets, acting as a protective buffer against potential financial downturns. Regulators monitor CAR closely to ensure that banks maintain sufficient capital levels for operational stability and efficiency.</w:t>
      </w:r>
    </w:p>
    <w:p w14:paraId="7048AE0D" w14:textId="77777777" w:rsidR="00B068AE" w:rsidRPr="00B068AE" w:rsidRDefault="00B068AE" w:rsidP="00B068AE">
      <w:pPr>
        <w:shd w:val="clear" w:color="auto" w:fill="FFFFFF"/>
        <w:spacing w:line="240" w:lineRule="auto"/>
        <w:rPr>
          <w:rFonts w:cs="Times New Roman"/>
          <w:color w:val="000000" w:themeColor="text1"/>
          <w:szCs w:val="24"/>
        </w:rPr>
      </w:pPr>
      <w:r w:rsidRPr="00B068AE">
        <w:rPr>
          <w:rFonts w:cs="Times New Roman"/>
          <w:color w:val="000000" w:themeColor="text1"/>
          <w:szCs w:val="24"/>
          <w:highlight w:val="green"/>
        </w:rPr>
        <w:t>Liquidity management is another fundamental component of banking regulations, reflecting a bank’s ability to meet financial obligations, particularly those owed to depositors. Banks with higher liquidity levels tend to be more profitable, as they can meet short-term financial needs without endangering operations. Liquidity ratios such as the loan-to-deposit ratio and the deposit-to-assets ratio help assess financial health. High liquidity ensures banks can function effectively without facing financial distress. Additionally, credit risk, particularly in the form of nonperforming loans (NPLs), significantly influences bank profitability. A high percentage of NPLs indicates poor loan quality, leading to financial instability. Effective management of NPLs by minimizing their proportion of total loans strengthens a bank’s overall financial health. In summary, effective prudential regulations addressing capital adequacy, liquidity, and credit risk are essential for a stable and profitable banking sector. While weak regulation may allow financial institutions more operational flexibility, it increases the risk of financial instability, ultimately undermining profitability. Strengthening oversight through proper regulatory frameworks will ensure that banks remain resilient, fostering economic growth and financial stability</w:t>
      </w:r>
      <w:r w:rsidRPr="00B068AE">
        <w:rPr>
          <w:rFonts w:cs="Times New Roman"/>
          <w:color w:val="000000" w:themeColor="text1"/>
          <w:szCs w:val="24"/>
        </w:rPr>
        <w:t>.</w:t>
      </w:r>
    </w:p>
    <w:p w14:paraId="54ED9B58" w14:textId="7030CFB7" w:rsidR="00BA790C" w:rsidRPr="0092006B" w:rsidRDefault="00BA790C" w:rsidP="00426CDB">
      <w:pPr>
        <w:shd w:val="clear" w:color="auto" w:fill="FFFFFF"/>
        <w:spacing w:line="240" w:lineRule="auto"/>
        <w:rPr>
          <w:rFonts w:cs="Times New Roman"/>
          <w:color w:val="000000" w:themeColor="text1"/>
          <w:szCs w:val="24"/>
        </w:rPr>
      </w:pPr>
      <w:r w:rsidRPr="0092006B">
        <w:rPr>
          <w:rFonts w:cs="Times New Roman"/>
          <w:color w:val="000000" w:themeColor="text1"/>
          <w:szCs w:val="24"/>
        </w:rPr>
        <w:t>Bank size refers to the total assets held by a bank within a specific period, typically one year (Kimani &amp; Koori, 2018). It is closely linked to a bank's profitability and market power, influencing its market share (Kwakwa, 2014). Bank size plays a crucial role in the stability of the financial system and the economy, making it a topic of ongoing debate among policymakers and practitioners. The 2007-2008 global financial crisis highlighted the impact of bank size, with larger banks contributing significantly to the economic damage compared to smaller counterparts (Nzioki, 2011). A bank's size reflects its capabilities, production capacity, and asset base, often distinguishing larger banks from their industry peers (Sritharan, 2015). Bank size is essential for assessing economies of scale and growth rates, with total assets commonly used as the measure for evaluating its size and performance in the industry.</w:t>
      </w:r>
    </w:p>
    <w:p w14:paraId="57FEE276" w14:textId="370B6253" w:rsidR="00FB3030" w:rsidRPr="0092006B" w:rsidRDefault="00FB3030" w:rsidP="00426CDB">
      <w:pPr>
        <w:shd w:val="clear" w:color="auto" w:fill="FFFFFF"/>
        <w:spacing w:line="240" w:lineRule="auto"/>
        <w:rPr>
          <w:rFonts w:cs="Times New Roman"/>
          <w:color w:val="000000" w:themeColor="text1"/>
          <w:szCs w:val="24"/>
        </w:rPr>
      </w:pPr>
      <w:r w:rsidRPr="0092006B">
        <w:rPr>
          <w:rFonts w:cs="Times New Roman"/>
          <w:color w:val="000000" w:themeColor="text1"/>
          <w:szCs w:val="24"/>
        </w:rPr>
        <w:lastRenderedPageBreak/>
        <w:t>Profitability refers to a bank’s ability to generate returns from its assets, including stock and other investments, and is a key objective for commercial banks (Wen, 2010; Mulwa, 2015). While profitability is central to their strategies, banks also aim to achieve social and economic goals. This study examines how prudential regulations affect bank profitability, focusing on key metrics such as Return on Equity (ROE) and Return on Assets (ROA), which are essential for evaluating financial performance (Sheefeni, 2015; Akinwunmi, 2017). ROE measures the bank's profit relative to shareholder equity, helping assess the return on investment, with a higher ROE indicating a bank's ability to raise capital internally. ROA measures how effectively a bank generates income from its assets, reflecting its resource management efficiency. Both metrics highlight how well banks utilize their resources to maximize profitability (Khrawish, 2011; Wen, 2010).</w:t>
      </w:r>
    </w:p>
    <w:p w14:paraId="0C9AD30C" w14:textId="248B2987" w:rsidR="00FD4A02" w:rsidRPr="0092006B" w:rsidRDefault="00FD4A02" w:rsidP="00426CDB">
      <w:pPr>
        <w:shd w:val="clear" w:color="auto" w:fill="FFFFFF"/>
        <w:spacing w:line="240" w:lineRule="auto"/>
        <w:rPr>
          <w:rFonts w:cs="Times New Roman"/>
          <w:color w:val="000000" w:themeColor="text1"/>
          <w:szCs w:val="24"/>
        </w:rPr>
      </w:pPr>
      <w:r w:rsidRPr="0092006B">
        <w:rPr>
          <w:rFonts w:cs="Times New Roman"/>
          <w:color w:val="000000" w:themeColor="text1"/>
          <w:szCs w:val="24"/>
        </w:rPr>
        <w:t>The Nairobi Stock Exchange (NSE), established in the 1930s, initially operated under informal agreements, with its trading infrastructure not widely understood. It was formally registered in the 1950s under the Societies Act of 1954. Following years of growth, the NSE rebranded as NSE Limited in 2011, operating under Kenya's Capital Market Act (Chapter 485A). By the end of the 2015 fiscal year, Kenya had 44 licensed commercial banks, 11 of which were listed on the NSE. These include I&amp;M Bank, NCBA Bank, Diamond Trust Bank, Standard Chartered, Co-operative Bank, Housing Finance, Absa Bank, National Bank, and Equity Bank, among others.</w:t>
      </w:r>
    </w:p>
    <w:p w14:paraId="48C38FDC" w14:textId="138F3867" w:rsidR="00055D83" w:rsidRPr="0092006B" w:rsidRDefault="00055D83" w:rsidP="00111B62">
      <w:pPr>
        <w:shd w:val="clear" w:color="auto" w:fill="FFFFFF"/>
        <w:spacing w:line="240" w:lineRule="auto"/>
        <w:rPr>
          <w:rFonts w:eastAsia="Times New Roman" w:cs="Times New Roman"/>
          <w:b/>
          <w:bCs/>
          <w:color w:val="000000" w:themeColor="text1"/>
          <w:sz w:val="28"/>
          <w:szCs w:val="28"/>
        </w:rPr>
      </w:pPr>
      <w:r w:rsidRPr="0092006B">
        <w:rPr>
          <w:rFonts w:eastAsia="Times New Roman" w:cs="Times New Roman"/>
          <w:b/>
          <w:bCs/>
          <w:color w:val="000000" w:themeColor="text1"/>
          <w:sz w:val="28"/>
          <w:szCs w:val="28"/>
        </w:rPr>
        <w:t>1.1 Research Problem</w:t>
      </w:r>
    </w:p>
    <w:p w14:paraId="15F1A3F9" w14:textId="19C3EC9A" w:rsidR="00E5141C" w:rsidRPr="0092006B" w:rsidRDefault="009E0CF9" w:rsidP="00E5141C">
      <w:pPr>
        <w:spacing w:line="240" w:lineRule="auto"/>
        <w:rPr>
          <w:rFonts w:cs="Times New Roman"/>
          <w:color w:val="000000" w:themeColor="text1"/>
          <w:szCs w:val="24"/>
        </w:rPr>
      </w:pPr>
      <w:r w:rsidRPr="0092006B">
        <w:rPr>
          <w:rFonts w:cs="Times New Roman"/>
          <w:color w:val="000000" w:themeColor="text1"/>
          <w:szCs w:val="24"/>
        </w:rPr>
        <w:t>Commercial banks play a crucial role in the economy by facilitating the transfer of scarce financial resources from surplus units to those in deficit for various investment purposes (Mulwa, 2015). Given their significant economic responsibilities, it is essential for banks to be properly supervised and regulated to ensure investor and client protection, industry stability, risk reduction, and the achievement of social banking objectives (Ferrarini, 2017). However, commercial banks have experienced a decline in profitability over time. For instance, the return on equity (ROE) of commercial banks decreased from 23.10% in 2011 to 21.99% in 2012, and further dropped in subsequent years, with key banks like Barclays and Equity reporting profitability reductions in 2016 (World Bank, 2017; CBK, 2017). Some banks, such as Chase Bank, have failed due to insufficient profitability, which often correlates with weak regulatory frameworks (CBK, 2016). Despite efforts to ensure stability through regulatory reforms, Kenyan banks continue to experience falling profitability. There is substantial empirical evidence linking prudential regulations to bank profitability. For example, Cekrezi (2015) found a significant impact of capital sufficiency on bank profitability in Albania, though contextual differences limit its applicability to Kenya. Similarly, studies on SACCOs and commercial banks in Kenya (Okumu &amp; Oyugi, 2016; Kwakwa, 2015) have highlighted methodological and empirical gaps. This research aims to bridge these gaps by examining the effect of prudential regulations on the profitability of Kenyan commercial banks</w:t>
      </w:r>
      <w:r w:rsidR="00E5141C" w:rsidRPr="0092006B">
        <w:rPr>
          <w:rFonts w:cs="Times New Roman"/>
          <w:color w:val="000000" w:themeColor="text1"/>
          <w:szCs w:val="24"/>
        </w:rPr>
        <w:t>.</w:t>
      </w:r>
    </w:p>
    <w:p w14:paraId="7860FC20" w14:textId="564AFDA6" w:rsidR="00055D83" w:rsidRPr="0092006B" w:rsidRDefault="00055D83" w:rsidP="00E5141C">
      <w:pPr>
        <w:spacing w:line="240" w:lineRule="auto"/>
        <w:rPr>
          <w:rFonts w:cs="Times New Roman"/>
          <w:b/>
          <w:bCs/>
          <w:color w:val="000000" w:themeColor="text1"/>
          <w:sz w:val="28"/>
          <w:szCs w:val="28"/>
        </w:rPr>
      </w:pPr>
      <w:r w:rsidRPr="0092006B">
        <w:rPr>
          <w:rFonts w:cs="Times New Roman"/>
          <w:b/>
          <w:bCs/>
          <w:color w:val="000000" w:themeColor="text1"/>
          <w:sz w:val="28"/>
          <w:szCs w:val="28"/>
        </w:rPr>
        <w:t>1.2 Research Objective</w:t>
      </w:r>
    </w:p>
    <w:p w14:paraId="559CD609" w14:textId="03575105" w:rsidR="0041566F" w:rsidRPr="0092006B" w:rsidRDefault="00055D83" w:rsidP="000E2349">
      <w:pPr>
        <w:spacing w:line="240" w:lineRule="auto"/>
        <w:rPr>
          <w:rFonts w:cs="Times New Roman"/>
          <w:color w:val="000000" w:themeColor="text1"/>
          <w:szCs w:val="24"/>
        </w:rPr>
      </w:pPr>
      <w:r w:rsidRPr="0092006B">
        <w:rPr>
          <w:rFonts w:cs="Times New Roman"/>
          <w:color w:val="000000" w:themeColor="text1"/>
          <w:szCs w:val="24"/>
        </w:rPr>
        <w:t>This study was guided by the following general objective to:</w:t>
      </w:r>
      <w:r w:rsidR="00D656A4" w:rsidRPr="0092006B">
        <w:rPr>
          <w:rFonts w:cs="Times New Roman"/>
          <w:color w:val="000000" w:themeColor="text1"/>
          <w:szCs w:val="24"/>
        </w:rPr>
        <w:t xml:space="preserve"> </w:t>
      </w:r>
      <w:r w:rsidR="006C41A9" w:rsidRPr="0092006B">
        <w:rPr>
          <w:rFonts w:cs="Times New Roman"/>
          <w:color w:val="000000" w:themeColor="text1"/>
          <w:szCs w:val="24"/>
        </w:rPr>
        <w:t>assess the influence of prudential regulations on banking firms’ profitability in Kenya.</w:t>
      </w:r>
    </w:p>
    <w:p w14:paraId="3CEA4A91" w14:textId="53E4FA1C" w:rsidR="006C41A9" w:rsidRPr="0092006B" w:rsidRDefault="00055D83" w:rsidP="0041566F">
      <w:pPr>
        <w:spacing w:line="240" w:lineRule="auto"/>
        <w:rPr>
          <w:rFonts w:cs="Times New Roman"/>
          <w:color w:val="000000" w:themeColor="text1"/>
          <w:szCs w:val="24"/>
        </w:rPr>
      </w:pPr>
      <w:r w:rsidRPr="0092006B">
        <w:rPr>
          <w:rFonts w:cs="Times New Roman"/>
          <w:color w:val="000000" w:themeColor="text1"/>
          <w:szCs w:val="24"/>
        </w:rPr>
        <w:t>The specific objectives were to:</w:t>
      </w:r>
      <w:r w:rsidR="0041566F" w:rsidRPr="0092006B">
        <w:rPr>
          <w:rFonts w:cs="Times New Roman"/>
          <w:color w:val="000000" w:themeColor="text1"/>
          <w:szCs w:val="24"/>
        </w:rPr>
        <w:t xml:space="preserve"> </w:t>
      </w:r>
      <w:r w:rsidR="006C41A9" w:rsidRPr="0092006B">
        <w:rPr>
          <w:rFonts w:cs="Times New Roman"/>
          <w:color w:val="000000" w:themeColor="text1"/>
          <w:szCs w:val="24"/>
        </w:rPr>
        <w:t>To establish the effect of capacity adequacy regulations on profitability of listed commercial bank in Kenya, to examine the effect of liquidity regulations on profitability of listed commercial banks in Kenya, to determine the effect of credit risk regulations on profitability of listed commercial banks in Kenya and to assess the moderating effects of bank size on the relationship between prudential regulations and profitability of listed commercial banks in Kenya</w:t>
      </w:r>
      <w:r w:rsidR="009C11BB" w:rsidRPr="0092006B">
        <w:rPr>
          <w:rFonts w:cs="Times New Roman"/>
          <w:color w:val="000000" w:themeColor="text1"/>
          <w:szCs w:val="24"/>
        </w:rPr>
        <w:t>.</w:t>
      </w:r>
    </w:p>
    <w:p w14:paraId="5005BB36" w14:textId="09AFEB80" w:rsidR="00DE5974" w:rsidRPr="0092006B" w:rsidRDefault="00055D83" w:rsidP="0041566F">
      <w:pPr>
        <w:spacing w:line="240" w:lineRule="auto"/>
        <w:rPr>
          <w:rFonts w:eastAsia="Times New Roman" w:cs="Times New Roman"/>
          <w:b/>
          <w:bCs/>
          <w:color w:val="000000" w:themeColor="text1"/>
          <w:sz w:val="28"/>
          <w:szCs w:val="28"/>
        </w:rPr>
      </w:pPr>
      <w:r w:rsidRPr="0092006B">
        <w:rPr>
          <w:rFonts w:eastAsia="Times New Roman" w:cs="Times New Roman"/>
          <w:b/>
          <w:bCs/>
          <w:color w:val="000000" w:themeColor="text1"/>
          <w:sz w:val="28"/>
          <w:szCs w:val="28"/>
        </w:rPr>
        <w:t xml:space="preserve">1.3 </w:t>
      </w:r>
      <w:r w:rsidR="00DE5974" w:rsidRPr="0092006B">
        <w:rPr>
          <w:rFonts w:eastAsia="Times New Roman" w:cs="Times New Roman"/>
          <w:b/>
          <w:bCs/>
          <w:color w:val="000000" w:themeColor="text1"/>
          <w:sz w:val="28"/>
          <w:szCs w:val="28"/>
        </w:rPr>
        <w:t xml:space="preserve">Research </w:t>
      </w:r>
      <w:r w:rsidR="008C2098" w:rsidRPr="0092006B">
        <w:rPr>
          <w:rFonts w:eastAsia="Times New Roman" w:cs="Times New Roman"/>
          <w:b/>
          <w:bCs/>
          <w:color w:val="000000" w:themeColor="text1"/>
          <w:sz w:val="28"/>
          <w:szCs w:val="28"/>
        </w:rPr>
        <w:t>Hypothesis</w:t>
      </w:r>
      <w:r w:rsidR="00DE5974" w:rsidRPr="0092006B">
        <w:rPr>
          <w:rFonts w:eastAsia="Times New Roman" w:cs="Times New Roman"/>
          <w:b/>
          <w:bCs/>
          <w:color w:val="000000" w:themeColor="text1"/>
          <w:sz w:val="28"/>
          <w:szCs w:val="28"/>
        </w:rPr>
        <w:t xml:space="preserve"> </w:t>
      </w:r>
    </w:p>
    <w:p w14:paraId="492B77F5" w14:textId="7183D806" w:rsidR="00055D83" w:rsidRPr="0092006B" w:rsidRDefault="00055D83" w:rsidP="00DE5974">
      <w:pPr>
        <w:spacing w:line="240" w:lineRule="auto"/>
        <w:rPr>
          <w:rFonts w:cs="Times New Roman"/>
          <w:color w:val="000000" w:themeColor="text1"/>
          <w:szCs w:val="24"/>
        </w:rPr>
      </w:pPr>
      <w:r w:rsidRPr="0092006B">
        <w:rPr>
          <w:rFonts w:cs="Times New Roman"/>
          <w:color w:val="000000" w:themeColor="text1"/>
          <w:szCs w:val="24"/>
        </w:rPr>
        <w:t xml:space="preserve">This study was guided by the following </w:t>
      </w:r>
      <w:r w:rsidR="00DE5974" w:rsidRPr="0092006B">
        <w:rPr>
          <w:rFonts w:cs="Times New Roman"/>
          <w:color w:val="000000" w:themeColor="text1"/>
          <w:szCs w:val="24"/>
        </w:rPr>
        <w:t xml:space="preserve">Research </w:t>
      </w:r>
      <w:r w:rsidR="008C2098" w:rsidRPr="0092006B">
        <w:rPr>
          <w:rFonts w:cs="Times New Roman"/>
          <w:color w:val="000000" w:themeColor="text1"/>
          <w:szCs w:val="24"/>
        </w:rPr>
        <w:t>Hypothesis</w:t>
      </w:r>
      <w:r w:rsidRPr="0092006B">
        <w:rPr>
          <w:rFonts w:cs="Times New Roman"/>
          <w:color w:val="000000" w:themeColor="text1"/>
          <w:szCs w:val="24"/>
        </w:rPr>
        <w:t>.</w:t>
      </w:r>
    </w:p>
    <w:p w14:paraId="23A5CBEB" w14:textId="77777777" w:rsidR="00055D83" w:rsidRPr="0092006B" w:rsidRDefault="00055D83" w:rsidP="00055D83">
      <w:pPr>
        <w:spacing w:before="0" w:line="240" w:lineRule="auto"/>
        <w:rPr>
          <w:rFonts w:cs="Times New Roman"/>
          <w:color w:val="000000" w:themeColor="text1"/>
          <w:szCs w:val="24"/>
        </w:rPr>
      </w:pPr>
    </w:p>
    <w:p w14:paraId="119D70E4" w14:textId="77777777" w:rsidR="00661AAF" w:rsidRPr="0092006B" w:rsidRDefault="00661AAF" w:rsidP="00661AAF">
      <w:pPr>
        <w:shd w:val="clear" w:color="auto" w:fill="FFFFFF"/>
        <w:spacing w:line="240" w:lineRule="auto"/>
        <w:rPr>
          <w:rFonts w:cs="Times New Roman"/>
          <w:b/>
          <w:color w:val="000000" w:themeColor="text1"/>
          <w:szCs w:val="24"/>
        </w:rPr>
      </w:pPr>
      <w:r w:rsidRPr="0092006B">
        <w:rPr>
          <w:rFonts w:cs="Times New Roman"/>
          <w:b/>
          <w:color w:val="000000" w:themeColor="text1"/>
          <w:szCs w:val="24"/>
        </w:rPr>
        <w:lastRenderedPageBreak/>
        <w:t>H</w:t>
      </w:r>
      <w:r w:rsidRPr="0092006B">
        <w:rPr>
          <w:rFonts w:cs="Times New Roman"/>
          <w:b/>
          <w:color w:val="000000" w:themeColor="text1"/>
          <w:szCs w:val="24"/>
          <w:vertAlign w:val="subscript"/>
        </w:rPr>
        <w:t>01</w:t>
      </w:r>
      <w:r w:rsidRPr="0092006B">
        <w:rPr>
          <w:rFonts w:cs="Times New Roman"/>
          <w:b/>
          <w:color w:val="000000" w:themeColor="text1"/>
          <w:szCs w:val="24"/>
        </w:rPr>
        <w:t xml:space="preserve">: </w:t>
      </w:r>
      <w:r w:rsidRPr="0092006B">
        <w:rPr>
          <w:rFonts w:cs="Times New Roman"/>
          <w:bCs/>
          <w:color w:val="000000" w:themeColor="text1"/>
          <w:szCs w:val="24"/>
        </w:rPr>
        <w:t>Capital adequacy regulations do not significantly affect profitability of listed commercial banks in Kenya.</w:t>
      </w:r>
      <w:r w:rsidRPr="0092006B">
        <w:rPr>
          <w:rFonts w:cs="Times New Roman"/>
          <w:b/>
          <w:color w:val="000000" w:themeColor="text1"/>
          <w:szCs w:val="24"/>
        </w:rPr>
        <w:t xml:space="preserve"> </w:t>
      </w:r>
    </w:p>
    <w:p w14:paraId="600099B1" w14:textId="77777777" w:rsidR="00661AAF" w:rsidRPr="0092006B" w:rsidRDefault="00661AAF" w:rsidP="00661AAF">
      <w:pPr>
        <w:shd w:val="clear" w:color="auto" w:fill="FFFFFF"/>
        <w:spacing w:line="240" w:lineRule="auto"/>
        <w:rPr>
          <w:rFonts w:cs="Times New Roman"/>
          <w:bCs/>
          <w:color w:val="000000" w:themeColor="text1"/>
          <w:szCs w:val="24"/>
        </w:rPr>
      </w:pPr>
      <w:r w:rsidRPr="0092006B">
        <w:rPr>
          <w:rFonts w:cs="Times New Roman"/>
          <w:b/>
          <w:color w:val="000000" w:themeColor="text1"/>
          <w:szCs w:val="24"/>
        </w:rPr>
        <w:t>H</w:t>
      </w:r>
      <w:r w:rsidRPr="0092006B">
        <w:rPr>
          <w:rFonts w:cs="Times New Roman"/>
          <w:b/>
          <w:color w:val="000000" w:themeColor="text1"/>
          <w:szCs w:val="24"/>
          <w:vertAlign w:val="subscript"/>
        </w:rPr>
        <w:t>02</w:t>
      </w:r>
      <w:r w:rsidRPr="0092006B">
        <w:rPr>
          <w:rFonts w:cs="Times New Roman"/>
          <w:b/>
          <w:color w:val="000000" w:themeColor="text1"/>
          <w:szCs w:val="24"/>
        </w:rPr>
        <w:t xml:space="preserve">: </w:t>
      </w:r>
      <w:r w:rsidRPr="0092006B">
        <w:rPr>
          <w:rFonts w:cs="Times New Roman"/>
          <w:bCs/>
          <w:color w:val="000000" w:themeColor="text1"/>
          <w:szCs w:val="24"/>
        </w:rPr>
        <w:t xml:space="preserve">Liquidity regulations do not significantly affect profitability of listed commercial banks in Kenya. </w:t>
      </w:r>
    </w:p>
    <w:p w14:paraId="4730FA50" w14:textId="477A030A" w:rsidR="008C2098" w:rsidRPr="00FF75D5" w:rsidRDefault="00FF75D5" w:rsidP="00661AAF">
      <w:pPr>
        <w:shd w:val="clear" w:color="auto" w:fill="FFFFFF"/>
        <w:spacing w:line="240" w:lineRule="auto"/>
        <w:rPr>
          <w:rFonts w:cs="Times New Roman"/>
          <w:bCs/>
          <w:color w:val="000000" w:themeColor="text1"/>
          <w:szCs w:val="24"/>
        </w:rPr>
      </w:pPr>
      <w:r w:rsidRPr="00FF75D5">
        <w:rPr>
          <w:rFonts w:cs="Times New Roman"/>
          <w:b/>
          <w:color w:val="000000" w:themeColor="text1"/>
          <w:szCs w:val="24"/>
          <w:highlight w:val="green"/>
        </w:rPr>
        <w:t>H</w:t>
      </w:r>
      <w:r w:rsidRPr="00FF75D5">
        <w:rPr>
          <w:rFonts w:cs="Times New Roman"/>
          <w:b/>
          <w:color w:val="000000" w:themeColor="text1"/>
          <w:szCs w:val="24"/>
          <w:highlight w:val="green"/>
          <w:vertAlign w:val="subscript"/>
        </w:rPr>
        <w:t>0</w:t>
      </w:r>
      <w:r w:rsidRPr="00FF75D5">
        <w:rPr>
          <w:rFonts w:cs="Times New Roman"/>
          <w:bCs/>
          <w:color w:val="000000" w:themeColor="text1"/>
          <w:szCs w:val="24"/>
          <w:highlight w:val="green"/>
        </w:rPr>
        <w:t>: Credit risk regulations and bank size do not significantly influence the profitability of banks in Kenya.</w:t>
      </w:r>
    </w:p>
    <w:p w14:paraId="35FF4706" w14:textId="194A01BA" w:rsidR="00055D83" w:rsidRPr="0092006B" w:rsidRDefault="00055D83" w:rsidP="008C2098">
      <w:pPr>
        <w:shd w:val="clear" w:color="auto" w:fill="FFFFFF"/>
        <w:spacing w:line="240" w:lineRule="auto"/>
        <w:rPr>
          <w:rFonts w:eastAsia="Times New Roman" w:cs="Times New Roman"/>
          <w:b/>
          <w:bCs/>
          <w:color w:val="000000" w:themeColor="text1"/>
          <w:sz w:val="28"/>
          <w:szCs w:val="28"/>
        </w:rPr>
      </w:pPr>
      <w:r w:rsidRPr="0092006B">
        <w:rPr>
          <w:rFonts w:eastAsia="Times New Roman" w:cs="Times New Roman"/>
          <w:b/>
          <w:bCs/>
          <w:color w:val="000000" w:themeColor="text1"/>
          <w:sz w:val="28"/>
          <w:szCs w:val="28"/>
        </w:rPr>
        <w:t>1.4 Justification of the Study</w:t>
      </w:r>
    </w:p>
    <w:p w14:paraId="4D369A62" w14:textId="014BE6DD" w:rsidR="00055D83" w:rsidRPr="0092006B" w:rsidRDefault="005B0558" w:rsidP="001E5289">
      <w:pPr>
        <w:pStyle w:val="ListParagraph"/>
        <w:autoSpaceDE w:val="0"/>
        <w:autoSpaceDN w:val="0"/>
        <w:adjustRightInd w:val="0"/>
        <w:spacing w:before="0" w:after="240" w:line="240" w:lineRule="auto"/>
        <w:ind w:left="0"/>
        <w:rPr>
          <w:rFonts w:ascii="Times New Roman" w:hAnsi="Times New Roman"/>
          <w:color w:val="000000" w:themeColor="text1"/>
          <w:kern w:val="0"/>
          <w:sz w:val="24"/>
          <w:szCs w:val="24"/>
        </w:rPr>
      </w:pPr>
      <w:r w:rsidRPr="0092006B">
        <w:rPr>
          <w:rFonts w:ascii="Times New Roman" w:hAnsi="Times New Roman"/>
          <w:color w:val="000000" w:themeColor="text1"/>
          <w:kern w:val="0"/>
          <w:sz w:val="24"/>
          <w:szCs w:val="24"/>
        </w:rPr>
        <w:t>The study’s findings and recommendations should guide commercial bank management in evaluating the impact of prudential regulations on their profitability, suggesting that further research in this area may be valuable. These results can assist bank management in formulating prudential policies aimed at maximizing returns. Policymaking bodies like the Central Bank of Kenya (CBK) can use the study’s insights to shape strategic goals for prudential regulations and assess their effectiveness in enhancing financial institution stability. Additionally, the study benefits scholars and students by deepening their understanding of prudential regulations and business profitability, while identifying avenues for future research. Ultimately, this study contributes significantly to the theoretical and empirical knowledge on prudential regulations and commercial bank profitability</w:t>
      </w:r>
      <w:r w:rsidR="001E5289" w:rsidRPr="0092006B">
        <w:rPr>
          <w:rFonts w:ascii="Times New Roman" w:hAnsi="Times New Roman"/>
          <w:color w:val="000000" w:themeColor="text1"/>
          <w:kern w:val="0"/>
          <w:sz w:val="24"/>
          <w:szCs w:val="24"/>
        </w:rPr>
        <w:t>.</w:t>
      </w:r>
    </w:p>
    <w:p w14:paraId="53C844F8" w14:textId="77777777" w:rsidR="001E5289" w:rsidRPr="0092006B" w:rsidRDefault="001E5289" w:rsidP="00055D83">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01448711" w14:textId="37402E94" w:rsidR="001E21F0" w:rsidRPr="0092006B" w:rsidRDefault="001E21F0">
      <w:pPr>
        <w:spacing w:before="0" w:after="160" w:line="259" w:lineRule="auto"/>
        <w:jc w:val="left"/>
        <w:rPr>
          <w:rFonts w:cs="Times New Roman"/>
          <w:b/>
          <w:color w:val="000000" w:themeColor="text1"/>
          <w:kern w:val="2"/>
          <w:sz w:val="28"/>
          <w:szCs w:val="28"/>
          <w:lang w:val="en-GB"/>
        </w:rPr>
      </w:pPr>
    </w:p>
    <w:p w14:paraId="60555E06" w14:textId="2D326474" w:rsidR="00055D83" w:rsidRPr="0092006B" w:rsidRDefault="00055D83"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r w:rsidRPr="0092006B">
        <w:rPr>
          <w:rFonts w:ascii="Times New Roman" w:hAnsi="Times New Roman"/>
          <w:b/>
          <w:color w:val="000000" w:themeColor="text1"/>
          <w:sz w:val="28"/>
          <w:szCs w:val="28"/>
          <w:lang w:val="en-GB"/>
        </w:rPr>
        <w:t xml:space="preserve">2.0 LITERATURE REVIEW  </w:t>
      </w:r>
    </w:p>
    <w:p w14:paraId="400241FA" w14:textId="77777777" w:rsidR="006A0520" w:rsidRPr="0092006B" w:rsidRDefault="006A0520" w:rsidP="00C03297">
      <w:pPr>
        <w:spacing w:before="0" w:after="160" w:line="259" w:lineRule="auto"/>
        <w:rPr>
          <w:rFonts w:cs="Times New Roman"/>
          <w:b/>
          <w:bCs/>
          <w:i/>
          <w:iCs/>
          <w:color w:val="000000" w:themeColor="text1"/>
          <w:szCs w:val="24"/>
        </w:rPr>
      </w:pPr>
      <w:r w:rsidRPr="0092006B">
        <w:rPr>
          <w:rFonts w:cs="Times New Roman"/>
          <w:b/>
          <w:bCs/>
          <w:i/>
          <w:iCs/>
          <w:color w:val="000000" w:themeColor="text1"/>
          <w:szCs w:val="24"/>
        </w:rPr>
        <w:t>The Influence of Prudential Regulations on the Profitability of Commercial Banks</w:t>
      </w:r>
    </w:p>
    <w:p w14:paraId="695E929F" w14:textId="63EAC130" w:rsidR="00C03297" w:rsidRPr="0092006B" w:rsidRDefault="00C03297" w:rsidP="00C03297">
      <w:pPr>
        <w:spacing w:before="0" w:after="160" w:line="259" w:lineRule="auto"/>
        <w:rPr>
          <w:rFonts w:cs="Times New Roman"/>
          <w:color w:val="000000" w:themeColor="text1"/>
          <w:szCs w:val="24"/>
        </w:rPr>
      </w:pPr>
      <w:r w:rsidRPr="0092006B">
        <w:rPr>
          <w:rFonts w:cs="Times New Roman"/>
          <w:color w:val="000000" w:themeColor="text1"/>
          <w:szCs w:val="24"/>
        </w:rPr>
        <w:t>The theoretical framework for this study incorporates five key theories: Capital Buffer Theory, Liquidity Preference Theory, Efficiency Structure Theory, Resource-Based View (RBV) Theory, and Stakeholder Theory.</w:t>
      </w:r>
    </w:p>
    <w:p w14:paraId="65885119" w14:textId="3325FBB2" w:rsidR="00C03297" w:rsidRPr="0092006B" w:rsidRDefault="00C03297" w:rsidP="00C03297">
      <w:pPr>
        <w:spacing w:before="0" w:after="160" w:line="259" w:lineRule="auto"/>
        <w:rPr>
          <w:rFonts w:cs="Times New Roman"/>
          <w:color w:val="000000" w:themeColor="text1"/>
          <w:szCs w:val="24"/>
        </w:rPr>
      </w:pPr>
      <w:r w:rsidRPr="0092006B">
        <w:rPr>
          <w:rFonts w:cs="Times New Roman"/>
          <w:color w:val="000000" w:themeColor="text1"/>
          <w:szCs w:val="24"/>
        </w:rPr>
        <w:t>Capital Buffer Theory, developed by Kalem and Rob (1996), posits that financial firms with a sufficient capital buffer are better equipped to absorb risks and prevent regulatory penalties. The theory suggests that banks with more capital tend to preserve their buffer, while those with less strive to raise their capital to meet regulatory requirements. The relationship between a bank’s capital adequacy and its risk management is central to the theory, where banks with a strong capital base are better positioned to handle unforeseen losses, thus ensuring stability and profitability. According to this theory, banks with more capital tend to be safer, as their capital base acts as a cushion for unexpected losses, preventing harm to depositors. The theory directly links capital sufficiency to bank profitability, as firms with larger buffers are more resilient and can better manage liquidity, aligning with the idea that capital adequacy influences risk management and profitability.</w:t>
      </w:r>
    </w:p>
    <w:p w14:paraId="323179AF" w14:textId="31DFB1E7" w:rsidR="00C03297" w:rsidRPr="0092006B" w:rsidRDefault="00C03297" w:rsidP="00C03297">
      <w:pPr>
        <w:spacing w:before="0" w:after="160" w:line="259" w:lineRule="auto"/>
        <w:rPr>
          <w:rFonts w:cs="Times New Roman"/>
          <w:color w:val="000000" w:themeColor="text1"/>
          <w:szCs w:val="24"/>
        </w:rPr>
      </w:pPr>
      <w:r w:rsidRPr="0092006B">
        <w:rPr>
          <w:rFonts w:cs="Times New Roman"/>
          <w:color w:val="000000" w:themeColor="text1"/>
          <w:szCs w:val="24"/>
        </w:rPr>
        <w:t>Liquidity Preference Theory, grounded in the work of Keynes (1936), explores why investors prefer liquid assets, such as cash or short-term securities, due to their ease of conversion to money without significant loss. The theory presents three motives for liquidity preference: the transaction motive, the precautionary motive, and the speculative motive. The transaction motive suggests that people desire liquidity to facilitate daily transactions, while the precautionary motive emphasizes the need for liquidity to prepare for unexpected financial needs. The speculative motive is based on the anticipation of future market fluctuations, encouraging investment in highly liquid assets. In banking, this theory is relevant because customers prefer banks with higher liquidity, which in turn enhances a bank’s profitability. The ability of banks to manage liquidity effectively, as indicated by this theory, plays a crucial role in determining their financial success. The theory highlights that liquidity and profitability are positively correlated, and banks with better liquidity management are generally more profi</w:t>
      </w:r>
      <w:r w:rsidRPr="00807B00">
        <w:rPr>
          <w:rFonts w:cs="Times New Roman"/>
          <w:color w:val="000000" w:themeColor="text1"/>
          <w:szCs w:val="24"/>
        </w:rPr>
        <w:t>table</w:t>
      </w:r>
      <w:r w:rsidRPr="0092006B">
        <w:rPr>
          <w:rFonts w:cs="Times New Roman"/>
          <w:color w:val="000000" w:themeColor="text1"/>
          <w:szCs w:val="24"/>
        </w:rPr>
        <w:t xml:space="preserve"> and attractive to customers.</w:t>
      </w:r>
    </w:p>
    <w:p w14:paraId="77DE03C0" w14:textId="47361E02" w:rsidR="00C03297" w:rsidRPr="0092006B" w:rsidRDefault="00C03297" w:rsidP="00C03297">
      <w:pPr>
        <w:spacing w:before="0" w:after="160" w:line="259" w:lineRule="auto"/>
        <w:rPr>
          <w:rFonts w:cs="Times New Roman"/>
          <w:color w:val="000000" w:themeColor="text1"/>
          <w:szCs w:val="24"/>
        </w:rPr>
      </w:pPr>
      <w:r w:rsidRPr="0092006B">
        <w:rPr>
          <w:rFonts w:cs="Times New Roman"/>
          <w:color w:val="000000" w:themeColor="text1"/>
          <w:szCs w:val="24"/>
        </w:rPr>
        <w:t xml:space="preserve">Efficiency Structure Theory, introduced by Demsetz (1973), argues that the scale of management efficiency leads to higher profitability in businesses, particularly in the banking sector. According to this theory, the management </w:t>
      </w:r>
      <w:r w:rsidRPr="0092006B">
        <w:rPr>
          <w:rFonts w:cs="Times New Roman"/>
          <w:color w:val="000000" w:themeColor="text1"/>
          <w:szCs w:val="24"/>
        </w:rPr>
        <w:lastRenderedPageBreak/>
        <w:t>and strategic decisions of banks directly impact their profitability and portfolio composition. Two major hypotheses arise from this theory: the X-efficiency hypothesis, which asserts that better management and cost-control practices lead to greater profitability by optimizing bank operations, and the scale-efficiency hypothesis, which suggests that increasing the operational scale of banks reduces per-unit costs, enhancing profitability. The theory underlines the importance of effective management and operational efficiency in improving a bank's profitability. It highlights that well-managed banks with efficient cost structures are likely to be more profi</w:t>
      </w:r>
      <w:r w:rsidRPr="00807B00">
        <w:rPr>
          <w:rFonts w:cs="Times New Roman"/>
          <w:color w:val="000000" w:themeColor="text1"/>
          <w:szCs w:val="24"/>
        </w:rPr>
        <w:t>table</w:t>
      </w:r>
      <w:r w:rsidRPr="0092006B">
        <w:rPr>
          <w:rFonts w:cs="Times New Roman"/>
          <w:color w:val="000000" w:themeColor="text1"/>
          <w:szCs w:val="24"/>
        </w:rPr>
        <w:t xml:space="preserve"> and competitive in the market.</w:t>
      </w:r>
    </w:p>
    <w:p w14:paraId="6E5457B2" w14:textId="24755628" w:rsidR="00C03297" w:rsidRPr="0092006B" w:rsidRDefault="00C03297" w:rsidP="00C03297">
      <w:pPr>
        <w:spacing w:before="0" w:after="160" w:line="259" w:lineRule="auto"/>
        <w:rPr>
          <w:rFonts w:cs="Times New Roman"/>
          <w:color w:val="000000" w:themeColor="text1"/>
          <w:szCs w:val="24"/>
        </w:rPr>
      </w:pPr>
      <w:r w:rsidRPr="0092006B">
        <w:rPr>
          <w:rFonts w:cs="Times New Roman"/>
          <w:color w:val="000000" w:themeColor="text1"/>
          <w:szCs w:val="24"/>
        </w:rPr>
        <w:t>Resource-Based View (RBV) Theory, first proposed by Penrose (1959) and further developed by Barney (1991) and others, emphasizes that a firm's internal resources are crucial to achieving a competitive advantage. The theory identifies that firms with valuable, rare, and difficult-to-imitate resources can outperform their competitors. Key resources, such as capital, technology, and human capital, play a central role in a firm's success. The RBV theory is especially applicable in understanding how banks can leverage their resources, such as assets, to maintain a competitive edge in the financial sector. The theory highlights that larger firms, measured by total assets, are likely to have better access to capital and resources, which can be used to improve profitability and operational efficiency. In the context of this study, the RBV theory is used to examine the impact of a bank's size on profitability, with firm size acting as a moderating variable in the relationship between prudential regulations and bank performance. The theory suggests that larger banks, with better resource utilization, are more likely to achieve superior financial performance.</w:t>
      </w:r>
    </w:p>
    <w:p w14:paraId="615E87E7" w14:textId="36CB3B89" w:rsidR="008E2312" w:rsidRPr="0092006B" w:rsidRDefault="00C03297" w:rsidP="00C03297">
      <w:pPr>
        <w:spacing w:before="0" w:after="160" w:line="259" w:lineRule="auto"/>
        <w:rPr>
          <w:rFonts w:cs="Times New Roman"/>
          <w:color w:val="000000" w:themeColor="text1"/>
          <w:szCs w:val="24"/>
        </w:rPr>
      </w:pPr>
      <w:r w:rsidRPr="0092006B">
        <w:rPr>
          <w:rFonts w:cs="Times New Roman"/>
          <w:color w:val="000000" w:themeColor="text1"/>
          <w:szCs w:val="24"/>
        </w:rPr>
        <w:t>Stakeholder Theory, advanced by Friedman (2006) and Hubbard (2009), focuses on the interests of various parties involved in a company's operations, including investors, employees, customers, and the government. The theory posits that businesses should consider the needs and expectations of these stakeholders to maximize profitability and long-term success. In the banking sector, stakeholders are concerned with the profitability, return on investment, and efficiency of operations. Investors seek a high return on their investments, while employees are concerned with job security and productivity. Customers expect banks to meet their financial needs, and governments are interested in ensuring that banks contribute to the economy through taxes and regulatory compliance. The stakeholder theory is particularly relevant to this study as it emphasizes the importance of meeting the diverse expectations of stakeholders to enhance firm profitability. By aligning the interests of various stakeholders, banks can create a favorable environment for sustained profitability and growth.</w:t>
      </w:r>
      <w:r w:rsidR="00C01423" w:rsidRPr="0092006B">
        <w:rPr>
          <w:rFonts w:cs="Times New Roman"/>
          <w:color w:val="000000" w:themeColor="text1"/>
          <w:szCs w:val="24"/>
        </w:rPr>
        <w:t xml:space="preserve"> </w:t>
      </w:r>
      <w:r w:rsidRPr="0092006B">
        <w:rPr>
          <w:rFonts w:cs="Times New Roman"/>
          <w:color w:val="000000" w:themeColor="text1"/>
          <w:szCs w:val="24"/>
        </w:rPr>
        <w:t>Each of these theories provides a unique perspective on the factors influencing bank profitability. The Capital Buffer Theory highlights the importance of maintaining adequate capital to manage risks effectively, while the Liquidity Preference Theory emphasizes the role of liquidity in attracting customers and enhancing profitability. The Efficiency Structure Theory focuses on the significance of management efficiency and operational scale in driving profitability, and the Resource-Based View Theory underscores the importance of leveraging internal resources to gain a competitive advantage. Finally, the Stakeholder Theory stresses the need to balance the interests of various stakeholders to achieve long-term success. Together, these theories offer a comprehensive framework for understanding the dynamics of profitability in the banking sector and provide valuable insights for the study of financial performance in commercial banks.</w:t>
      </w:r>
    </w:p>
    <w:p w14:paraId="60D18FD2" w14:textId="3CD0145D" w:rsidR="00014726" w:rsidRPr="0092006B" w:rsidRDefault="00014726" w:rsidP="00DE2430">
      <w:pPr>
        <w:spacing w:before="0" w:after="160" w:line="259" w:lineRule="auto"/>
        <w:rPr>
          <w:rFonts w:cs="Times New Roman"/>
          <w:b/>
          <w:bCs/>
          <w:i/>
          <w:iCs/>
          <w:color w:val="000000" w:themeColor="text1"/>
          <w:szCs w:val="24"/>
        </w:rPr>
      </w:pPr>
      <w:r w:rsidRPr="0092006B">
        <w:rPr>
          <w:rFonts w:cs="Times New Roman"/>
          <w:b/>
          <w:bCs/>
          <w:i/>
          <w:iCs/>
          <w:color w:val="000000" w:themeColor="text1"/>
          <w:szCs w:val="24"/>
        </w:rPr>
        <w:t>Empirical Review</w:t>
      </w:r>
    </w:p>
    <w:p w14:paraId="40397F5D" w14:textId="3899013F" w:rsidR="00DE2430" w:rsidRPr="0092006B" w:rsidRDefault="00DE2430" w:rsidP="00DE2430">
      <w:pPr>
        <w:spacing w:before="0" w:after="160" w:line="259" w:lineRule="auto"/>
        <w:rPr>
          <w:rFonts w:cs="Times New Roman"/>
          <w:color w:val="000000" w:themeColor="text1"/>
          <w:szCs w:val="24"/>
        </w:rPr>
      </w:pPr>
      <w:r w:rsidRPr="0092006B">
        <w:rPr>
          <w:rFonts w:cs="Times New Roman"/>
          <w:color w:val="000000" w:themeColor="text1"/>
          <w:szCs w:val="24"/>
        </w:rPr>
        <w:t xml:space="preserve">Various studies have examined the impact of capital adequacy, liquidity, and credit risk regulations on the profitability of financial institutions, with a focus on different regions and types of banks. Olalekan (2015) explored how the capital sufficiency of Nigerian banks influences their profitability. The study found that high capitalization enhances confidence among depositors and regulators, positively affecting profitability. However, this study focused on Nigeria, making it difficult to generalize its findings to Kenyan banks due to the differences in economic environments. Similarly, Sangmi and Nazir (2016) investigated the financial performance and capital adequacy of Indian banks, discovering a positive relationship between capital adequacy and profitability. Indian banks effectively managed their capital to meet the Reserve Bank of India's minimum requirement of 10%, and the results </w:t>
      </w:r>
      <w:r w:rsidRPr="0092006B">
        <w:rPr>
          <w:rFonts w:cs="Times New Roman"/>
          <w:color w:val="000000" w:themeColor="text1"/>
          <w:szCs w:val="24"/>
        </w:rPr>
        <w:lastRenderedPageBreak/>
        <w:t xml:space="preserve">suggested that capital sufficiency was crucial for profitability. Although similar in focus on profitability, this study was centered on Indian banks and thus may not be directly applicable to the Kenyan banking sector. </w:t>
      </w:r>
    </w:p>
    <w:p w14:paraId="0DC311A1" w14:textId="77777777" w:rsidR="00DE2430" w:rsidRPr="0092006B" w:rsidRDefault="00DE2430" w:rsidP="00DE2430">
      <w:pPr>
        <w:spacing w:before="0" w:after="160" w:line="259" w:lineRule="auto"/>
        <w:rPr>
          <w:rFonts w:cs="Times New Roman"/>
          <w:color w:val="000000" w:themeColor="text1"/>
          <w:szCs w:val="24"/>
        </w:rPr>
      </w:pPr>
      <w:r w:rsidRPr="0092006B">
        <w:rPr>
          <w:rFonts w:cs="Times New Roman"/>
          <w:color w:val="000000" w:themeColor="text1"/>
          <w:szCs w:val="24"/>
        </w:rPr>
        <w:t>Frederick (2015) analyzed the factors affecting the profitability of commercial banks in Uganda and found that capital adequacy had a positive and significant effect on profitability. This study used data from both local and foreign banks, confirming the importance of capital sufficiency in improving bank returns in Uganda. In Kenya, Barus et al. (2017) explored the relationship between capital adequacy and the sustainability of savings and credit cooperative societies (SACCOs). They found a strong and positive influence of capital adequacy on SACCO performance, suggesting that SACCOs should comply with capital adequacy regulations. However, this study's focus on SACCOs and its cross-sectional data collection limit its applicability to commercial banks in Kenya.</w:t>
      </w:r>
    </w:p>
    <w:p w14:paraId="707FCB0E" w14:textId="5A45AD9C" w:rsidR="00DE2430" w:rsidRPr="0092006B" w:rsidRDefault="00DE2430" w:rsidP="00DE2430">
      <w:pPr>
        <w:spacing w:before="0" w:after="160" w:line="259" w:lineRule="auto"/>
        <w:rPr>
          <w:rFonts w:cs="Times New Roman"/>
          <w:color w:val="000000" w:themeColor="text1"/>
          <w:szCs w:val="24"/>
        </w:rPr>
      </w:pPr>
      <w:r w:rsidRPr="0092006B">
        <w:rPr>
          <w:rFonts w:cs="Times New Roman"/>
          <w:color w:val="000000" w:themeColor="text1"/>
          <w:szCs w:val="24"/>
        </w:rPr>
        <w:t xml:space="preserve">On the topic of liquidity, Pradhan, </w:t>
      </w:r>
      <w:r w:rsidR="00563CE7" w:rsidRPr="0092006B">
        <w:rPr>
          <w:rFonts w:cs="Times New Roman"/>
          <w:color w:val="000000" w:themeColor="text1"/>
          <w:szCs w:val="24"/>
        </w:rPr>
        <w:t>et al</w:t>
      </w:r>
      <w:r w:rsidRPr="0092006B">
        <w:rPr>
          <w:rFonts w:cs="Times New Roman"/>
          <w:color w:val="000000" w:themeColor="text1"/>
          <w:szCs w:val="24"/>
        </w:rPr>
        <w:t xml:space="preserve"> (2016) studied the relationship between liquidity and profitability in Nepal, finding that factors like loan-to-deposit ratios and asset quality were positively correlated with profitability. In Ghana, Kwakwa (2015) examined how liquidity, along with other factors like bank size and inflation, influenced commercial bank efficiency. The study revealed that liquidity had a small but positive impact on profitability, as indicated by return on assets (ROA) and return on equity (ROE). While this research focused on Ghana, it highlighted the need for similar studies in Kenya. Cekrezi (2015) found a negative relationship between liquidity and profitability in Albanian commercial banks, suggesting that excessive liquidity might hinder bank profitability. Additionally, Golubeva, </w:t>
      </w:r>
      <w:r w:rsidR="00563CE7" w:rsidRPr="0092006B">
        <w:rPr>
          <w:rFonts w:cs="Times New Roman"/>
          <w:color w:val="000000" w:themeColor="text1"/>
          <w:szCs w:val="24"/>
        </w:rPr>
        <w:t>et al</w:t>
      </w:r>
      <w:r w:rsidRPr="0092006B">
        <w:rPr>
          <w:rFonts w:cs="Times New Roman"/>
          <w:color w:val="000000" w:themeColor="text1"/>
          <w:szCs w:val="24"/>
        </w:rPr>
        <w:t xml:space="preserve"> (2019) studied liquidity risk and its impact on bank profitability, finding that higher liquidity risk and larger bank size negatively affected profitability.</w:t>
      </w:r>
    </w:p>
    <w:p w14:paraId="22F53253" w14:textId="23540CF0" w:rsidR="00DE2430" w:rsidRPr="0092006B" w:rsidRDefault="00DE2430" w:rsidP="00DE2430">
      <w:pPr>
        <w:spacing w:before="0" w:after="160" w:line="259" w:lineRule="auto"/>
        <w:rPr>
          <w:rFonts w:cs="Times New Roman"/>
          <w:color w:val="000000" w:themeColor="text1"/>
          <w:szCs w:val="24"/>
        </w:rPr>
      </w:pPr>
      <w:r w:rsidRPr="0092006B">
        <w:rPr>
          <w:rFonts w:cs="Times New Roman"/>
          <w:color w:val="000000" w:themeColor="text1"/>
          <w:szCs w:val="24"/>
        </w:rPr>
        <w:t>In terms of credit risk regulation, Gizaw et al. (2015) examined the impact of credit risk management on the profitability of Ethiopian banks, concluding that effective management of non-performing loans (NPLs) significantly improved profitability. Similarly, Okumu and Oyugi (2016) studied SACCOs in Kisumu and found a positive link between asset quality and profitability, recommending improvements in asset management to enhance profitability. In Kenya, Barus et al. (2017) also investigated the role of asset quality in SACCO profitability, emphasizing the need for careful loan regulations. Although the studies in Kenya focused on SACCOs, their findings underline the importance of credit risk management in financial institutions. Overall, while the studies across different countries highlight the significant role of capital adequacy, liquidity, and credit risk management in enhancing profitability, the findings are not universally applicable due to varying economic conditions and institutional characteristics across countries.</w:t>
      </w:r>
    </w:p>
    <w:p w14:paraId="317A0C3E" w14:textId="3447C686" w:rsidR="008E2312" w:rsidRPr="0092006B" w:rsidRDefault="008E2312" w:rsidP="008E2312">
      <w:pPr>
        <w:spacing w:before="0" w:after="160" w:line="259" w:lineRule="auto"/>
        <w:jc w:val="left"/>
        <w:rPr>
          <w:rFonts w:cs="Times New Roman"/>
          <w:b/>
          <w:bCs/>
          <w:color w:val="000000" w:themeColor="text1"/>
          <w:sz w:val="28"/>
          <w:szCs w:val="28"/>
        </w:rPr>
      </w:pPr>
    </w:p>
    <w:p w14:paraId="35BCEF5F" w14:textId="1EFB8069" w:rsidR="00055D83" w:rsidRPr="0092006B" w:rsidRDefault="00055D83" w:rsidP="002C6F25">
      <w:pPr>
        <w:spacing w:line="240" w:lineRule="auto"/>
        <w:rPr>
          <w:rFonts w:cs="Times New Roman"/>
          <w:b/>
          <w:bCs/>
          <w:color w:val="000000" w:themeColor="text1"/>
          <w:sz w:val="28"/>
          <w:szCs w:val="28"/>
        </w:rPr>
      </w:pPr>
      <w:r w:rsidRPr="0092006B">
        <w:rPr>
          <w:rFonts w:cs="Times New Roman"/>
          <w:b/>
          <w:bCs/>
          <w:color w:val="000000" w:themeColor="text1"/>
          <w:sz w:val="28"/>
          <w:szCs w:val="28"/>
        </w:rPr>
        <w:t>3.0 RESEARCH METHODOLOGY</w:t>
      </w:r>
    </w:p>
    <w:p w14:paraId="13B7D0EC" w14:textId="77777777" w:rsidR="00B00FCB" w:rsidRPr="0092006B" w:rsidRDefault="00B00FCB" w:rsidP="00B00FCB">
      <w:pPr>
        <w:shd w:val="clear" w:color="auto" w:fill="FFFFFF"/>
        <w:spacing w:line="240" w:lineRule="auto"/>
        <w:rPr>
          <w:rFonts w:cs="Times New Roman"/>
          <w:color w:val="000000" w:themeColor="text1"/>
          <w:szCs w:val="24"/>
        </w:rPr>
      </w:pPr>
      <w:r w:rsidRPr="0092006B">
        <w:rPr>
          <w:rFonts w:cs="Times New Roman"/>
          <w:color w:val="000000" w:themeColor="text1"/>
          <w:szCs w:val="24"/>
        </w:rPr>
        <w:t>The research design serves as a plan to guide the entire research process, including data collection, measurement, and analysis. In this study, an explanatory research design was employed to investigate the causal relationship between prudential rules and the profitability of publicly traded commercial banks in Kenya. Explanatory research design is useful for establishing clear cause-and-effect relationships between independent and dependent variables (Creswell, 2017). The study also included a test for moderator effects using the technique developed by Whisman and McClelland (2005), which examines how a moderator variable, in this case, bank size, interacts with predictor variables to influence the outcome.</w:t>
      </w:r>
    </w:p>
    <w:p w14:paraId="7E8E9F4D" w14:textId="2B7F7F24" w:rsidR="00B00FCB" w:rsidRPr="0092006B" w:rsidRDefault="00B00FCB" w:rsidP="00B00FCB">
      <w:pPr>
        <w:shd w:val="clear" w:color="auto" w:fill="FFFFFF"/>
        <w:spacing w:line="240" w:lineRule="auto"/>
        <w:rPr>
          <w:rFonts w:cs="Times New Roman"/>
          <w:color w:val="000000" w:themeColor="text1"/>
          <w:szCs w:val="24"/>
        </w:rPr>
      </w:pPr>
      <w:r w:rsidRPr="0092006B">
        <w:rPr>
          <w:rFonts w:cs="Times New Roman"/>
          <w:color w:val="000000" w:themeColor="text1"/>
          <w:szCs w:val="24"/>
        </w:rPr>
        <w:t xml:space="preserve">The target population for this study was the 11 publicly traded commercial banks in Kenya, as specified by the unit of analysis (Olalekan, 2015). Given the small size of the population, a census sampling method was employed to collect data from all 11 banks during the period from 2013 to 2021 (Mugenda &amp; Mugenda, 2013). Secondary data, drawn from the audited financial reports of these banks, were used for the study. A document review guide, containing rows and columns where each variable and study period were listed, was used to gather the data </w:t>
      </w:r>
    </w:p>
    <w:p w14:paraId="62EB7CAD" w14:textId="77777777" w:rsidR="00B00FCB" w:rsidRPr="0092006B" w:rsidRDefault="00B00FCB" w:rsidP="00B00FCB">
      <w:pPr>
        <w:shd w:val="clear" w:color="auto" w:fill="FFFFFF"/>
        <w:spacing w:line="240" w:lineRule="auto"/>
        <w:rPr>
          <w:rFonts w:cs="Times New Roman"/>
          <w:color w:val="000000" w:themeColor="text1"/>
          <w:szCs w:val="24"/>
        </w:rPr>
      </w:pPr>
      <w:r w:rsidRPr="0092006B">
        <w:rPr>
          <w:rFonts w:cs="Times New Roman"/>
          <w:color w:val="000000" w:themeColor="text1"/>
          <w:szCs w:val="24"/>
        </w:rPr>
        <w:lastRenderedPageBreak/>
        <w:t>Data collection procedures involved obtaining necessary approvals, including a letter of introduction from Kenyatta University and a research permit from NACOSTI. Data were extracted from the Central Bank of Kenya (CBK) website using the document review guide. According to Cox &amp; Hassard (2010), data collection procedures outline the steps researchers follow to gather data, which in this case, involved reviewing documents from 2013 to 2021.</w:t>
      </w:r>
    </w:p>
    <w:p w14:paraId="24D0D0D7" w14:textId="47FF62D6" w:rsidR="00D665A0" w:rsidRPr="0092006B" w:rsidRDefault="00B00FCB" w:rsidP="00B00FCB">
      <w:pPr>
        <w:shd w:val="clear" w:color="auto" w:fill="FFFFFF"/>
        <w:spacing w:line="240" w:lineRule="auto"/>
        <w:rPr>
          <w:rFonts w:cs="Times New Roman"/>
          <w:color w:val="000000" w:themeColor="text1"/>
          <w:szCs w:val="24"/>
        </w:rPr>
      </w:pPr>
      <w:r w:rsidRPr="0092006B">
        <w:rPr>
          <w:rFonts w:cs="Times New Roman"/>
          <w:color w:val="000000" w:themeColor="text1"/>
          <w:szCs w:val="24"/>
        </w:rPr>
        <w:t>For data analysis, the study employed a panel regression model, as recommended by Raharjo et al. (2014). This method is ideal for analyzing two-dimensional (cross-sectional and longitudinal) data, allowing for the examination of the relationship between variables over time. Panel regression was applied to data collected from the same 11 commercial banks over an eight-year period (2013–2020). By analyzing this data, the study aimed to draw inferences about the relationship between prudential rules (predictor variables) and the profitability (dependent variable) of these banks (Jones, 2007; Monsen, 2018).</w:t>
      </w:r>
    </w:p>
    <w:p w14:paraId="0EE522D2" w14:textId="13186CCF" w:rsidR="003C581F" w:rsidRPr="0092006B" w:rsidRDefault="003C581F" w:rsidP="00B00FCB">
      <w:pPr>
        <w:shd w:val="clear" w:color="auto" w:fill="FFFFFF"/>
        <w:spacing w:line="240" w:lineRule="auto"/>
        <w:rPr>
          <w:rFonts w:cs="Times New Roman"/>
          <w:color w:val="000000" w:themeColor="text1"/>
          <w:szCs w:val="24"/>
        </w:rPr>
      </w:pPr>
      <w:r w:rsidRPr="0092006B">
        <w:rPr>
          <w:rFonts w:cs="Times New Roman"/>
          <w:color w:val="000000" w:themeColor="text1"/>
          <w:szCs w:val="24"/>
        </w:rPr>
        <w:t>The diagnostics tests used to assess the model’s reliability include several important checks. The multicollinearity test uses the variance inflation factor (VIF) to determine if there is severe multicollinearity in the data; a VIF greater than 10 indicates multicollinearity, while a value below 10 suggests its absence. The normality test, conducted with the Shapiro-Wilk test, checks if the data follows a normal distribution, with a p-value greater than 0.05 supporting the normality assumption. The homoscedasticity test, using the Breusch-Pagan test, evaluates if residuals have constant variance. A p-value less than 0.05 suggests heteroskedasticity, requiring the use of robust standard errors. The autocorrelation test applies the Durbin-Watson test, where a score around 2 indicates no autocorrelation; scores between 1.5 and 2.5 are considered normal. The stationarity test examines panel data for stationarity using the Levin, Lin, and Chu test, with stationary data being classified as I(0) and non-stationary as I(1). Finally, the Hausman test determines whether a fixed or random effects model is appropriate; a significance score above 0.05 suggests the random effects model is more sui</w:t>
      </w:r>
      <w:r w:rsidRPr="00807B00">
        <w:rPr>
          <w:rFonts w:cs="Times New Roman"/>
          <w:color w:val="000000" w:themeColor="text1"/>
          <w:szCs w:val="24"/>
        </w:rPr>
        <w:t>table</w:t>
      </w:r>
      <w:r w:rsidRPr="0092006B">
        <w:rPr>
          <w:rFonts w:cs="Times New Roman"/>
          <w:color w:val="000000" w:themeColor="text1"/>
          <w:szCs w:val="24"/>
        </w:rPr>
        <w:t>. These tests ensure the model's assumptions are met, validating its reliability.</w:t>
      </w:r>
    </w:p>
    <w:p w14:paraId="228D62CA" w14:textId="19841391" w:rsidR="00526412" w:rsidRPr="00725FBE" w:rsidRDefault="00D242AA" w:rsidP="00725FBE">
      <w:pPr>
        <w:shd w:val="clear" w:color="auto" w:fill="FFFFFF"/>
        <w:spacing w:line="240" w:lineRule="auto"/>
        <w:rPr>
          <w:rFonts w:cs="Times New Roman"/>
          <w:color w:val="000000" w:themeColor="text1"/>
          <w:szCs w:val="24"/>
        </w:rPr>
      </w:pPr>
      <w:r w:rsidRPr="0092006B">
        <w:rPr>
          <w:rFonts w:cs="Times New Roman"/>
          <w:color w:val="000000" w:themeColor="text1"/>
          <w:szCs w:val="24"/>
        </w:rPr>
        <w:t xml:space="preserve">Ethical considerations, as defined by Zainuldin, </w:t>
      </w:r>
      <w:r w:rsidR="004A3F7C" w:rsidRPr="0092006B">
        <w:rPr>
          <w:rFonts w:cs="Times New Roman"/>
          <w:color w:val="000000" w:themeColor="text1"/>
          <w:szCs w:val="24"/>
        </w:rPr>
        <w:t>et al</w:t>
      </w:r>
      <w:r w:rsidRPr="0092006B">
        <w:rPr>
          <w:rFonts w:cs="Times New Roman"/>
          <w:color w:val="000000" w:themeColor="text1"/>
          <w:szCs w:val="24"/>
        </w:rPr>
        <w:t xml:space="preserve"> (2018), involve guidelines that distinguish right from wrong. Researchers are urged to follow ethical standards, and the researcher ensured confidentiality of data gathered from the banks to uphold these principles.</w:t>
      </w:r>
    </w:p>
    <w:p w14:paraId="14C2E9C9" w14:textId="6B5B2453" w:rsidR="00055D83" w:rsidRPr="0092006B" w:rsidRDefault="00055D83" w:rsidP="00055D83">
      <w:pPr>
        <w:spacing w:line="240" w:lineRule="auto"/>
        <w:rPr>
          <w:rFonts w:cs="Times New Roman"/>
          <w:b/>
          <w:color w:val="000000" w:themeColor="text1"/>
          <w:sz w:val="28"/>
          <w:szCs w:val="28"/>
        </w:rPr>
      </w:pPr>
      <w:r w:rsidRPr="0092006B">
        <w:rPr>
          <w:rFonts w:cs="Times New Roman"/>
          <w:b/>
          <w:color w:val="000000" w:themeColor="text1"/>
          <w:sz w:val="28"/>
          <w:szCs w:val="28"/>
        </w:rPr>
        <w:t>4.0 RESULTS AND DISCUSSION</w:t>
      </w:r>
    </w:p>
    <w:p w14:paraId="0CCB6B2E" w14:textId="110D1F7E" w:rsidR="00055D83" w:rsidRPr="0092006B" w:rsidRDefault="00055D83" w:rsidP="00055D83">
      <w:pPr>
        <w:spacing w:line="240" w:lineRule="auto"/>
        <w:rPr>
          <w:rFonts w:cs="Times New Roman"/>
          <w:b/>
          <w:bCs/>
          <w:color w:val="000000" w:themeColor="text1"/>
          <w:sz w:val="28"/>
          <w:szCs w:val="28"/>
        </w:rPr>
      </w:pPr>
      <w:r w:rsidRPr="0092006B">
        <w:rPr>
          <w:rFonts w:cs="Times New Roman"/>
          <w:b/>
          <w:bCs/>
          <w:color w:val="000000" w:themeColor="text1"/>
          <w:sz w:val="28"/>
          <w:szCs w:val="28"/>
        </w:rPr>
        <w:t>4.</w:t>
      </w:r>
      <w:r w:rsidR="00260B2D" w:rsidRPr="0092006B">
        <w:rPr>
          <w:rFonts w:cs="Times New Roman"/>
          <w:b/>
          <w:bCs/>
          <w:color w:val="000000" w:themeColor="text1"/>
          <w:sz w:val="28"/>
          <w:szCs w:val="28"/>
        </w:rPr>
        <w:t>1</w:t>
      </w:r>
      <w:r w:rsidRPr="0092006B">
        <w:rPr>
          <w:rFonts w:cs="Times New Roman"/>
          <w:b/>
          <w:bCs/>
          <w:color w:val="000000" w:themeColor="text1"/>
          <w:sz w:val="28"/>
          <w:szCs w:val="28"/>
        </w:rPr>
        <w:t xml:space="preserve"> Descriptive Statistics</w:t>
      </w:r>
    </w:p>
    <w:p w14:paraId="5B467005" w14:textId="38412A8A" w:rsidR="00260B2D" w:rsidRPr="0092006B" w:rsidRDefault="001F024F" w:rsidP="00526412">
      <w:pPr>
        <w:spacing w:line="240" w:lineRule="auto"/>
        <w:rPr>
          <w:rFonts w:cs="Times New Roman"/>
          <w:b/>
          <w:bCs/>
          <w:i/>
          <w:iCs/>
          <w:color w:val="000000" w:themeColor="text1"/>
          <w:szCs w:val="24"/>
        </w:rPr>
      </w:pPr>
      <w:r w:rsidRPr="0092006B">
        <w:rPr>
          <w:rFonts w:cs="Times New Roman"/>
          <w:color w:val="000000" w:themeColor="text1"/>
          <w:szCs w:val="24"/>
        </w:rPr>
        <w:t>From 2013 to 2021, the average profitability (ROA) of banks listed on the NSE was 3.94%, ranging from a minimum of 0.4% to a maximum of 7.7%. Over the same period, the average Return on Equity (ROE) was 24.58%, with values ranging from 3.1% to 47.2%. The average capital adequacy of these banks stood at 19.49%, with a minimum of 5.4% and a maximum of 38.7%. Liquidity averaged 55.73%, with a range between 29% and 144.3%. The mean credit risk was 0.11, fluctuating between 0.014 and 0.44. Lastly, the average bank size was 286,319.9, with the smallest at 46,755 and the largest at 877,415. These findings offer a detailed picture of the financial health and stability of NSE-listed banks over this period</w:t>
      </w:r>
      <w:r w:rsidR="00A75341" w:rsidRPr="0092006B">
        <w:rPr>
          <w:rFonts w:cs="Times New Roman"/>
          <w:color w:val="000000" w:themeColor="text1"/>
          <w:szCs w:val="24"/>
        </w:rPr>
        <w:t>.</w:t>
      </w:r>
    </w:p>
    <w:p w14:paraId="66A216CC" w14:textId="4349519D" w:rsidR="00C95979" w:rsidRPr="0092006B" w:rsidRDefault="007D261A" w:rsidP="00C95979">
      <w:pPr>
        <w:spacing w:line="240" w:lineRule="auto"/>
        <w:rPr>
          <w:rFonts w:cs="Times New Roman"/>
          <w:b/>
          <w:bCs/>
          <w:i/>
          <w:iCs/>
          <w:color w:val="000000" w:themeColor="text1"/>
          <w:szCs w:val="24"/>
        </w:rPr>
      </w:pPr>
      <w:r w:rsidRPr="00807B00">
        <w:rPr>
          <w:rFonts w:cs="Times New Roman"/>
          <w:b/>
          <w:bCs/>
          <w:i/>
          <w:iCs/>
          <w:color w:val="000000" w:themeColor="text1"/>
          <w:szCs w:val="24"/>
        </w:rPr>
        <w:t>Table</w:t>
      </w:r>
      <w:r>
        <w:rPr>
          <w:rFonts w:cs="Times New Roman"/>
          <w:b/>
          <w:bCs/>
          <w:i/>
          <w:iCs/>
          <w:color w:val="000000" w:themeColor="text1"/>
          <w:szCs w:val="24"/>
        </w:rPr>
        <w:t xml:space="preserve"> </w:t>
      </w:r>
      <w:r w:rsidR="00260B2D" w:rsidRPr="0092006B">
        <w:rPr>
          <w:rFonts w:cs="Times New Roman"/>
          <w:b/>
          <w:bCs/>
          <w:i/>
          <w:iCs/>
          <w:color w:val="000000" w:themeColor="text1"/>
          <w:szCs w:val="24"/>
        </w:rPr>
        <w:t>1</w:t>
      </w:r>
      <w:r w:rsidR="00C95979" w:rsidRPr="0092006B">
        <w:rPr>
          <w:rFonts w:cs="Times New Roman"/>
          <w:b/>
          <w:bCs/>
          <w:i/>
          <w:iCs/>
          <w:color w:val="000000" w:themeColor="text1"/>
          <w:szCs w:val="24"/>
        </w:rPr>
        <w:t xml:space="preserve"> Descriptive Statistics</w:t>
      </w:r>
    </w:p>
    <w:tbl>
      <w:tblPr>
        <w:tblW w:w="5000" w:type="pct"/>
        <w:tblLook w:val="04A0" w:firstRow="1" w:lastRow="0" w:firstColumn="1" w:lastColumn="0" w:noHBand="0" w:noVBand="1"/>
      </w:tblPr>
      <w:tblGrid>
        <w:gridCol w:w="2103"/>
        <w:gridCol w:w="1657"/>
        <w:gridCol w:w="1818"/>
        <w:gridCol w:w="1818"/>
        <w:gridCol w:w="1818"/>
        <w:gridCol w:w="1816"/>
      </w:tblGrid>
      <w:tr w:rsidR="001F024F" w:rsidRPr="0092006B" w14:paraId="3A07C71C" w14:textId="77777777" w:rsidTr="00575F00">
        <w:trPr>
          <w:trHeight w:val="300"/>
        </w:trPr>
        <w:tc>
          <w:tcPr>
            <w:tcW w:w="953" w:type="pct"/>
            <w:tcBorders>
              <w:top w:val="single" w:sz="4" w:space="0" w:color="auto"/>
              <w:left w:val="nil"/>
              <w:bottom w:val="single" w:sz="4" w:space="0" w:color="auto"/>
              <w:right w:val="nil"/>
            </w:tcBorders>
            <w:shd w:val="clear" w:color="auto" w:fill="auto"/>
            <w:noWrap/>
            <w:vAlign w:val="bottom"/>
            <w:hideMark/>
          </w:tcPr>
          <w:p w14:paraId="52535742" w14:textId="77777777" w:rsidR="001F024F" w:rsidRPr="0092006B" w:rsidRDefault="001F024F" w:rsidP="009F4DDB">
            <w:pPr>
              <w:spacing w:line="240" w:lineRule="auto"/>
              <w:jc w:val="left"/>
              <w:rPr>
                <w:b/>
              </w:rPr>
            </w:pPr>
            <w:r w:rsidRPr="0092006B">
              <w:rPr>
                <w:b/>
              </w:rPr>
              <w:t>Variable</w:t>
            </w:r>
          </w:p>
        </w:tc>
        <w:tc>
          <w:tcPr>
            <w:tcW w:w="751" w:type="pct"/>
            <w:tcBorders>
              <w:top w:val="single" w:sz="4" w:space="0" w:color="auto"/>
              <w:left w:val="nil"/>
              <w:bottom w:val="single" w:sz="4" w:space="0" w:color="auto"/>
              <w:right w:val="nil"/>
            </w:tcBorders>
            <w:shd w:val="clear" w:color="auto" w:fill="auto"/>
            <w:noWrap/>
            <w:vAlign w:val="bottom"/>
            <w:hideMark/>
          </w:tcPr>
          <w:p w14:paraId="624762A1" w14:textId="77777777" w:rsidR="001F024F" w:rsidRPr="0092006B" w:rsidRDefault="001F024F" w:rsidP="009F4DDB">
            <w:pPr>
              <w:spacing w:line="240" w:lineRule="auto"/>
              <w:rPr>
                <w:b/>
              </w:rPr>
            </w:pPr>
            <w:r w:rsidRPr="0092006B">
              <w:rPr>
                <w:b/>
              </w:rPr>
              <w:t>Obs</w:t>
            </w:r>
          </w:p>
        </w:tc>
        <w:tc>
          <w:tcPr>
            <w:tcW w:w="824" w:type="pct"/>
            <w:tcBorders>
              <w:top w:val="single" w:sz="4" w:space="0" w:color="auto"/>
              <w:left w:val="nil"/>
              <w:bottom w:val="single" w:sz="4" w:space="0" w:color="auto"/>
              <w:right w:val="nil"/>
            </w:tcBorders>
            <w:shd w:val="clear" w:color="auto" w:fill="auto"/>
            <w:noWrap/>
            <w:vAlign w:val="bottom"/>
            <w:hideMark/>
          </w:tcPr>
          <w:p w14:paraId="679FAAA7" w14:textId="77777777" w:rsidR="001F024F" w:rsidRPr="0092006B" w:rsidRDefault="001F024F" w:rsidP="009F4DDB">
            <w:pPr>
              <w:spacing w:line="240" w:lineRule="auto"/>
              <w:rPr>
                <w:b/>
              </w:rPr>
            </w:pPr>
            <w:r w:rsidRPr="0092006B">
              <w:rPr>
                <w:b/>
              </w:rPr>
              <w:t>Mean</w:t>
            </w:r>
          </w:p>
        </w:tc>
        <w:tc>
          <w:tcPr>
            <w:tcW w:w="824" w:type="pct"/>
            <w:tcBorders>
              <w:top w:val="single" w:sz="4" w:space="0" w:color="auto"/>
              <w:left w:val="nil"/>
              <w:bottom w:val="single" w:sz="4" w:space="0" w:color="auto"/>
              <w:right w:val="nil"/>
            </w:tcBorders>
            <w:shd w:val="clear" w:color="auto" w:fill="auto"/>
            <w:noWrap/>
            <w:vAlign w:val="bottom"/>
            <w:hideMark/>
          </w:tcPr>
          <w:p w14:paraId="7362C5A5" w14:textId="77777777" w:rsidR="001F024F" w:rsidRPr="0092006B" w:rsidRDefault="001F024F" w:rsidP="009F4DDB">
            <w:pPr>
              <w:spacing w:line="240" w:lineRule="auto"/>
              <w:rPr>
                <w:b/>
              </w:rPr>
            </w:pPr>
            <w:r w:rsidRPr="0092006B">
              <w:rPr>
                <w:b/>
              </w:rPr>
              <w:t>Std. Dev.</w:t>
            </w:r>
          </w:p>
        </w:tc>
        <w:tc>
          <w:tcPr>
            <w:tcW w:w="824" w:type="pct"/>
            <w:tcBorders>
              <w:top w:val="single" w:sz="4" w:space="0" w:color="auto"/>
              <w:left w:val="nil"/>
              <w:bottom w:val="single" w:sz="4" w:space="0" w:color="auto"/>
              <w:right w:val="nil"/>
            </w:tcBorders>
            <w:shd w:val="clear" w:color="auto" w:fill="auto"/>
            <w:noWrap/>
            <w:vAlign w:val="bottom"/>
            <w:hideMark/>
          </w:tcPr>
          <w:p w14:paraId="2F454A3F" w14:textId="77777777" w:rsidR="001F024F" w:rsidRPr="0092006B" w:rsidRDefault="001F024F" w:rsidP="009F4DDB">
            <w:pPr>
              <w:spacing w:line="240" w:lineRule="auto"/>
              <w:rPr>
                <w:b/>
              </w:rPr>
            </w:pPr>
            <w:r w:rsidRPr="0092006B">
              <w:rPr>
                <w:b/>
              </w:rPr>
              <w:t>Min</w:t>
            </w:r>
          </w:p>
        </w:tc>
        <w:tc>
          <w:tcPr>
            <w:tcW w:w="823" w:type="pct"/>
            <w:tcBorders>
              <w:top w:val="single" w:sz="4" w:space="0" w:color="auto"/>
              <w:left w:val="nil"/>
              <w:bottom w:val="single" w:sz="4" w:space="0" w:color="auto"/>
              <w:right w:val="nil"/>
            </w:tcBorders>
            <w:shd w:val="clear" w:color="auto" w:fill="auto"/>
            <w:noWrap/>
            <w:vAlign w:val="bottom"/>
            <w:hideMark/>
          </w:tcPr>
          <w:p w14:paraId="103E1DBE" w14:textId="77777777" w:rsidR="001F024F" w:rsidRPr="0092006B" w:rsidRDefault="001F024F" w:rsidP="009F4DDB">
            <w:pPr>
              <w:spacing w:line="240" w:lineRule="auto"/>
              <w:rPr>
                <w:b/>
              </w:rPr>
            </w:pPr>
            <w:r w:rsidRPr="0092006B">
              <w:rPr>
                <w:b/>
              </w:rPr>
              <w:t>Max</w:t>
            </w:r>
          </w:p>
        </w:tc>
      </w:tr>
      <w:tr w:rsidR="001F024F" w:rsidRPr="0092006B" w14:paraId="24F84DD6" w14:textId="77777777" w:rsidTr="00575F00">
        <w:trPr>
          <w:trHeight w:val="300"/>
        </w:trPr>
        <w:tc>
          <w:tcPr>
            <w:tcW w:w="953" w:type="pct"/>
            <w:tcBorders>
              <w:top w:val="nil"/>
              <w:left w:val="nil"/>
              <w:bottom w:val="nil"/>
              <w:right w:val="nil"/>
            </w:tcBorders>
            <w:shd w:val="clear" w:color="auto" w:fill="auto"/>
            <w:noWrap/>
            <w:vAlign w:val="bottom"/>
            <w:hideMark/>
          </w:tcPr>
          <w:p w14:paraId="576E42C7" w14:textId="77777777" w:rsidR="001F024F" w:rsidRPr="0092006B" w:rsidRDefault="001F024F" w:rsidP="009F4DDB">
            <w:pPr>
              <w:spacing w:line="240" w:lineRule="auto"/>
              <w:jc w:val="left"/>
            </w:pPr>
            <w:r w:rsidRPr="0092006B">
              <w:t>Profitability (ROA)</w:t>
            </w:r>
          </w:p>
        </w:tc>
        <w:tc>
          <w:tcPr>
            <w:tcW w:w="751" w:type="pct"/>
            <w:tcBorders>
              <w:top w:val="nil"/>
              <w:left w:val="nil"/>
              <w:bottom w:val="nil"/>
              <w:right w:val="nil"/>
            </w:tcBorders>
            <w:shd w:val="clear" w:color="auto" w:fill="auto"/>
            <w:noWrap/>
            <w:vAlign w:val="bottom"/>
            <w:hideMark/>
          </w:tcPr>
          <w:p w14:paraId="3C04C2AE" w14:textId="77777777" w:rsidR="001F024F" w:rsidRPr="0092006B" w:rsidRDefault="001F024F" w:rsidP="009F4DDB">
            <w:pPr>
              <w:spacing w:line="240" w:lineRule="auto"/>
            </w:pPr>
            <w:r w:rsidRPr="0092006B">
              <w:t>99</w:t>
            </w:r>
          </w:p>
        </w:tc>
        <w:tc>
          <w:tcPr>
            <w:tcW w:w="824" w:type="pct"/>
            <w:tcBorders>
              <w:top w:val="nil"/>
              <w:left w:val="nil"/>
              <w:bottom w:val="nil"/>
              <w:right w:val="nil"/>
            </w:tcBorders>
            <w:shd w:val="clear" w:color="auto" w:fill="auto"/>
            <w:noWrap/>
            <w:vAlign w:val="bottom"/>
            <w:hideMark/>
          </w:tcPr>
          <w:p w14:paraId="1DAD66C1" w14:textId="77777777" w:rsidR="001F024F" w:rsidRPr="0092006B" w:rsidRDefault="001F024F" w:rsidP="009F4DDB">
            <w:pPr>
              <w:spacing w:line="240" w:lineRule="auto"/>
            </w:pPr>
            <w:r w:rsidRPr="0092006B">
              <w:t>3.942626</w:t>
            </w:r>
          </w:p>
        </w:tc>
        <w:tc>
          <w:tcPr>
            <w:tcW w:w="824" w:type="pct"/>
            <w:tcBorders>
              <w:top w:val="nil"/>
              <w:left w:val="nil"/>
              <w:bottom w:val="nil"/>
              <w:right w:val="nil"/>
            </w:tcBorders>
            <w:shd w:val="clear" w:color="auto" w:fill="auto"/>
            <w:noWrap/>
            <w:vAlign w:val="bottom"/>
            <w:hideMark/>
          </w:tcPr>
          <w:p w14:paraId="204BAFEA" w14:textId="77777777" w:rsidR="001F024F" w:rsidRPr="0092006B" w:rsidRDefault="001F024F" w:rsidP="009F4DDB">
            <w:pPr>
              <w:spacing w:line="240" w:lineRule="auto"/>
            </w:pPr>
            <w:r w:rsidRPr="0092006B">
              <w:t>1.553754</w:t>
            </w:r>
          </w:p>
        </w:tc>
        <w:tc>
          <w:tcPr>
            <w:tcW w:w="824" w:type="pct"/>
            <w:tcBorders>
              <w:top w:val="nil"/>
              <w:left w:val="nil"/>
              <w:bottom w:val="nil"/>
              <w:right w:val="nil"/>
            </w:tcBorders>
            <w:shd w:val="clear" w:color="auto" w:fill="auto"/>
            <w:noWrap/>
            <w:vAlign w:val="bottom"/>
            <w:hideMark/>
          </w:tcPr>
          <w:p w14:paraId="12A86785" w14:textId="77777777" w:rsidR="001F024F" w:rsidRPr="0092006B" w:rsidRDefault="001F024F" w:rsidP="009F4DDB">
            <w:pPr>
              <w:spacing w:line="240" w:lineRule="auto"/>
            </w:pPr>
            <w:r w:rsidRPr="0092006B">
              <w:t>0.4</w:t>
            </w:r>
          </w:p>
        </w:tc>
        <w:tc>
          <w:tcPr>
            <w:tcW w:w="823" w:type="pct"/>
            <w:tcBorders>
              <w:top w:val="nil"/>
              <w:left w:val="nil"/>
              <w:bottom w:val="nil"/>
              <w:right w:val="nil"/>
            </w:tcBorders>
            <w:shd w:val="clear" w:color="auto" w:fill="auto"/>
            <w:noWrap/>
            <w:vAlign w:val="bottom"/>
            <w:hideMark/>
          </w:tcPr>
          <w:p w14:paraId="6198260B" w14:textId="77777777" w:rsidR="001F024F" w:rsidRPr="0092006B" w:rsidRDefault="001F024F" w:rsidP="009F4DDB">
            <w:pPr>
              <w:spacing w:line="240" w:lineRule="auto"/>
            </w:pPr>
            <w:r w:rsidRPr="0092006B">
              <w:t>7.7</w:t>
            </w:r>
          </w:p>
        </w:tc>
      </w:tr>
      <w:tr w:rsidR="001F024F" w:rsidRPr="0092006B" w14:paraId="335959B4" w14:textId="77777777" w:rsidTr="00575F00">
        <w:trPr>
          <w:trHeight w:val="300"/>
        </w:trPr>
        <w:tc>
          <w:tcPr>
            <w:tcW w:w="953" w:type="pct"/>
            <w:tcBorders>
              <w:top w:val="nil"/>
              <w:left w:val="nil"/>
              <w:bottom w:val="nil"/>
              <w:right w:val="nil"/>
            </w:tcBorders>
            <w:shd w:val="clear" w:color="auto" w:fill="auto"/>
            <w:noWrap/>
            <w:vAlign w:val="bottom"/>
            <w:hideMark/>
          </w:tcPr>
          <w:p w14:paraId="64CEDC69" w14:textId="77777777" w:rsidR="001F024F" w:rsidRPr="0092006B" w:rsidRDefault="001F024F" w:rsidP="009F4DDB">
            <w:pPr>
              <w:spacing w:line="240" w:lineRule="auto"/>
              <w:jc w:val="left"/>
            </w:pPr>
            <w:r w:rsidRPr="0092006B">
              <w:t>Profitability (ROE)</w:t>
            </w:r>
          </w:p>
        </w:tc>
        <w:tc>
          <w:tcPr>
            <w:tcW w:w="751" w:type="pct"/>
            <w:tcBorders>
              <w:top w:val="nil"/>
              <w:left w:val="nil"/>
              <w:bottom w:val="nil"/>
              <w:right w:val="nil"/>
            </w:tcBorders>
            <w:shd w:val="clear" w:color="auto" w:fill="auto"/>
            <w:noWrap/>
            <w:vAlign w:val="bottom"/>
            <w:hideMark/>
          </w:tcPr>
          <w:p w14:paraId="6EEAA7E5" w14:textId="77777777" w:rsidR="001F024F" w:rsidRPr="0092006B" w:rsidRDefault="001F024F" w:rsidP="009F4DDB">
            <w:pPr>
              <w:spacing w:line="240" w:lineRule="auto"/>
            </w:pPr>
            <w:r w:rsidRPr="0092006B">
              <w:t>99</w:t>
            </w:r>
          </w:p>
        </w:tc>
        <w:tc>
          <w:tcPr>
            <w:tcW w:w="824" w:type="pct"/>
            <w:tcBorders>
              <w:top w:val="nil"/>
              <w:left w:val="nil"/>
              <w:bottom w:val="nil"/>
              <w:right w:val="nil"/>
            </w:tcBorders>
            <w:shd w:val="clear" w:color="auto" w:fill="auto"/>
            <w:noWrap/>
            <w:vAlign w:val="bottom"/>
            <w:hideMark/>
          </w:tcPr>
          <w:p w14:paraId="3B37F0C8" w14:textId="77777777" w:rsidR="001F024F" w:rsidRPr="0092006B" w:rsidRDefault="001F024F" w:rsidP="009F4DDB">
            <w:pPr>
              <w:spacing w:line="240" w:lineRule="auto"/>
            </w:pPr>
            <w:r w:rsidRPr="0092006B">
              <w:t>24.57677</w:t>
            </w:r>
          </w:p>
        </w:tc>
        <w:tc>
          <w:tcPr>
            <w:tcW w:w="824" w:type="pct"/>
            <w:tcBorders>
              <w:top w:val="nil"/>
              <w:left w:val="nil"/>
              <w:bottom w:val="nil"/>
              <w:right w:val="nil"/>
            </w:tcBorders>
            <w:shd w:val="clear" w:color="auto" w:fill="auto"/>
            <w:noWrap/>
            <w:vAlign w:val="bottom"/>
            <w:hideMark/>
          </w:tcPr>
          <w:p w14:paraId="6C1CF468" w14:textId="77777777" w:rsidR="001F024F" w:rsidRPr="0092006B" w:rsidRDefault="001F024F" w:rsidP="009F4DDB">
            <w:pPr>
              <w:spacing w:line="240" w:lineRule="auto"/>
            </w:pPr>
            <w:r w:rsidRPr="0092006B">
              <w:t>9.338455</w:t>
            </w:r>
          </w:p>
        </w:tc>
        <w:tc>
          <w:tcPr>
            <w:tcW w:w="824" w:type="pct"/>
            <w:tcBorders>
              <w:top w:val="nil"/>
              <w:left w:val="nil"/>
              <w:bottom w:val="nil"/>
              <w:right w:val="nil"/>
            </w:tcBorders>
            <w:shd w:val="clear" w:color="auto" w:fill="auto"/>
            <w:noWrap/>
            <w:vAlign w:val="bottom"/>
            <w:hideMark/>
          </w:tcPr>
          <w:p w14:paraId="2DD92C20" w14:textId="77777777" w:rsidR="001F024F" w:rsidRPr="0092006B" w:rsidRDefault="001F024F" w:rsidP="009F4DDB">
            <w:pPr>
              <w:spacing w:line="240" w:lineRule="auto"/>
            </w:pPr>
            <w:r w:rsidRPr="0092006B">
              <w:t>3.1</w:t>
            </w:r>
          </w:p>
        </w:tc>
        <w:tc>
          <w:tcPr>
            <w:tcW w:w="823" w:type="pct"/>
            <w:tcBorders>
              <w:top w:val="nil"/>
              <w:left w:val="nil"/>
              <w:bottom w:val="nil"/>
              <w:right w:val="nil"/>
            </w:tcBorders>
            <w:shd w:val="clear" w:color="auto" w:fill="auto"/>
            <w:noWrap/>
            <w:vAlign w:val="bottom"/>
            <w:hideMark/>
          </w:tcPr>
          <w:p w14:paraId="7F7E824A" w14:textId="77777777" w:rsidR="001F024F" w:rsidRPr="0092006B" w:rsidRDefault="001F024F" w:rsidP="009F4DDB">
            <w:pPr>
              <w:spacing w:line="240" w:lineRule="auto"/>
            </w:pPr>
            <w:r w:rsidRPr="0092006B">
              <w:t>47.2</w:t>
            </w:r>
          </w:p>
        </w:tc>
      </w:tr>
      <w:tr w:rsidR="001F024F" w:rsidRPr="0092006B" w14:paraId="5F7DCCAD" w14:textId="77777777" w:rsidTr="00575F00">
        <w:trPr>
          <w:trHeight w:val="300"/>
        </w:trPr>
        <w:tc>
          <w:tcPr>
            <w:tcW w:w="953" w:type="pct"/>
            <w:tcBorders>
              <w:top w:val="nil"/>
              <w:left w:val="nil"/>
              <w:bottom w:val="nil"/>
              <w:right w:val="nil"/>
            </w:tcBorders>
            <w:shd w:val="clear" w:color="auto" w:fill="auto"/>
            <w:noWrap/>
            <w:vAlign w:val="bottom"/>
            <w:hideMark/>
          </w:tcPr>
          <w:p w14:paraId="05D31BF2" w14:textId="77777777" w:rsidR="001F024F" w:rsidRPr="0092006B" w:rsidRDefault="001F024F" w:rsidP="009F4DDB">
            <w:pPr>
              <w:spacing w:line="240" w:lineRule="auto"/>
              <w:jc w:val="left"/>
            </w:pPr>
            <w:r w:rsidRPr="0092006B">
              <w:t>Capital adequacy</w:t>
            </w:r>
          </w:p>
        </w:tc>
        <w:tc>
          <w:tcPr>
            <w:tcW w:w="751" w:type="pct"/>
            <w:tcBorders>
              <w:top w:val="nil"/>
              <w:left w:val="nil"/>
              <w:bottom w:val="nil"/>
              <w:right w:val="nil"/>
            </w:tcBorders>
            <w:shd w:val="clear" w:color="auto" w:fill="auto"/>
            <w:noWrap/>
            <w:vAlign w:val="bottom"/>
            <w:hideMark/>
          </w:tcPr>
          <w:p w14:paraId="0EE3C651" w14:textId="77777777" w:rsidR="001F024F" w:rsidRPr="0092006B" w:rsidRDefault="001F024F" w:rsidP="009F4DDB">
            <w:pPr>
              <w:spacing w:line="240" w:lineRule="auto"/>
            </w:pPr>
            <w:r w:rsidRPr="0092006B">
              <w:t>99</w:t>
            </w:r>
          </w:p>
        </w:tc>
        <w:tc>
          <w:tcPr>
            <w:tcW w:w="824" w:type="pct"/>
            <w:tcBorders>
              <w:top w:val="nil"/>
              <w:left w:val="nil"/>
              <w:bottom w:val="nil"/>
              <w:right w:val="nil"/>
            </w:tcBorders>
            <w:shd w:val="clear" w:color="auto" w:fill="auto"/>
            <w:noWrap/>
            <w:vAlign w:val="bottom"/>
            <w:hideMark/>
          </w:tcPr>
          <w:p w14:paraId="533BDC21" w14:textId="77777777" w:rsidR="001F024F" w:rsidRPr="0092006B" w:rsidRDefault="001F024F" w:rsidP="009F4DDB">
            <w:pPr>
              <w:spacing w:line="240" w:lineRule="auto"/>
            </w:pPr>
            <w:r w:rsidRPr="0092006B">
              <w:t>19.48788</w:t>
            </w:r>
          </w:p>
        </w:tc>
        <w:tc>
          <w:tcPr>
            <w:tcW w:w="824" w:type="pct"/>
            <w:tcBorders>
              <w:top w:val="nil"/>
              <w:left w:val="nil"/>
              <w:bottom w:val="nil"/>
              <w:right w:val="nil"/>
            </w:tcBorders>
            <w:shd w:val="clear" w:color="auto" w:fill="auto"/>
            <w:noWrap/>
            <w:vAlign w:val="bottom"/>
            <w:hideMark/>
          </w:tcPr>
          <w:p w14:paraId="3A78BB80" w14:textId="77777777" w:rsidR="001F024F" w:rsidRPr="0092006B" w:rsidRDefault="001F024F" w:rsidP="009F4DDB">
            <w:pPr>
              <w:spacing w:line="240" w:lineRule="auto"/>
            </w:pPr>
            <w:r w:rsidRPr="0092006B">
              <w:t>4.169209</w:t>
            </w:r>
          </w:p>
        </w:tc>
        <w:tc>
          <w:tcPr>
            <w:tcW w:w="824" w:type="pct"/>
            <w:tcBorders>
              <w:top w:val="nil"/>
              <w:left w:val="nil"/>
              <w:bottom w:val="nil"/>
              <w:right w:val="nil"/>
            </w:tcBorders>
            <w:shd w:val="clear" w:color="auto" w:fill="auto"/>
            <w:noWrap/>
            <w:vAlign w:val="bottom"/>
            <w:hideMark/>
          </w:tcPr>
          <w:p w14:paraId="44BDEB5A" w14:textId="77777777" w:rsidR="001F024F" w:rsidRPr="0092006B" w:rsidRDefault="001F024F" w:rsidP="009F4DDB">
            <w:pPr>
              <w:spacing w:line="240" w:lineRule="auto"/>
            </w:pPr>
            <w:r w:rsidRPr="0092006B">
              <w:t>5.4</w:t>
            </w:r>
          </w:p>
        </w:tc>
        <w:tc>
          <w:tcPr>
            <w:tcW w:w="823" w:type="pct"/>
            <w:tcBorders>
              <w:top w:val="nil"/>
              <w:left w:val="nil"/>
              <w:bottom w:val="nil"/>
              <w:right w:val="nil"/>
            </w:tcBorders>
            <w:shd w:val="clear" w:color="auto" w:fill="auto"/>
            <w:noWrap/>
            <w:vAlign w:val="bottom"/>
            <w:hideMark/>
          </w:tcPr>
          <w:p w14:paraId="44FAAAF8" w14:textId="77777777" w:rsidR="001F024F" w:rsidRPr="0092006B" w:rsidRDefault="001F024F" w:rsidP="009F4DDB">
            <w:pPr>
              <w:spacing w:line="240" w:lineRule="auto"/>
            </w:pPr>
            <w:r w:rsidRPr="0092006B">
              <w:t>38.7</w:t>
            </w:r>
          </w:p>
        </w:tc>
      </w:tr>
      <w:tr w:rsidR="001F024F" w:rsidRPr="0092006B" w14:paraId="0486A13F" w14:textId="77777777" w:rsidTr="00575F00">
        <w:trPr>
          <w:trHeight w:val="300"/>
        </w:trPr>
        <w:tc>
          <w:tcPr>
            <w:tcW w:w="953" w:type="pct"/>
            <w:tcBorders>
              <w:top w:val="nil"/>
              <w:left w:val="nil"/>
              <w:bottom w:val="nil"/>
              <w:right w:val="nil"/>
            </w:tcBorders>
            <w:shd w:val="clear" w:color="auto" w:fill="auto"/>
            <w:noWrap/>
            <w:vAlign w:val="bottom"/>
            <w:hideMark/>
          </w:tcPr>
          <w:p w14:paraId="7821E7DB" w14:textId="77777777" w:rsidR="001F024F" w:rsidRPr="0092006B" w:rsidRDefault="001F024F" w:rsidP="009F4DDB">
            <w:pPr>
              <w:spacing w:line="240" w:lineRule="auto"/>
              <w:jc w:val="left"/>
            </w:pPr>
            <w:r w:rsidRPr="0092006B">
              <w:t>Liquidity</w:t>
            </w:r>
          </w:p>
        </w:tc>
        <w:tc>
          <w:tcPr>
            <w:tcW w:w="751" w:type="pct"/>
            <w:tcBorders>
              <w:top w:val="nil"/>
              <w:left w:val="nil"/>
              <w:bottom w:val="nil"/>
              <w:right w:val="nil"/>
            </w:tcBorders>
            <w:shd w:val="clear" w:color="auto" w:fill="auto"/>
            <w:noWrap/>
            <w:vAlign w:val="bottom"/>
            <w:hideMark/>
          </w:tcPr>
          <w:p w14:paraId="47C8A2B0" w14:textId="77777777" w:rsidR="001F024F" w:rsidRPr="0092006B" w:rsidRDefault="001F024F" w:rsidP="009F4DDB">
            <w:pPr>
              <w:spacing w:line="240" w:lineRule="auto"/>
            </w:pPr>
            <w:r w:rsidRPr="0092006B">
              <w:t>99</w:t>
            </w:r>
          </w:p>
        </w:tc>
        <w:tc>
          <w:tcPr>
            <w:tcW w:w="824" w:type="pct"/>
            <w:tcBorders>
              <w:top w:val="nil"/>
              <w:left w:val="nil"/>
              <w:bottom w:val="nil"/>
              <w:right w:val="nil"/>
            </w:tcBorders>
            <w:shd w:val="clear" w:color="auto" w:fill="auto"/>
            <w:noWrap/>
            <w:vAlign w:val="bottom"/>
            <w:hideMark/>
          </w:tcPr>
          <w:p w14:paraId="77160397" w14:textId="77777777" w:rsidR="001F024F" w:rsidRPr="0092006B" w:rsidRDefault="001F024F" w:rsidP="009F4DDB">
            <w:pPr>
              <w:spacing w:line="240" w:lineRule="auto"/>
            </w:pPr>
            <w:r w:rsidRPr="0092006B">
              <w:t>55.72879</w:t>
            </w:r>
          </w:p>
        </w:tc>
        <w:tc>
          <w:tcPr>
            <w:tcW w:w="824" w:type="pct"/>
            <w:tcBorders>
              <w:top w:val="nil"/>
              <w:left w:val="nil"/>
              <w:bottom w:val="nil"/>
              <w:right w:val="nil"/>
            </w:tcBorders>
            <w:shd w:val="clear" w:color="auto" w:fill="auto"/>
            <w:noWrap/>
            <w:vAlign w:val="bottom"/>
            <w:hideMark/>
          </w:tcPr>
          <w:p w14:paraId="2294A6E7" w14:textId="77777777" w:rsidR="001F024F" w:rsidRPr="0092006B" w:rsidRDefault="001F024F" w:rsidP="009F4DDB">
            <w:pPr>
              <w:spacing w:line="240" w:lineRule="auto"/>
            </w:pPr>
            <w:r w:rsidRPr="0092006B">
              <w:t>26.27273</w:t>
            </w:r>
          </w:p>
        </w:tc>
        <w:tc>
          <w:tcPr>
            <w:tcW w:w="824" w:type="pct"/>
            <w:tcBorders>
              <w:top w:val="nil"/>
              <w:left w:val="nil"/>
              <w:bottom w:val="nil"/>
              <w:right w:val="nil"/>
            </w:tcBorders>
            <w:shd w:val="clear" w:color="auto" w:fill="auto"/>
            <w:noWrap/>
            <w:vAlign w:val="bottom"/>
            <w:hideMark/>
          </w:tcPr>
          <w:p w14:paraId="3BD3A6E3" w14:textId="77777777" w:rsidR="001F024F" w:rsidRPr="0092006B" w:rsidRDefault="001F024F" w:rsidP="009F4DDB">
            <w:pPr>
              <w:spacing w:line="240" w:lineRule="auto"/>
            </w:pPr>
            <w:r w:rsidRPr="0092006B">
              <w:t>29</w:t>
            </w:r>
          </w:p>
        </w:tc>
        <w:tc>
          <w:tcPr>
            <w:tcW w:w="823" w:type="pct"/>
            <w:tcBorders>
              <w:top w:val="nil"/>
              <w:left w:val="nil"/>
              <w:bottom w:val="nil"/>
              <w:right w:val="nil"/>
            </w:tcBorders>
            <w:shd w:val="clear" w:color="auto" w:fill="auto"/>
            <w:noWrap/>
            <w:vAlign w:val="bottom"/>
            <w:hideMark/>
          </w:tcPr>
          <w:p w14:paraId="41B62A6E" w14:textId="77777777" w:rsidR="001F024F" w:rsidRPr="0092006B" w:rsidRDefault="001F024F" w:rsidP="009F4DDB">
            <w:pPr>
              <w:spacing w:line="240" w:lineRule="auto"/>
            </w:pPr>
            <w:r w:rsidRPr="0092006B">
              <w:t>144.3</w:t>
            </w:r>
          </w:p>
        </w:tc>
      </w:tr>
      <w:tr w:rsidR="001F024F" w:rsidRPr="0092006B" w14:paraId="5D506A6C" w14:textId="77777777" w:rsidTr="00575F00">
        <w:trPr>
          <w:trHeight w:val="300"/>
        </w:trPr>
        <w:tc>
          <w:tcPr>
            <w:tcW w:w="953" w:type="pct"/>
            <w:tcBorders>
              <w:top w:val="nil"/>
              <w:left w:val="nil"/>
              <w:bottom w:val="nil"/>
              <w:right w:val="nil"/>
            </w:tcBorders>
            <w:shd w:val="clear" w:color="auto" w:fill="auto"/>
            <w:noWrap/>
            <w:vAlign w:val="bottom"/>
            <w:hideMark/>
          </w:tcPr>
          <w:p w14:paraId="3BE494DA" w14:textId="77777777" w:rsidR="001F024F" w:rsidRPr="0092006B" w:rsidRDefault="001F024F" w:rsidP="009F4DDB">
            <w:pPr>
              <w:spacing w:line="240" w:lineRule="auto"/>
              <w:jc w:val="left"/>
            </w:pPr>
            <w:r w:rsidRPr="0092006B">
              <w:lastRenderedPageBreak/>
              <w:t>Credit risk</w:t>
            </w:r>
          </w:p>
        </w:tc>
        <w:tc>
          <w:tcPr>
            <w:tcW w:w="751" w:type="pct"/>
            <w:tcBorders>
              <w:top w:val="nil"/>
              <w:left w:val="nil"/>
              <w:bottom w:val="nil"/>
              <w:right w:val="nil"/>
            </w:tcBorders>
            <w:shd w:val="clear" w:color="auto" w:fill="auto"/>
            <w:noWrap/>
            <w:vAlign w:val="bottom"/>
            <w:hideMark/>
          </w:tcPr>
          <w:p w14:paraId="4B2F340E" w14:textId="77777777" w:rsidR="001F024F" w:rsidRPr="0092006B" w:rsidRDefault="001F024F" w:rsidP="009F4DDB">
            <w:pPr>
              <w:spacing w:line="240" w:lineRule="auto"/>
            </w:pPr>
            <w:r w:rsidRPr="0092006B">
              <w:t>99</w:t>
            </w:r>
          </w:p>
        </w:tc>
        <w:tc>
          <w:tcPr>
            <w:tcW w:w="824" w:type="pct"/>
            <w:tcBorders>
              <w:top w:val="nil"/>
              <w:left w:val="nil"/>
              <w:bottom w:val="nil"/>
              <w:right w:val="nil"/>
            </w:tcBorders>
            <w:shd w:val="clear" w:color="auto" w:fill="auto"/>
            <w:noWrap/>
            <w:vAlign w:val="bottom"/>
            <w:hideMark/>
          </w:tcPr>
          <w:p w14:paraId="6CECD426" w14:textId="77777777" w:rsidR="001F024F" w:rsidRPr="0092006B" w:rsidRDefault="001F024F" w:rsidP="009F4DDB">
            <w:pPr>
              <w:spacing w:line="240" w:lineRule="auto"/>
            </w:pPr>
            <w:r w:rsidRPr="0092006B">
              <w:t>0.110368</w:t>
            </w:r>
          </w:p>
        </w:tc>
        <w:tc>
          <w:tcPr>
            <w:tcW w:w="824" w:type="pct"/>
            <w:tcBorders>
              <w:top w:val="nil"/>
              <w:left w:val="nil"/>
              <w:bottom w:val="nil"/>
              <w:right w:val="nil"/>
            </w:tcBorders>
            <w:shd w:val="clear" w:color="auto" w:fill="auto"/>
            <w:noWrap/>
            <w:vAlign w:val="bottom"/>
            <w:hideMark/>
          </w:tcPr>
          <w:p w14:paraId="5493B88E" w14:textId="77777777" w:rsidR="001F024F" w:rsidRPr="0092006B" w:rsidRDefault="001F024F" w:rsidP="009F4DDB">
            <w:pPr>
              <w:spacing w:line="240" w:lineRule="auto"/>
            </w:pPr>
            <w:r w:rsidRPr="0092006B">
              <w:t>0.067344</w:t>
            </w:r>
          </w:p>
        </w:tc>
        <w:tc>
          <w:tcPr>
            <w:tcW w:w="824" w:type="pct"/>
            <w:tcBorders>
              <w:top w:val="nil"/>
              <w:left w:val="nil"/>
              <w:bottom w:val="nil"/>
              <w:right w:val="nil"/>
            </w:tcBorders>
            <w:shd w:val="clear" w:color="auto" w:fill="auto"/>
            <w:noWrap/>
            <w:vAlign w:val="bottom"/>
            <w:hideMark/>
          </w:tcPr>
          <w:p w14:paraId="421BF814" w14:textId="77777777" w:rsidR="001F024F" w:rsidRPr="0092006B" w:rsidRDefault="001F024F" w:rsidP="009F4DDB">
            <w:pPr>
              <w:spacing w:line="240" w:lineRule="auto"/>
            </w:pPr>
            <w:r w:rsidRPr="0092006B">
              <w:t>0.014054</w:t>
            </w:r>
          </w:p>
        </w:tc>
        <w:tc>
          <w:tcPr>
            <w:tcW w:w="823" w:type="pct"/>
            <w:tcBorders>
              <w:top w:val="nil"/>
              <w:left w:val="nil"/>
              <w:bottom w:val="nil"/>
              <w:right w:val="nil"/>
            </w:tcBorders>
            <w:shd w:val="clear" w:color="auto" w:fill="auto"/>
            <w:noWrap/>
            <w:vAlign w:val="bottom"/>
            <w:hideMark/>
          </w:tcPr>
          <w:p w14:paraId="4608DE99" w14:textId="77777777" w:rsidR="001F024F" w:rsidRPr="0092006B" w:rsidRDefault="001F024F" w:rsidP="009F4DDB">
            <w:pPr>
              <w:spacing w:line="240" w:lineRule="auto"/>
            </w:pPr>
            <w:r w:rsidRPr="0092006B">
              <w:t>0.439679</w:t>
            </w:r>
          </w:p>
        </w:tc>
      </w:tr>
      <w:tr w:rsidR="001F024F" w:rsidRPr="0092006B" w14:paraId="24C79DEA" w14:textId="77777777" w:rsidTr="00575F00">
        <w:trPr>
          <w:trHeight w:val="300"/>
        </w:trPr>
        <w:tc>
          <w:tcPr>
            <w:tcW w:w="953" w:type="pct"/>
            <w:tcBorders>
              <w:top w:val="nil"/>
              <w:left w:val="nil"/>
              <w:bottom w:val="single" w:sz="4" w:space="0" w:color="auto"/>
              <w:right w:val="nil"/>
            </w:tcBorders>
            <w:shd w:val="clear" w:color="auto" w:fill="auto"/>
            <w:noWrap/>
            <w:vAlign w:val="bottom"/>
            <w:hideMark/>
          </w:tcPr>
          <w:p w14:paraId="710F9F14" w14:textId="77777777" w:rsidR="001F024F" w:rsidRPr="0092006B" w:rsidRDefault="001F024F" w:rsidP="009F4DDB">
            <w:pPr>
              <w:spacing w:line="240" w:lineRule="auto"/>
              <w:jc w:val="left"/>
            </w:pPr>
            <w:r w:rsidRPr="0092006B">
              <w:t>Bank size</w:t>
            </w:r>
          </w:p>
        </w:tc>
        <w:tc>
          <w:tcPr>
            <w:tcW w:w="751" w:type="pct"/>
            <w:tcBorders>
              <w:top w:val="nil"/>
              <w:left w:val="nil"/>
              <w:bottom w:val="single" w:sz="4" w:space="0" w:color="auto"/>
              <w:right w:val="nil"/>
            </w:tcBorders>
            <w:shd w:val="clear" w:color="auto" w:fill="auto"/>
            <w:noWrap/>
            <w:vAlign w:val="bottom"/>
            <w:hideMark/>
          </w:tcPr>
          <w:p w14:paraId="7F56A70A" w14:textId="77777777" w:rsidR="001F024F" w:rsidRPr="0092006B" w:rsidRDefault="001F024F" w:rsidP="009F4DDB">
            <w:pPr>
              <w:spacing w:line="240" w:lineRule="auto"/>
            </w:pPr>
            <w:r w:rsidRPr="0092006B">
              <w:t>99</w:t>
            </w:r>
          </w:p>
        </w:tc>
        <w:tc>
          <w:tcPr>
            <w:tcW w:w="824" w:type="pct"/>
            <w:tcBorders>
              <w:top w:val="nil"/>
              <w:left w:val="nil"/>
              <w:bottom w:val="single" w:sz="4" w:space="0" w:color="auto"/>
              <w:right w:val="nil"/>
            </w:tcBorders>
            <w:shd w:val="clear" w:color="auto" w:fill="auto"/>
            <w:noWrap/>
            <w:vAlign w:val="bottom"/>
            <w:hideMark/>
          </w:tcPr>
          <w:p w14:paraId="3A5336AD" w14:textId="77777777" w:rsidR="001F024F" w:rsidRPr="0092006B" w:rsidRDefault="001F024F" w:rsidP="009F4DDB">
            <w:pPr>
              <w:spacing w:line="240" w:lineRule="auto"/>
            </w:pPr>
            <w:r w:rsidRPr="0092006B">
              <w:t>286319.9</w:t>
            </w:r>
          </w:p>
        </w:tc>
        <w:tc>
          <w:tcPr>
            <w:tcW w:w="824" w:type="pct"/>
            <w:tcBorders>
              <w:top w:val="nil"/>
              <w:left w:val="nil"/>
              <w:bottom w:val="single" w:sz="4" w:space="0" w:color="auto"/>
              <w:right w:val="nil"/>
            </w:tcBorders>
            <w:shd w:val="clear" w:color="auto" w:fill="auto"/>
            <w:noWrap/>
            <w:vAlign w:val="bottom"/>
            <w:hideMark/>
          </w:tcPr>
          <w:p w14:paraId="2565510F" w14:textId="77777777" w:rsidR="001F024F" w:rsidRPr="0092006B" w:rsidRDefault="001F024F" w:rsidP="009F4DDB">
            <w:pPr>
              <w:spacing w:line="240" w:lineRule="auto"/>
            </w:pPr>
            <w:r w:rsidRPr="0092006B">
              <w:t>172240.8</w:t>
            </w:r>
          </w:p>
        </w:tc>
        <w:tc>
          <w:tcPr>
            <w:tcW w:w="824" w:type="pct"/>
            <w:tcBorders>
              <w:top w:val="nil"/>
              <w:left w:val="nil"/>
              <w:bottom w:val="single" w:sz="4" w:space="0" w:color="auto"/>
              <w:right w:val="nil"/>
            </w:tcBorders>
            <w:shd w:val="clear" w:color="auto" w:fill="auto"/>
            <w:noWrap/>
            <w:vAlign w:val="bottom"/>
            <w:hideMark/>
          </w:tcPr>
          <w:p w14:paraId="3AE3677E" w14:textId="77777777" w:rsidR="001F024F" w:rsidRPr="0092006B" w:rsidRDefault="001F024F" w:rsidP="009F4DDB">
            <w:pPr>
              <w:spacing w:line="240" w:lineRule="auto"/>
            </w:pPr>
            <w:r w:rsidRPr="0092006B">
              <w:t>46755</w:t>
            </w:r>
          </w:p>
        </w:tc>
        <w:tc>
          <w:tcPr>
            <w:tcW w:w="823" w:type="pct"/>
            <w:tcBorders>
              <w:top w:val="nil"/>
              <w:left w:val="nil"/>
              <w:bottom w:val="single" w:sz="4" w:space="0" w:color="auto"/>
              <w:right w:val="nil"/>
            </w:tcBorders>
            <w:shd w:val="clear" w:color="auto" w:fill="auto"/>
            <w:noWrap/>
            <w:vAlign w:val="bottom"/>
            <w:hideMark/>
          </w:tcPr>
          <w:p w14:paraId="41062BB5" w14:textId="77777777" w:rsidR="001F024F" w:rsidRPr="0092006B" w:rsidRDefault="001F024F" w:rsidP="009F4DDB">
            <w:pPr>
              <w:spacing w:line="240" w:lineRule="auto"/>
            </w:pPr>
            <w:r w:rsidRPr="0092006B">
              <w:t>877415</w:t>
            </w:r>
          </w:p>
        </w:tc>
      </w:tr>
    </w:tbl>
    <w:p w14:paraId="4DFD12E2" w14:textId="77777777" w:rsidR="00575F00" w:rsidRPr="0092006B" w:rsidRDefault="00575F00" w:rsidP="00575F00">
      <w:pPr>
        <w:rPr>
          <w:b/>
          <w:bCs/>
        </w:rPr>
      </w:pPr>
      <w:r w:rsidRPr="0092006B">
        <w:rPr>
          <w:b/>
          <w:bCs/>
        </w:rPr>
        <w:t>Source: Research Data (2023)</w:t>
      </w:r>
    </w:p>
    <w:p w14:paraId="1C36B456" w14:textId="7CF8A188" w:rsidR="000577EB" w:rsidRPr="0092006B" w:rsidRDefault="004071F4" w:rsidP="000577EB">
      <w:pPr>
        <w:spacing w:line="240" w:lineRule="auto"/>
        <w:rPr>
          <w:rFonts w:cs="Times New Roman"/>
          <w:b/>
          <w:bCs/>
          <w:color w:val="000000" w:themeColor="text1"/>
          <w:sz w:val="28"/>
          <w:szCs w:val="28"/>
        </w:rPr>
      </w:pPr>
      <w:r w:rsidRPr="0092006B">
        <w:rPr>
          <w:b/>
          <w:bCs/>
          <w:sz w:val="28"/>
          <w:szCs w:val="24"/>
        </w:rPr>
        <w:t xml:space="preserve">4.2 </w:t>
      </w:r>
      <w:r w:rsidR="000577EB" w:rsidRPr="0092006B">
        <w:rPr>
          <w:b/>
          <w:bCs/>
          <w:sz w:val="28"/>
          <w:szCs w:val="24"/>
        </w:rPr>
        <w:t>Diagnostic Testing</w:t>
      </w:r>
    </w:p>
    <w:p w14:paraId="1D6720AD" w14:textId="6827CF58" w:rsidR="000577EB" w:rsidRPr="0092006B" w:rsidRDefault="000577EB" w:rsidP="000577EB">
      <w:pPr>
        <w:spacing w:line="240" w:lineRule="auto"/>
        <w:rPr>
          <w:rFonts w:cs="Times New Roman"/>
          <w:color w:val="000000" w:themeColor="text1"/>
          <w:szCs w:val="24"/>
        </w:rPr>
      </w:pPr>
      <w:r w:rsidRPr="0092006B">
        <w:rPr>
          <w:rFonts w:cs="Times New Roman"/>
          <w:color w:val="000000" w:themeColor="text1"/>
          <w:szCs w:val="24"/>
        </w:rPr>
        <w:t xml:space="preserve">In this section, the diagnostic testing results are presented to validate the accuracy of the statistical findings, including tests for stationarity, Hausman, multicollinearity, normality, heteroscedasticity, and autocorrelation. The multicollinearity test results, shown in </w:t>
      </w:r>
      <w:r w:rsidRPr="00807B00">
        <w:rPr>
          <w:rFonts w:cs="Times New Roman"/>
          <w:color w:val="000000" w:themeColor="text1"/>
          <w:szCs w:val="24"/>
        </w:rPr>
        <w:t>Table</w:t>
      </w:r>
      <w:r w:rsidRPr="0092006B">
        <w:rPr>
          <w:rFonts w:cs="Times New Roman"/>
          <w:color w:val="000000" w:themeColor="text1"/>
          <w:szCs w:val="24"/>
        </w:rPr>
        <w:t xml:space="preserve"> 2, revealed that the maximum Variance Inflation Factor (VIF) was 1.16, the minimum was 1.02, and the mean was 1.09. Since none of the VIF values exceeded 10, it was concluded that there was no multicollinearity among the study's variables. The normality test, displayed in </w:t>
      </w:r>
      <w:r w:rsidRPr="00807B00">
        <w:rPr>
          <w:rFonts w:cs="Times New Roman"/>
          <w:color w:val="000000" w:themeColor="text1"/>
          <w:szCs w:val="24"/>
        </w:rPr>
        <w:t>Table</w:t>
      </w:r>
      <w:r w:rsidRPr="0092006B">
        <w:rPr>
          <w:rFonts w:cs="Times New Roman"/>
          <w:color w:val="000000" w:themeColor="text1"/>
          <w:szCs w:val="24"/>
        </w:rPr>
        <w:t xml:space="preserve"> 3, indicated that the p-values for each variable were greater than 0.05, suggesting that the variables were normally distributed. </w:t>
      </w:r>
    </w:p>
    <w:p w14:paraId="500B98B3" w14:textId="6FBD83D5" w:rsidR="000577EB" w:rsidRPr="0092006B" w:rsidRDefault="000577EB" w:rsidP="000577EB">
      <w:pPr>
        <w:spacing w:line="240" w:lineRule="auto"/>
        <w:rPr>
          <w:rFonts w:cs="Times New Roman"/>
          <w:color w:val="000000" w:themeColor="text1"/>
          <w:szCs w:val="24"/>
        </w:rPr>
      </w:pPr>
      <w:r w:rsidRPr="0092006B">
        <w:rPr>
          <w:rFonts w:cs="Times New Roman"/>
          <w:color w:val="000000" w:themeColor="text1"/>
          <w:szCs w:val="24"/>
        </w:rPr>
        <w:t xml:space="preserve">Heteroscedasticity was tested using </w:t>
      </w:r>
      <w:r w:rsidRPr="00807B00">
        <w:rPr>
          <w:rFonts w:cs="Times New Roman"/>
          <w:color w:val="000000" w:themeColor="text1"/>
          <w:szCs w:val="24"/>
        </w:rPr>
        <w:t>Table</w:t>
      </w:r>
      <w:r w:rsidRPr="0092006B">
        <w:rPr>
          <w:rFonts w:cs="Times New Roman"/>
          <w:color w:val="000000" w:themeColor="text1"/>
          <w:szCs w:val="24"/>
        </w:rPr>
        <w:t xml:space="preserve"> </w:t>
      </w:r>
      <w:r w:rsidR="0068692A" w:rsidRPr="0092006B">
        <w:rPr>
          <w:rFonts w:cs="Times New Roman"/>
          <w:color w:val="000000" w:themeColor="text1"/>
          <w:szCs w:val="24"/>
        </w:rPr>
        <w:t>3</w:t>
      </w:r>
      <w:r w:rsidRPr="0092006B">
        <w:rPr>
          <w:rFonts w:cs="Times New Roman"/>
          <w:color w:val="000000" w:themeColor="text1"/>
          <w:szCs w:val="24"/>
        </w:rPr>
        <w:t xml:space="preserve">, where a p-value of 0.091, greater than 0.05, indicated that the error terms were heteroskedastic. Therefore, the null hypothesis was accepted, confirming that the variance of the error terms was constant, implying homoscedasticity. Autocorrelation testing, shown in </w:t>
      </w:r>
      <w:r w:rsidRPr="00807B00">
        <w:rPr>
          <w:rFonts w:cs="Times New Roman"/>
          <w:color w:val="000000" w:themeColor="text1"/>
          <w:szCs w:val="24"/>
        </w:rPr>
        <w:t>Table</w:t>
      </w:r>
      <w:r w:rsidRPr="0092006B">
        <w:rPr>
          <w:rFonts w:cs="Times New Roman"/>
          <w:color w:val="000000" w:themeColor="text1"/>
          <w:szCs w:val="24"/>
        </w:rPr>
        <w:t xml:space="preserve"> </w:t>
      </w:r>
      <w:r w:rsidR="0068692A" w:rsidRPr="0092006B">
        <w:rPr>
          <w:rFonts w:cs="Times New Roman"/>
          <w:color w:val="000000" w:themeColor="text1"/>
          <w:szCs w:val="24"/>
        </w:rPr>
        <w:t>2</w:t>
      </w:r>
      <w:r w:rsidRPr="0092006B">
        <w:rPr>
          <w:rFonts w:cs="Times New Roman"/>
          <w:color w:val="000000" w:themeColor="text1"/>
          <w:szCs w:val="24"/>
        </w:rPr>
        <w:t>, revealed a Durbin-Watson statistic of 1.52274, which fell within the accep</w:t>
      </w:r>
      <w:r w:rsidRPr="00807B00">
        <w:rPr>
          <w:rFonts w:cs="Times New Roman"/>
          <w:color w:val="000000" w:themeColor="text1"/>
          <w:szCs w:val="24"/>
        </w:rPr>
        <w:t>table</w:t>
      </w:r>
      <w:r w:rsidRPr="0092006B">
        <w:rPr>
          <w:rFonts w:cs="Times New Roman"/>
          <w:color w:val="000000" w:themeColor="text1"/>
          <w:szCs w:val="24"/>
        </w:rPr>
        <w:t xml:space="preserve"> range of 1.5 to 2.5. This confirmed that the assumption of independence among the study's predictor variables was satisfied.</w:t>
      </w:r>
    </w:p>
    <w:p w14:paraId="2B74F5B4" w14:textId="034A5463" w:rsidR="000577EB" w:rsidRPr="0092006B" w:rsidRDefault="000577EB" w:rsidP="000577EB">
      <w:pPr>
        <w:spacing w:line="240" w:lineRule="auto"/>
        <w:rPr>
          <w:rFonts w:cs="Times New Roman"/>
          <w:color w:val="000000" w:themeColor="text1"/>
          <w:szCs w:val="24"/>
        </w:rPr>
      </w:pPr>
      <w:r w:rsidRPr="0092006B">
        <w:rPr>
          <w:rFonts w:cs="Times New Roman"/>
          <w:color w:val="000000" w:themeColor="text1"/>
          <w:szCs w:val="24"/>
        </w:rPr>
        <w:t xml:space="preserve">Stationarity was examined using the Levin-Lin Chu unit-root test, as presented in </w:t>
      </w:r>
      <w:r w:rsidRPr="00807B00">
        <w:rPr>
          <w:rFonts w:cs="Times New Roman"/>
          <w:color w:val="000000" w:themeColor="text1"/>
          <w:szCs w:val="24"/>
        </w:rPr>
        <w:t>Table</w:t>
      </w:r>
      <w:r w:rsidRPr="0092006B">
        <w:rPr>
          <w:rFonts w:cs="Times New Roman"/>
          <w:color w:val="000000" w:themeColor="text1"/>
          <w:szCs w:val="24"/>
        </w:rPr>
        <w:t xml:space="preserve"> </w:t>
      </w:r>
      <w:r w:rsidR="0068692A" w:rsidRPr="0092006B">
        <w:rPr>
          <w:rFonts w:cs="Times New Roman"/>
          <w:color w:val="000000" w:themeColor="text1"/>
          <w:szCs w:val="24"/>
        </w:rPr>
        <w:t>3</w:t>
      </w:r>
      <w:r w:rsidRPr="0092006B">
        <w:rPr>
          <w:rFonts w:cs="Times New Roman"/>
          <w:color w:val="000000" w:themeColor="text1"/>
          <w:szCs w:val="24"/>
        </w:rPr>
        <w:t xml:space="preserve">. Variables such as bank size, capital adequacy restrictions, and profitability (ROA and ROE) had p-values less than 0.05 at the level, indicating that these variables were stationary. However, credit and liquidity risk variables showed p-values greater than 0.05 at the level, suggesting the presence of a unit root. After first differencing, these variables became stationary. </w:t>
      </w:r>
    </w:p>
    <w:p w14:paraId="4F7998D7" w14:textId="22107899" w:rsidR="00A6679B" w:rsidRPr="0092006B" w:rsidRDefault="000577EB" w:rsidP="000577EB">
      <w:pPr>
        <w:spacing w:line="240" w:lineRule="auto"/>
        <w:rPr>
          <w:rFonts w:cs="Times New Roman"/>
          <w:color w:val="000000" w:themeColor="text1"/>
          <w:szCs w:val="24"/>
        </w:rPr>
      </w:pPr>
      <w:r w:rsidRPr="0092006B">
        <w:rPr>
          <w:rFonts w:cs="Times New Roman"/>
          <w:color w:val="000000" w:themeColor="text1"/>
          <w:szCs w:val="24"/>
        </w:rPr>
        <w:t xml:space="preserve">The Hausman test, used to determine whether to choose a fixed effects or random effects model, is presented in </w:t>
      </w:r>
      <w:r w:rsidRPr="00807B00">
        <w:rPr>
          <w:rFonts w:cs="Times New Roman"/>
          <w:color w:val="000000" w:themeColor="text1"/>
          <w:szCs w:val="24"/>
        </w:rPr>
        <w:t>Table</w:t>
      </w:r>
      <w:r w:rsidRPr="0092006B">
        <w:rPr>
          <w:rFonts w:cs="Times New Roman"/>
          <w:color w:val="000000" w:themeColor="text1"/>
          <w:szCs w:val="24"/>
        </w:rPr>
        <w:t xml:space="preserve">s </w:t>
      </w:r>
      <w:r w:rsidR="0068692A" w:rsidRPr="0092006B">
        <w:rPr>
          <w:rFonts w:cs="Times New Roman"/>
          <w:color w:val="000000" w:themeColor="text1"/>
          <w:szCs w:val="24"/>
        </w:rPr>
        <w:t xml:space="preserve">3 </w:t>
      </w:r>
      <w:r w:rsidRPr="0092006B">
        <w:rPr>
          <w:rFonts w:cs="Times New Roman"/>
          <w:color w:val="000000" w:themeColor="text1"/>
          <w:szCs w:val="24"/>
        </w:rPr>
        <w:t xml:space="preserve">and </w:t>
      </w:r>
      <w:r w:rsidR="0068692A" w:rsidRPr="0092006B">
        <w:rPr>
          <w:rFonts w:cs="Times New Roman"/>
          <w:color w:val="000000" w:themeColor="text1"/>
          <w:szCs w:val="24"/>
        </w:rPr>
        <w:t>4</w:t>
      </w:r>
      <w:r w:rsidRPr="0092006B">
        <w:rPr>
          <w:rFonts w:cs="Times New Roman"/>
          <w:color w:val="000000" w:themeColor="text1"/>
          <w:szCs w:val="24"/>
        </w:rPr>
        <w:t>. The results of the Hausman test for the ROA and ROE models indicated p-values of 0.072 and 0.0573, respectively, both greater than 0.05, meaning the chi-square values were statistically insignificant at the 5% significance level. Therefore, the null hypothesis was not rejected, and the random effects model was deemed more appropriate for both models over the fixed effects model.</w:t>
      </w:r>
    </w:p>
    <w:p w14:paraId="5E806986" w14:textId="1EADE51E" w:rsidR="00055D83" w:rsidRPr="0092006B" w:rsidRDefault="00055D83" w:rsidP="00055D83">
      <w:pPr>
        <w:spacing w:line="240" w:lineRule="auto"/>
        <w:rPr>
          <w:rFonts w:cs="Times New Roman"/>
          <w:b/>
          <w:bCs/>
          <w:color w:val="000000" w:themeColor="text1"/>
          <w:sz w:val="28"/>
          <w:szCs w:val="28"/>
        </w:rPr>
      </w:pPr>
      <w:r w:rsidRPr="0092006B">
        <w:rPr>
          <w:rFonts w:cs="Times New Roman"/>
          <w:b/>
          <w:bCs/>
          <w:color w:val="000000" w:themeColor="text1"/>
          <w:sz w:val="28"/>
          <w:szCs w:val="28"/>
        </w:rPr>
        <w:t>4.</w:t>
      </w:r>
      <w:bookmarkStart w:id="3" w:name="_Toc113710918"/>
      <w:bookmarkStart w:id="4" w:name="_Toc116551437"/>
      <w:bookmarkStart w:id="5" w:name="_Toc117242098"/>
      <w:bookmarkStart w:id="6" w:name="_Toc125622169"/>
      <w:bookmarkStart w:id="7" w:name="_Toc163046230"/>
      <w:r w:rsidR="00260B2D" w:rsidRPr="0092006B">
        <w:rPr>
          <w:rFonts w:cs="Times New Roman"/>
          <w:b/>
          <w:bCs/>
          <w:color w:val="000000" w:themeColor="text1"/>
          <w:sz w:val="28"/>
          <w:szCs w:val="28"/>
        </w:rPr>
        <w:t>3</w:t>
      </w:r>
      <w:r w:rsidRPr="0092006B">
        <w:rPr>
          <w:rFonts w:cs="Times New Roman"/>
          <w:b/>
          <w:bCs/>
          <w:color w:val="000000" w:themeColor="text1"/>
          <w:sz w:val="28"/>
          <w:szCs w:val="28"/>
        </w:rPr>
        <w:t xml:space="preserve"> Regression </w:t>
      </w:r>
      <w:bookmarkEnd w:id="3"/>
      <w:bookmarkEnd w:id="4"/>
      <w:bookmarkEnd w:id="5"/>
      <w:bookmarkEnd w:id="6"/>
      <w:bookmarkEnd w:id="7"/>
      <w:r w:rsidRPr="0092006B">
        <w:rPr>
          <w:rFonts w:cs="Times New Roman"/>
          <w:b/>
          <w:bCs/>
          <w:color w:val="000000" w:themeColor="text1"/>
          <w:sz w:val="28"/>
          <w:szCs w:val="28"/>
        </w:rPr>
        <w:t>Analysis</w:t>
      </w:r>
    </w:p>
    <w:p w14:paraId="40F8A12F" w14:textId="77777777" w:rsidR="0022500A" w:rsidRPr="0092006B" w:rsidRDefault="0022500A" w:rsidP="0022500A">
      <w:pPr>
        <w:spacing w:before="0" w:after="160" w:line="259" w:lineRule="auto"/>
        <w:rPr>
          <w:rFonts w:cs="Times New Roman"/>
          <w:color w:val="000000" w:themeColor="text1"/>
          <w:szCs w:val="24"/>
        </w:rPr>
      </w:pPr>
      <w:r w:rsidRPr="0092006B">
        <w:rPr>
          <w:rFonts w:cs="Times New Roman"/>
          <w:color w:val="000000" w:themeColor="text1"/>
          <w:szCs w:val="24"/>
        </w:rPr>
        <w:t xml:space="preserve">This section presents the findings from a panel regression analysis used to test the study's hypotheses, with random effects models being adopted based on the Hausman test results. The study sought to determine the relationship between prudential regulations and profitability, measured by Return on Assets (ROA). The regression equation revealed that prudential regulations explained 17.9% of the variation in profitability. Specifically, capital adequacy regulations showed a negative but statistically insignificant correlation with ROA (β = -0.02244, p = 0.486), implying that changes in capital adequacy requirements did not affect profitability, which aligned with the findings of Umoru and Osemwegie (2016). As a result, the hypothesis (H01) that capital adequacy regulations do not significantly influence profitability was not rejected. </w:t>
      </w:r>
    </w:p>
    <w:p w14:paraId="0098F26A" w14:textId="26D644B0" w:rsidR="0022500A" w:rsidRPr="0092006B" w:rsidRDefault="0022500A" w:rsidP="0060683F">
      <w:pPr>
        <w:spacing w:before="0" w:after="160" w:line="259" w:lineRule="auto"/>
        <w:rPr>
          <w:rFonts w:cs="Times New Roman"/>
          <w:color w:val="000000" w:themeColor="text1"/>
          <w:szCs w:val="24"/>
        </w:rPr>
      </w:pPr>
      <w:r w:rsidRPr="0092006B">
        <w:rPr>
          <w:rFonts w:cs="Times New Roman"/>
          <w:color w:val="000000" w:themeColor="text1"/>
          <w:szCs w:val="24"/>
        </w:rPr>
        <w:t xml:space="preserve">On the other hand, liquidity constraints had a significant negative effect on ROA (β = -0.01732, p = 0.013), suggesting that a reduction in liquidity regulations would increase profitability, supporting the findings of Pradhan et al. (2016). Therefore, hypothesis (H02) that liquidity regulations do not significantly influence profitability was rejected. Furthermore, credit risk limitations exhibited a substantial negative impact on ROA (β = -6.58345, p = 0.003), indicating a strong negative correlation between credit risk regulations and profitability. This finding, </w:t>
      </w:r>
      <w:r w:rsidRPr="0092006B">
        <w:rPr>
          <w:rFonts w:cs="Times New Roman"/>
          <w:color w:val="000000" w:themeColor="text1"/>
          <w:szCs w:val="24"/>
        </w:rPr>
        <w:lastRenderedPageBreak/>
        <w:t>consistent with Barus et al. (2017), led to the rejection of hypothesis (H03) that credit risk regulations do not significantly influence profitability</w:t>
      </w:r>
      <w:r w:rsidR="004E4A2C" w:rsidRPr="0092006B">
        <w:rPr>
          <w:rFonts w:cs="Times New Roman"/>
          <w:color w:val="000000" w:themeColor="text1"/>
          <w:szCs w:val="24"/>
        </w:rPr>
        <w:t>.</w:t>
      </w:r>
    </w:p>
    <w:p w14:paraId="53F7626A" w14:textId="6D1A86CD" w:rsidR="0022500A" w:rsidRPr="0092006B" w:rsidRDefault="0022500A" w:rsidP="004071F4">
      <w:pPr>
        <w:rPr>
          <w:b/>
          <w:bCs/>
        </w:rPr>
      </w:pPr>
      <w:bookmarkStart w:id="8" w:name="_Toc125617216"/>
      <w:bookmarkStart w:id="9" w:name="_Toc149393273"/>
      <w:r w:rsidRPr="00807B00">
        <w:rPr>
          <w:b/>
          <w:bCs/>
        </w:rPr>
        <w:t>Table</w:t>
      </w:r>
      <w:r w:rsidRPr="0092006B">
        <w:rPr>
          <w:b/>
          <w:bCs/>
        </w:rPr>
        <w:t xml:space="preserve"> </w:t>
      </w:r>
      <w:r w:rsidR="007D261A">
        <w:rPr>
          <w:b/>
          <w:bCs/>
        </w:rPr>
        <w:t>2</w:t>
      </w:r>
      <w:r w:rsidRPr="0092006B">
        <w:rPr>
          <w:b/>
          <w:bCs/>
        </w:rPr>
        <w:t xml:space="preserve">: </w:t>
      </w:r>
      <w:bookmarkEnd w:id="8"/>
      <w:r w:rsidRPr="0092006B">
        <w:rPr>
          <w:b/>
          <w:bCs/>
        </w:rPr>
        <w:t>Prudential regulations and Profitability (ROA)</w:t>
      </w:r>
      <w:bookmarkEnd w:id="9"/>
    </w:p>
    <w:tbl>
      <w:tblPr>
        <w:tblW w:w="8538" w:type="dxa"/>
        <w:tblInd w:w="108" w:type="dxa"/>
        <w:tblLook w:val="04A0" w:firstRow="1" w:lastRow="0" w:firstColumn="1" w:lastColumn="0" w:noHBand="0" w:noVBand="1"/>
      </w:tblPr>
      <w:tblGrid>
        <w:gridCol w:w="2430"/>
        <w:gridCol w:w="1116"/>
        <w:gridCol w:w="1119"/>
        <w:gridCol w:w="785"/>
        <w:gridCol w:w="960"/>
        <w:gridCol w:w="1150"/>
        <w:gridCol w:w="1123"/>
      </w:tblGrid>
      <w:tr w:rsidR="0022500A" w:rsidRPr="0092006B" w14:paraId="6EB31D02" w14:textId="77777777" w:rsidTr="009F4DDB">
        <w:trPr>
          <w:trHeight w:val="315"/>
        </w:trPr>
        <w:tc>
          <w:tcPr>
            <w:tcW w:w="5375" w:type="dxa"/>
            <w:gridSpan w:val="4"/>
            <w:tcBorders>
              <w:top w:val="single" w:sz="4" w:space="0" w:color="auto"/>
              <w:left w:val="nil"/>
              <w:bottom w:val="nil"/>
              <w:right w:val="nil"/>
            </w:tcBorders>
            <w:shd w:val="clear" w:color="auto" w:fill="auto"/>
            <w:noWrap/>
            <w:vAlign w:val="center"/>
            <w:hideMark/>
          </w:tcPr>
          <w:p w14:paraId="548758A2" w14:textId="77777777" w:rsidR="0022500A" w:rsidRPr="0092006B" w:rsidRDefault="0022500A" w:rsidP="009F4DDB">
            <w:pPr>
              <w:spacing w:line="240" w:lineRule="auto"/>
              <w:jc w:val="left"/>
              <w:rPr>
                <w:b/>
              </w:rPr>
            </w:pPr>
            <w:r w:rsidRPr="0092006B">
              <w:rPr>
                <w:rFonts w:eastAsia="CIDFont+F1"/>
                <w:b/>
              </w:rPr>
              <w:t>Regression results for Random-effects</w:t>
            </w:r>
          </w:p>
        </w:tc>
        <w:tc>
          <w:tcPr>
            <w:tcW w:w="960" w:type="dxa"/>
            <w:tcBorders>
              <w:top w:val="single" w:sz="4" w:space="0" w:color="auto"/>
              <w:left w:val="nil"/>
              <w:bottom w:val="nil"/>
              <w:right w:val="nil"/>
            </w:tcBorders>
            <w:shd w:val="clear" w:color="auto" w:fill="auto"/>
            <w:noWrap/>
            <w:vAlign w:val="bottom"/>
            <w:hideMark/>
          </w:tcPr>
          <w:p w14:paraId="67601205" w14:textId="77777777" w:rsidR="0022500A" w:rsidRPr="0092006B" w:rsidRDefault="0022500A" w:rsidP="009F4DDB">
            <w:pPr>
              <w:spacing w:line="240" w:lineRule="auto"/>
              <w:jc w:val="left"/>
            </w:pPr>
            <w:r w:rsidRPr="0092006B">
              <w:t> </w:t>
            </w:r>
          </w:p>
        </w:tc>
        <w:tc>
          <w:tcPr>
            <w:tcW w:w="1150" w:type="dxa"/>
            <w:tcBorders>
              <w:top w:val="single" w:sz="4" w:space="0" w:color="auto"/>
              <w:left w:val="nil"/>
              <w:bottom w:val="nil"/>
              <w:right w:val="nil"/>
            </w:tcBorders>
            <w:shd w:val="clear" w:color="auto" w:fill="auto"/>
            <w:noWrap/>
            <w:vAlign w:val="bottom"/>
            <w:hideMark/>
          </w:tcPr>
          <w:p w14:paraId="6BA03B7B" w14:textId="77777777" w:rsidR="0022500A" w:rsidRPr="0092006B" w:rsidRDefault="0022500A" w:rsidP="009F4DDB">
            <w:pPr>
              <w:spacing w:line="240" w:lineRule="auto"/>
              <w:jc w:val="left"/>
            </w:pPr>
            <w:r w:rsidRPr="0092006B">
              <w:t> </w:t>
            </w:r>
          </w:p>
        </w:tc>
        <w:tc>
          <w:tcPr>
            <w:tcW w:w="1053" w:type="dxa"/>
            <w:tcBorders>
              <w:top w:val="single" w:sz="4" w:space="0" w:color="auto"/>
              <w:left w:val="nil"/>
              <w:bottom w:val="nil"/>
              <w:right w:val="nil"/>
            </w:tcBorders>
            <w:shd w:val="clear" w:color="auto" w:fill="auto"/>
            <w:noWrap/>
            <w:vAlign w:val="bottom"/>
            <w:hideMark/>
          </w:tcPr>
          <w:p w14:paraId="7D16CC93" w14:textId="77777777" w:rsidR="0022500A" w:rsidRPr="0092006B" w:rsidRDefault="0022500A" w:rsidP="009F4DDB">
            <w:pPr>
              <w:spacing w:line="240" w:lineRule="auto"/>
              <w:jc w:val="left"/>
            </w:pPr>
            <w:r w:rsidRPr="0092006B">
              <w:t> </w:t>
            </w:r>
          </w:p>
        </w:tc>
      </w:tr>
      <w:tr w:rsidR="0022500A" w:rsidRPr="0092006B" w14:paraId="3ED75FC6" w14:textId="77777777" w:rsidTr="009F4DDB">
        <w:trPr>
          <w:trHeight w:val="315"/>
        </w:trPr>
        <w:tc>
          <w:tcPr>
            <w:tcW w:w="2430" w:type="dxa"/>
            <w:tcBorders>
              <w:top w:val="nil"/>
              <w:left w:val="nil"/>
              <w:bottom w:val="nil"/>
              <w:right w:val="nil"/>
            </w:tcBorders>
            <w:shd w:val="clear" w:color="auto" w:fill="auto"/>
            <w:noWrap/>
            <w:vAlign w:val="center"/>
            <w:hideMark/>
          </w:tcPr>
          <w:p w14:paraId="686CCE6F" w14:textId="77777777" w:rsidR="0022500A" w:rsidRPr="0092006B" w:rsidRDefault="0022500A" w:rsidP="009F4DDB">
            <w:pPr>
              <w:spacing w:line="240" w:lineRule="auto"/>
              <w:jc w:val="left"/>
            </w:pPr>
            <w:r w:rsidRPr="0092006B">
              <w:rPr>
                <w:rFonts w:eastAsia="CIDFont+F1"/>
              </w:rPr>
              <w:t xml:space="preserve">Number of obs     </w:t>
            </w:r>
          </w:p>
        </w:tc>
        <w:tc>
          <w:tcPr>
            <w:tcW w:w="1041" w:type="dxa"/>
            <w:tcBorders>
              <w:top w:val="nil"/>
              <w:left w:val="nil"/>
              <w:bottom w:val="nil"/>
              <w:right w:val="nil"/>
            </w:tcBorders>
            <w:shd w:val="clear" w:color="auto" w:fill="auto"/>
            <w:noWrap/>
            <w:vAlign w:val="bottom"/>
            <w:hideMark/>
          </w:tcPr>
          <w:p w14:paraId="31386A24" w14:textId="77777777" w:rsidR="0022500A" w:rsidRPr="0092006B" w:rsidRDefault="0022500A" w:rsidP="009F4DDB">
            <w:pPr>
              <w:spacing w:line="240" w:lineRule="auto"/>
              <w:jc w:val="right"/>
            </w:pPr>
            <w:r w:rsidRPr="0092006B">
              <w:t>99</w:t>
            </w:r>
          </w:p>
        </w:tc>
        <w:tc>
          <w:tcPr>
            <w:tcW w:w="1119" w:type="dxa"/>
            <w:tcBorders>
              <w:top w:val="nil"/>
              <w:left w:val="nil"/>
              <w:bottom w:val="nil"/>
              <w:right w:val="nil"/>
            </w:tcBorders>
            <w:shd w:val="clear" w:color="auto" w:fill="auto"/>
            <w:noWrap/>
            <w:vAlign w:val="bottom"/>
            <w:hideMark/>
          </w:tcPr>
          <w:p w14:paraId="5C4CBD8B" w14:textId="77777777" w:rsidR="0022500A" w:rsidRPr="0092006B" w:rsidRDefault="0022500A" w:rsidP="009F4DDB">
            <w:pPr>
              <w:spacing w:line="240" w:lineRule="auto"/>
              <w:jc w:val="right"/>
            </w:pPr>
          </w:p>
        </w:tc>
        <w:tc>
          <w:tcPr>
            <w:tcW w:w="785" w:type="dxa"/>
            <w:tcBorders>
              <w:top w:val="nil"/>
              <w:left w:val="nil"/>
              <w:bottom w:val="nil"/>
              <w:right w:val="nil"/>
            </w:tcBorders>
            <w:shd w:val="clear" w:color="auto" w:fill="auto"/>
            <w:noWrap/>
            <w:vAlign w:val="bottom"/>
            <w:hideMark/>
          </w:tcPr>
          <w:p w14:paraId="07106EDE" w14:textId="77777777" w:rsidR="0022500A" w:rsidRPr="0092006B" w:rsidRDefault="0022500A" w:rsidP="009F4DDB">
            <w:pPr>
              <w:spacing w:line="240" w:lineRule="auto"/>
              <w:jc w:val="left"/>
            </w:pPr>
          </w:p>
        </w:tc>
        <w:tc>
          <w:tcPr>
            <w:tcW w:w="960" w:type="dxa"/>
            <w:tcBorders>
              <w:top w:val="nil"/>
              <w:left w:val="nil"/>
              <w:bottom w:val="nil"/>
              <w:right w:val="nil"/>
            </w:tcBorders>
            <w:shd w:val="clear" w:color="auto" w:fill="auto"/>
            <w:noWrap/>
            <w:vAlign w:val="bottom"/>
            <w:hideMark/>
          </w:tcPr>
          <w:p w14:paraId="1C79E74F" w14:textId="77777777" w:rsidR="0022500A" w:rsidRPr="0092006B" w:rsidRDefault="0022500A" w:rsidP="009F4DDB">
            <w:pPr>
              <w:spacing w:line="240" w:lineRule="auto"/>
              <w:jc w:val="left"/>
            </w:pPr>
          </w:p>
        </w:tc>
        <w:tc>
          <w:tcPr>
            <w:tcW w:w="1150" w:type="dxa"/>
            <w:tcBorders>
              <w:top w:val="nil"/>
              <w:left w:val="nil"/>
              <w:bottom w:val="nil"/>
              <w:right w:val="nil"/>
            </w:tcBorders>
            <w:shd w:val="clear" w:color="auto" w:fill="auto"/>
            <w:noWrap/>
            <w:vAlign w:val="bottom"/>
            <w:hideMark/>
          </w:tcPr>
          <w:p w14:paraId="0BAB7F12" w14:textId="77777777" w:rsidR="0022500A" w:rsidRPr="0092006B" w:rsidRDefault="0022500A" w:rsidP="009F4DDB">
            <w:pPr>
              <w:spacing w:line="240" w:lineRule="auto"/>
              <w:jc w:val="left"/>
            </w:pPr>
          </w:p>
        </w:tc>
        <w:tc>
          <w:tcPr>
            <w:tcW w:w="1053" w:type="dxa"/>
            <w:tcBorders>
              <w:top w:val="nil"/>
              <w:left w:val="nil"/>
              <w:bottom w:val="nil"/>
              <w:right w:val="nil"/>
            </w:tcBorders>
            <w:shd w:val="clear" w:color="auto" w:fill="auto"/>
            <w:noWrap/>
            <w:vAlign w:val="bottom"/>
            <w:hideMark/>
          </w:tcPr>
          <w:p w14:paraId="4D367FF3" w14:textId="77777777" w:rsidR="0022500A" w:rsidRPr="0092006B" w:rsidRDefault="0022500A" w:rsidP="009F4DDB">
            <w:pPr>
              <w:spacing w:line="240" w:lineRule="auto"/>
              <w:jc w:val="left"/>
            </w:pPr>
          </w:p>
        </w:tc>
      </w:tr>
      <w:tr w:rsidR="0022500A" w:rsidRPr="0092006B" w14:paraId="4EE6245A" w14:textId="77777777" w:rsidTr="009F4DDB">
        <w:trPr>
          <w:trHeight w:val="315"/>
        </w:trPr>
        <w:tc>
          <w:tcPr>
            <w:tcW w:w="2430" w:type="dxa"/>
            <w:tcBorders>
              <w:top w:val="nil"/>
              <w:left w:val="nil"/>
              <w:bottom w:val="nil"/>
              <w:right w:val="nil"/>
            </w:tcBorders>
            <w:shd w:val="clear" w:color="auto" w:fill="auto"/>
            <w:noWrap/>
            <w:vAlign w:val="center"/>
            <w:hideMark/>
          </w:tcPr>
          <w:p w14:paraId="6782083E" w14:textId="77777777" w:rsidR="0022500A" w:rsidRPr="0092006B" w:rsidRDefault="0022500A" w:rsidP="009F4DDB">
            <w:pPr>
              <w:spacing w:line="240" w:lineRule="auto"/>
              <w:jc w:val="left"/>
            </w:pPr>
            <w:r w:rsidRPr="0092006B">
              <w:rPr>
                <w:rFonts w:eastAsia="CIDFont+F1"/>
              </w:rPr>
              <w:t>R-sq:</w:t>
            </w:r>
          </w:p>
        </w:tc>
        <w:tc>
          <w:tcPr>
            <w:tcW w:w="1041" w:type="dxa"/>
            <w:tcBorders>
              <w:top w:val="nil"/>
              <w:left w:val="nil"/>
              <w:bottom w:val="nil"/>
              <w:right w:val="nil"/>
            </w:tcBorders>
            <w:shd w:val="clear" w:color="auto" w:fill="auto"/>
            <w:noWrap/>
            <w:vAlign w:val="bottom"/>
            <w:hideMark/>
          </w:tcPr>
          <w:p w14:paraId="02832026" w14:textId="77777777" w:rsidR="0022500A" w:rsidRPr="0092006B" w:rsidRDefault="0022500A" w:rsidP="009F4DDB">
            <w:pPr>
              <w:spacing w:line="240" w:lineRule="auto"/>
              <w:jc w:val="right"/>
            </w:pPr>
            <w:r w:rsidRPr="0092006B">
              <w:t>0.1788</w:t>
            </w:r>
          </w:p>
        </w:tc>
        <w:tc>
          <w:tcPr>
            <w:tcW w:w="1119" w:type="dxa"/>
            <w:tcBorders>
              <w:top w:val="nil"/>
              <w:left w:val="nil"/>
              <w:bottom w:val="nil"/>
              <w:right w:val="nil"/>
            </w:tcBorders>
            <w:shd w:val="clear" w:color="auto" w:fill="auto"/>
            <w:noWrap/>
            <w:vAlign w:val="bottom"/>
            <w:hideMark/>
          </w:tcPr>
          <w:p w14:paraId="7B74FB50" w14:textId="77777777" w:rsidR="0022500A" w:rsidRPr="0092006B" w:rsidRDefault="0022500A" w:rsidP="009F4DDB">
            <w:pPr>
              <w:spacing w:line="240" w:lineRule="auto"/>
              <w:jc w:val="right"/>
            </w:pPr>
          </w:p>
        </w:tc>
        <w:tc>
          <w:tcPr>
            <w:tcW w:w="785" w:type="dxa"/>
            <w:tcBorders>
              <w:top w:val="nil"/>
              <w:left w:val="nil"/>
              <w:bottom w:val="nil"/>
              <w:right w:val="nil"/>
            </w:tcBorders>
            <w:shd w:val="clear" w:color="auto" w:fill="auto"/>
            <w:noWrap/>
            <w:vAlign w:val="bottom"/>
            <w:hideMark/>
          </w:tcPr>
          <w:p w14:paraId="51DA1E08" w14:textId="77777777" w:rsidR="0022500A" w:rsidRPr="0092006B" w:rsidRDefault="0022500A" w:rsidP="009F4DDB">
            <w:pPr>
              <w:spacing w:line="240" w:lineRule="auto"/>
              <w:jc w:val="left"/>
            </w:pPr>
          </w:p>
        </w:tc>
        <w:tc>
          <w:tcPr>
            <w:tcW w:w="960" w:type="dxa"/>
            <w:tcBorders>
              <w:top w:val="nil"/>
              <w:left w:val="nil"/>
              <w:bottom w:val="nil"/>
              <w:right w:val="nil"/>
            </w:tcBorders>
            <w:shd w:val="clear" w:color="auto" w:fill="auto"/>
            <w:noWrap/>
            <w:vAlign w:val="bottom"/>
            <w:hideMark/>
          </w:tcPr>
          <w:p w14:paraId="37BEEDF3" w14:textId="77777777" w:rsidR="0022500A" w:rsidRPr="0092006B" w:rsidRDefault="0022500A" w:rsidP="009F4DDB">
            <w:pPr>
              <w:spacing w:line="240" w:lineRule="auto"/>
              <w:jc w:val="left"/>
            </w:pPr>
          </w:p>
        </w:tc>
        <w:tc>
          <w:tcPr>
            <w:tcW w:w="1150" w:type="dxa"/>
            <w:tcBorders>
              <w:top w:val="nil"/>
              <w:left w:val="nil"/>
              <w:bottom w:val="nil"/>
              <w:right w:val="nil"/>
            </w:tcBorders>
            <w:shd w:val="clear" w:color="auto" w:fill="auto"/>
            <w:noWrap/>
            <w:vAlign w:val="bottom"/>
            <w:hideMark/>
          </w:tcPr>
          <w:p w14:paraId="32BB6356" w14:textId="77777777" w:rsidR="0022500A" w:rsidRPr="0092006B" w:rsidRDefault="0022500A" w:rsidP="009F4DDB">
            <w:pPr>
              <w:spacing w:line="240" w:lineRule="auto"/>
              <w:jc w:val="left"/>
            </w:pPr>
          </w:p>
        </w:tc>
        <w:tc>
          <w:tcPr>
            <w:tcW w:w="1053" w:type="dxa"/>
            <w:tcBorders>
              <w:top w:val="nil"/>
              <w:left w:val="nil"/>
              <w:bottom w:val="nil"/>
              <w:right w:val="nil"/>
            </w:tcBorders>
            <w:shd w:val="clear" w:color="auto" w:fill="auto"/>
            <w:noWrap/>
            <w:vAlign w:val="bottom"/>
            <w:hideMark/>
          </w:tcPr>
          <w:p w14:paraId="59DEAED6" w14:textId="77777777" w:rsidR="0022500A" w:rsidRPr="0092006B" w:rsidRDefault="0022500A" w:rsidP="009F4DDB">
            <w:pPr>
              <w:spacing w:line="240" w:lineRule="auto"/>
              <w:jc w:val="left"/>
            </w:pPr>
          </w:p>
        </w:tc>
      </w:tr>
      <w:tr w:rsidR="0022500A" w:rsidRPr="0092006B" w14:paraId="07225778" w14:textId="77777777" w:rsidTr="009F4DDB">
        <w:trPr>
          <w:trHeight w:val="315"/>
        </w:trPr>
        <w:tc>
          <w:tcPr>
            <w:tcW w:w="2430" w:type="dxa"/>
            <w:tcBorders>
              <w:top w:val="nil"/>
              <w:left w:val="nil"/>
              <w:bottom w:val="nil"/>
              <w:right w:val="nil"/>
            </w:tcBorders>
            <w:shd w:val="clear" w:color="auto" w:fill="auto"/>
            <w:noWrap/>
            <w:vAlign w:val="center"/>
            <w:hideMark/>
          </w:tcPr>
          <w:p w14:paraId="6E0D7E03" w14:textId="77777777" w:rsidR="0022500A" w:rsidRPr="0092006B" w:rsidRDefault="0022500A" w:rsidP="009F4DDB">
            <w:pPr>
              <w:spacing w:line="240" w:lineRule="auto"/>
              <w:jc w:val="left"/>
            </w:pPr>
            <w:r w:rsidRPr="0092006B">
              <w:rPr>
                <w:rFonts w:eastAsia="CIDFont+F1"/>
              </w:rPr>
              <w:t xml:space="preserve">Wald chi2(3)   </w:t>
            </w:r>
          </w:p>
        </w:tc>
        <w:tc>
          <w:tcPr>
            <w:tcW w:w="1041" w:type="dxa"/>
            <w:tcBorders>
              <w:top w:val="nil"/>
              <w:left w:val="nil"/>
              <w:bottom w:val="nil"/>
              <w:right w:val="nil"/>
            </w:tcBorders>
            <w:shd w:val="clear" w:color="auto" w:fill="auto"/>
            <w:noWrap/>
            <w:vAlign w:val="bottom"/>
            <w:hideMark/>
          </w:tcPr>
          <w:p w14:paraId="16A839D2" w14:textId="77777777" w:rsidR="0022500A" w:rsidRPr="0092006B" w:rsidRDefault="0022500A" w:rsidP="009F4DDB">
            <w:pPr>
              <w:spacing w:line="240" w:lineRule="auto"/>
              <w:jc w:val="right"/>
            </w:pPr>
            <w:r w:rsidRPr="0092006B">
              <w:t>16.4</w:t>
            </w:r>
          </w:p>
        </w:tc>
        <w:tc>
          <w:tcPr>
            <w:tcW w:w="1119" w:type="dxa"/>
            <w:tcBorders>
              <w:top w:val="nil"/>
              <w:left w:val="nil"/>
              <w:bottom w:val="nil"/>
              <w:right w:val="nil"/>
            </w:tcBorders>
            <w:shd w:val="clear" w:color="auto" w:fill="auto"/>
            <w:noWrap/>
            <w:vAlign w:val="bottom"/>
            <w:hideMark/>
          </w:tcPr>
          <w:p w14:paraId="4EBEE329" w14:textId="77777777" w:rsidR="0022500A" w:rsidRPr="0092006B" w:rsidRDefault="0022500A" w:rsidP="009F4DDB">
            <w:pPr>
              <w:spacing w:line="240" w:lineRule="auto"/>
              <w:jc w:val="right"/>
            </w:pPr>
          </w:p>
        </w:tc>
        <w:tc>
          <w:tcPr>
            <w:tcW w:w="785" w:type="dxa"/>
            <w:tcBorders>
              <w:top w:val="nil"/>
              <w:left w:val="nil"/>
              <w:bottom w:val="nil"/>
              <w:right w:val="nil"/>
            </w:tcBorders>
            <w:shd w:val="clear" w:color="auto" w:fill="auto"/>
            <w:noWrap/>
            <w:vAlign w:val="bottom"/>
            <w:hideMark/>
          </w:tcPr>
          <w:p w14:paraId="0C1D8CBD" w14:textId="77777777" w:rsidR="0022500A" w:rsidRPr="0092006B" w:rsidRDefault="0022500A" w:rsidP="009F4DDB">
            <w:pPr>
              <w:spacing w:line="240" w:lineRule="auto"/>
              <w:jc w:val="left"/>
            </w:pPr>
          </w:p>
        </w:tc>
        <w:tc>
          <w:tcPr>
            <w:tcW w:w="960" w:type="dxa"/>
            <w:tcBorders>
              <w:top w:val="nil"/>
              <w:left w:val="nil"/>
              <w:bottom w:val="nil"/>
              <w:right w:val="nil"/>
            </w:tcBorders>
            <w:shd w:val="clear" w:color="auto" w:fill="auto"/>
            <w:noWrap/>
            <w:vAlign w:val="bottom"/>
            <w:hideMark/>
          </w:tcPr>
          <w:p w14:paraId="64ACF744" w14:textId="77777777" w:rsidR="0022500A" w:rsidRPr="0092006B" w:rsidRDefault="0022500A" w:rsidP="009F4DDB">
            <w:pPr>
              <w:spacing w:line="240" w:lineRule="auto"/>
              <w:jc w:val="left"/>
            </w:pPr>
          </w:p>
        </w:tc>
        <w:tc>
          <w:tcPr>
            <w:tcW w:w="1150" w:type="dxa"/>
            <w:tcBorders>
              <w:top w:val="nil"/>
              <w:left w:val="nil"/>
              <w:bottom w:val="nil"/>
              <w:right w:val="nil"/>
            </w:tcBorders>
            <w:shd w:val="clear" w:color="auto" w:fill="auto"/>
            <w:noWrap/>
            <w:vAlign w:val="bottom"/>
            <w:hideMark/>
          </w:tcPr>
          <w:p w14:paraId="5A96C5EA" w14:textId="77777777" w:rsidR="0022500A" w:rsidRPr="0092006B" w:rsidRDefault="0022500A" w:rsidP="009F4DDB">
            <w:pPr>
              <w:spacing w:line="240" w:lineRule="auto"/>
              <w:jc w:val="left"/>
            </w:pPr>
          </w:p>
        </w:tc>
        <w:tc>
          <w:tcPr>
            <w:tcW w:w="1053" w:type="dxa"/>
            <w:tcBorders>
              <w:top w:val="nil"/>
              <w:left w:val="nil"/>
              <w:bottom w:val="nil"/>
              <w:right w:val="nil"/>
            </w:tcBorders>
            <w:shd w:val="clear" w:color="auto" w:fill="auto"/>
            <w:noWrap/>
            <w:vAlign w:val="bottom"/>
            <w:hideMark/>
          </w:tcPr>
          <w:p w14:paraId="65339685" w14:textId="77777777" w:rsidR="0022500A" w:rsidRPr="0092006B" w:rsidRDefault="0022500A" w:rsidP="009F4DDB">
            <w:pPr>
              <w:spacing w:line="240" w:lineRule="auto"/>
              <w:jc w:val="left"/>
            </w:pPr>
          </w:p>
        </w:tc>
      </w:tr>
      <w:tr w:rsidR="0022500A" w:rsidRPr="0092006B" w14:paraId="141E9F4A" w14:textId="77777777" w:rsidTr="009F4DDB">
        <w:trPr>
          <w:trHeight w:val="315"/>
        </w:trPr>
        <w:tc>
          <w:tcPr>
            <w:tcW w:w="2430" w:type="dxa"/>
            <w:tcBorders>
              <w:top w:val="nil"/>
              <w:left w:val="nil"/>
              <w:bottom w:val="nil"/>
              <w:right w:val="nil"/>
            </w:tcBorders>
            <w:shd w:val="clear" w:color="auto" w:fill="auto"/>
            <w:noWrap/>
            <w:vAlign w:val="center"/>
            <w:hideMark/>
          </w:tcPr>
          <w:p w14:paraId="4B824054" w14:textId="77777777" w:rsidR="0022500A" w:rsidRPr="0092006B" w:rsidRDefault="0022500A" w:rsidP="009F4DDB">
            <w:pPr>
              <w:spacing w:line="240" w:lineRule="auto"/>
              <w:jc w:val="left"/>
            </w:pPr>
            <w:r w:rsidRPr="0092006B">
              <w:rPr>
                <w:rFonts w:eastAsia="CIDFont+F1"/>
              </w:rPr>
              <w:t xml:space="preserve">Prob &gt; chi2       </w:t>
            </w:r>
          </w:p>
        </w:tc>
        <w:tc>
          <w:tcPr>
            <w:tcW w:w="1041" w:type="dxa"/>
            <w:tcBorders>
              <w:top w:val="nil"/>
              <w:left w:val="nil"/>
              <w:bottom w:val="nil"/>
              <w:right w:val="nil"/>
            </w:tcBorders>
            <w:shd w:val="clear" w:color="auto" w:fill="auto"/>
            <w:noWrap/>
            <w:vAlign w:val="bottom"/>
            <w:hideMark/>
          </w:tcPr>
          <w:p w14:paraId="5EEAB706" w14:textId="77777777" w:rsidR="0022500A" w:rsidRPr="0092006B" w:rsidRDefault="0022500A" w:rsidP="009F4DDB">
            <w:pPr>
              <w:spacing w:line="240" w:lineRule="auto"/>
              <w:jc w:val="right"/>
            </w:pPr>
            <w:r w:rsidRPr="0092006B">
              <w:t>0.0009</w:t>
            </w:r>
          </w:p>
        </w:tc>
        <w:tc>
          <w:tcPr>
            <w:tcW w:w="1119" w:type="dxa"/>
            <w:tcBorders>
              <w:top w:val="nil"/>
              <w:left w:val="nil"/>
              <w:bottom w:val="nil"/>
              <w:right w:val="nil"/>
            </w:tcBorders>
            <w:shd w:val="clear" w:color="auto" w:fill="auto"/>
            <w:noWrap/>
            <w:vAlign w:val="bottom"/>
            <w:hideMark/>
          </w:tcPr>
          <w:p w14:paraId="6D7C3938" w14:textId="77777777" w:rsidR="0022500A" w:rsidRPr="0092006B" w:rsidRDefault="0022500A" w:rsidP="009F4DDB">
            <w:pPr>
              <w:spacing w:line="240" w:lineRule="auto"/>
              <w:jc w:val="right"/>
            </w:pPr>
          </w:p>
        </w:tc>
        <w:tc>
          <w:tcPr>
            <w:tcW w:w="785" w:type="dxa"/>
            <w:tcBorders>
              <w:top w:val="nil"/>
              <w:left w:val="nil"/>
              <w:bottom w:val="nil"/>
              <w:right w:val="nil"/>
            </w:tcBorders>
            <w:shd w:val="clear" w:color="auto" w:fill="auto"/>
            <w:noWrap/>
            <w:vAlign w:val="bottom"/>
            <w:hideMark/>
          </w:tcPr>
          <w:p w14:paraId="51AC0397" w14:textId="77777777" w:rsidR="0022500A" w:rsidRPr="0092006B" w:rsidRDefault="0022500A" w:rsidP="009F4DDB">
            <w:pPr>
              <w:spacing w:line="240" w:lineRule="auto"/>
              <w:jc w:val="left"/>
            </w:pPr>
          </w:p>
        </w:tc>
        <w:tc>
          <w:tcPr>
            <w:tcW w:w="960" w:type="dxa"/>
            <w:tcBorders>
              <w:top w:val="nil"/>
              <w:left w:val="nil"/>
              <w:bottom w:val="nil"/>
              <w:right w:val="nil"/>
            </w:tcBorders>
            <w:shd w:val="clear" w:color="auto" w:fill="auto"/>
            <w:noWrap/>
            <w:vAlign w:val="bottom"/>
            <w:hideMark/>
          </w:tcPr>
          <w:p w14:paraId="4F12A793" w14:textId="77777777" w:rsidR="0022500A" w:rsidRPr="0092006B" w:rsidRDefault="0022500A" w:rsidP="009F4DDB">
            <w:pPr>
              <w:spacing w:line="240" w:lineRule="auto"/>
              <w:jc w:val="left"/>
            </w:pPr>
          </w:p>
        </w:tc>
        <w:tc>
          <w:tcPr>
            <w:tcW w:w="1150" w:type="dxa"/>
            <w:tcBorders>
              <w:top w:val="nil"/>
              <w:left w:val="nil"/>
              <w:bottom w:val="nil"/>
              <w:right w:val="nil"/>
            </w:tcBorders>
            <w:shd w:val="clear" w:color="auto" w:fill="auto"/>
            <w:noWrap/>
            <w:vAlign w:val="bottom"/>
            <w:hideMark/>
          </w:tcPr>
          <w:p w14:paraId="19B38593" w14:textId="77777777" w:rsidR="0022500A" w:rsidRPr="0092006B" w:rsidRDefault="0022500A" w:rsidP="009F4DDB">
            <w:pPr>
              <w:spacing w:line="240" w:lineRule="auto"/>
              <w:jc w:val="left"/>
            </w:pPr>
          </w:p>
        </w:tc>
        <w:tc>
          <w:tcPr>
            <w:tcW w:w="1053" w:type="dxa"/>
            <w:tcBorders>
              <w:top w:val="nil"/>
              <w:left w:val="nil"/>
              <w:bottom w:val="nil"/>
              <w:right w:val="nil"/>
            </w:tcBorders>
            <w:shd w:val="clear" w:color="auto" w:fill="auto"/>
            <w:noWrap/>
            <w:vAlign w:val="bottom"/>
            <w:hideMark/>
          </w:tcPr>
          <w:p w14:paraId="171823B5" w14:textId="77777777" w:rsidR="0022500A" w:rsidRPr="0092006B" w:rsidRDefault="0022500A" w:rsidP="009F4DDB">
            <w:pPr>
              <w:spacing w:line="240" w:lineRule="auto"/>
              <w:jc w:val="left"/>
            </w:pPr>
          </w:p>
        </w:tc>
      </w:tr>
      <w:tr w:rsidR="0022500A" w:rsidRPr="0092006B" w14:paraId="50AD6CEE" w14:textId="77777777" w:rsidTr="009F4DDB">
        <w:trPr>
          <w:trHeight w:val="315"/>
        </w:trPr>
        <w:tc>
          <w:tcPr>
            <w:tcW w:w="2430" w:type="dxa"/>
            <w:tcBorders>
              <w:top w:val="single" w:sz="4" w:space="0" w:color="auto"/>
              <w:left w:val="nil"/>
              <w:bottom w:val="single" w:sz="4" w:space="0" w:color="auto"/>
              <w:right w:val="nil"/>
            </w:tcBorders>
            <w:shd w:val="clear" w:color="auto" w:fill="auto"/>
            <w:noWrap/>
            <w:vAlign w:val="bottom"/>
            <w:hideMark/>
          </w:tcPr>
          <w:p w14:paraId="75D186C3" w14:textId="77777777" w:rsidR="0022500A" w:rsidRPr="0092006B" w:rsidRDefault="0022500A" w:rsidP="009F4DDB">
            <w:pPr>
              <w:spacing w:line="240" w:lineRule="auto"/>
              <w:jc w:val="left"/>
              <w:rPr>
                <w:b/>
              </w:rPr>
            </w:pPr>
            <w:r w:rsidRPr="0092006B">
              <w:rPr>
                <w:b/>
              </w:rPr>
              <w:t>ROA</w:t>
            </w:r>
          </w:p>
        </w:tc>
        <w:tc>
          <w:tcPr>
            <w:tcW w:w="1041" w:type="dxa"/>
            <w:tcBorders>
              <w:top w:val="single" w:sz="4" w:space="0" w:color="auto"/>
              <w:left w:val="nil"/>
              <w:bottom w:val="single" w:sz="4" w:space="0" w:color="auto"/>
              <w:right w:val="nil"/>
            </w:tcBorders>
            <w:shd w:val="clear" w:color="auto" w:fill="auto"/>
            <w:noWrap/>
            <w:vAlign w:val="center"/>
            <w:hideMark/>
          </w:tcPr>
          <w:p w14:paraId="022BDF7A" w14:textId="77777777" w:rsidR="0022500A" w:rsidRPr="0092006B" w:rsidRDefault="0022500A" w:rsidP="009F4DDB">
            <w:pPr>
              <w:spacing w:line="240" w:lineRule="auto"/>
              <w:jc w:val="center"/>
              <w:rPr>
                <w:b/>
              </w:rPr>
            </w:pPr>
            <w:r w:rsidRPr="0092006B">
              <w:rPr>
                <w:b/>
              </w:rPr>
              <w:t>Coef.</w:t>
            </w:r>
          </w:p>
        </w:tc>
        <w:tc>
          <w:tcPr>
            <w:tcW w:w="1119" w:type="dxa"/>
            <w:tcBorders>
              <w:top w:val="single" w:sz="4" w:space="0" w:color="auto"/>
              <w:left w:val="nil"/>
              <w:bottom w:val="single" w:sz="4" w:space="0" w:color="auto"/>
              <w:right w:val="nil"/>
            </w:tcBorders>
            <w:shd w:val="clear" w:color="auto" w:fill="auto"/>
            <w:noWrap/>
            <w:vAlign w:val="center"/>
            <w:hideMark/>
          </w:tcPr>
          <w:p w14:paraId="68290FE1" w14:textId="77777777" w:rsidR="0022500A" w:rsidRPr="0092006B" w:rsidRDefault="0022500A" w:rsidP="009F4DDB">
            <w:pPr>
              <w:spacing w:line="240" w:lineRule="auto"/>
              <w:jc w:val="center"/>
              <w:rPr>
                <w:b/>
              </w:rPr>
            </w:pPr>
            <w:r w:rsidRPr="0092006B">
              <w:rPr>
                <w:b/>
              </w:rPr>
              <w:t>Std. Err.</w:t>
            </w:r>
          </w:p>
        </w:tc>
        <w:tc>
          <w:tcPr>
            <w:tcW w:w="785" w:type="dxa"/>
            <w:tcBorders>
              <w:top w:val="single" w:sz="4" w:space="0" w:color="auto"/>
              <w:left w:val="nil"/>
              <w:bottom w:val="single" w:sz="4" w:space="0" w:color="auto"/>
              <w:right w:val="nil"/>
            </w:tcBorders>
            <w:shd w:val="clear" w:color="auto" w:fill="auto"/>
            <w:noWrap/>
            <w:vAlign w:val="center"/>
            <w:hideMark/>
          </w:tcPr>
          <w:p w14:paraId="0A530C4D" w14:textId="77777777" w:rsidR="0022500A" w:rsidRPr="0092006B" w:rsidRDefault="0022500A" w:rsidP="009F4DDB">
            <w:pPr>
              <w:spacing w:line="240" w:lineRule="auto"/>
              <w:jc w:val="center"/>
              <w:rPr>
                <w:b/>
              </w:rPr>
            </w:pPr>
            <w:r w:rsidRPr="0092006B">
              <w:rPr>
                <w:b/>
              </w:rPr>
              <w:t>z</w:t>
            </w:r>
          </w:p>
        </w:tc>
        <w:tc>
          <w:tcPr>
            <w:tcW w:w="960" w:type="dxa"/>
            <w:tcBorders>
              <w:top w:val="single" w:sz="4" w:space="0" w:color="auto"/>
              <w:left w:val="nil"/>
              <w:bottom w:val="single" w:sz="4" w:space="0" w:color="auto"/>
              <w:right w:val="nil"/>
            </w:tcBorders>
            <w:shd w:val="clear" w:color="auto" w:fill="auto"/>
            <w:noWrap/>
            <w:vAlign w:val="center"/>
            <w:hideMark/>
          </w:tcPr>
          <w:p w14:paraId="2F0B9D1F" w14:textId="77777777" w:rsidR="0022500A" w:rsidRPr="0092006B" w:rsidRDefault="0022500A" w:rsidP="009F4DDB">
            <w:pPr>
              <w:spacing w:line="240" w:lineRule="auto"/>
              <w:jc w:val="center"/>
              <w:rPr>
                <w:b/>
              </w:rPr>
            </w:pPr>
            <w:r w:rsidRPr="0092006B">
              <w:rPr>
                <w:b/>
              </w:rPr>
              <w:t>P&gt;|z|</w:t>
            </w:r>
          </w:p>
        </w:tc>
        <w:tc>
          <w:tcPr>
            <w:tcW w:w="1150" w:type="dxa"/>
            <w:tcBorders>
              <w:top w:val="single" w:sz="4" w:space="0" w:color="auto"/>
              <w:left w:val="nil"/>
              <w:bottom w:val="single" w:sz="4" w:space="0" w:color="auto"/>
              <w:right w:val="nil"/>
            </w:tcBorders>
            <w:shd w:val="clear" w:color="auto" w:fill="auto"/>
            <w:noWrap/>
            <w:vAlign w:val="center"/>
            <w:hideMark/>
          </w:tcPr>
          <w:p w14:paraId="6B977C1C" w14:textId="77777777" w:rsidR="0022500A" w:rsidRPr="0092006B" w:rsidRDefault="0022500A" w:rsidP="009F4DDB">
            <w:pPr>
              <w:spacing w:line="240" w:lineRule="auto"/>
              <w:jc w:val="center"/>
              <w:rPr>
                <w:b/>
              </w:rPr>
            </w:pPr>
            <w:r w:rsidRPr="0092006B">
              <w:rPr>
                <w:b/>
              </w:rPr>
              <w:t>[95% Conf.</w:t>
            </w:r>
          </w:p>
        </w:tc>
        <w:tc>
          <w:tcPr>
            <w:tcW w:w="1053" w:type="dxa"/>
            <w:tcBorders>
              <w:top w:val="single" w:sz="4" w:space="0" w:color="auto"/>
              <w:left w:val="nil"/>
              <w:bottom w:val="single" w:sz="4" w:space="0" w:color="auto"/>
              <w:right w:val="nil"/>
            </w:tcBorders>
            <w:shd w:val="clear" w:color="auto" w:fill="auto"/>
            <w:noWrap/>
            <w:vAlign w:val="center"/>
            <w:hideMark/>
          </w:tcPr>
          <w:p w14:paraId="2D8133D0" w14:textId="77777777" w:rsidR="0022500A" w:rsidRPr="0092006B" w:rsidRDefault="0022500A" w:rsidP="009F4DDB">
            <w:pPr>
              <w:spacing w:line="240" w:lineRule="auto"/>
              <w:jc w:val="center"/>
              <w:rPr>
                <w:b/>
              </w:rPr>
            </w:pPr>
            <w:r w:rsidRPr="0092006B">
              <w:rPr>
                <w:b/>
              </w:rPr>
              <w:t>Interval]</w:t>
            </w:r>
          </w:p>
        </w:tc>
      </w:tr>
      <w:tr w:rsidR="0022500A" w:rsidRPr="0092006B" w14:paraId="6A0CF61D" w14:textId="77777777" w:rsidTr="009F4DDB">
        <w:trPr>
          <w:trHeight w:val="300"/>
        </w:trPr>
        <w:tc>
          <w:tcPr>
            <w:tcW w:w="2430" w:type="dxa"/>
            <w:tcBorders>
              <w:top w:val="nil"/>
              <w:left w:val="nil"/>
              <w:bottom w:val="nil"/>
              <w:right w:val="nil"/>
            </w:tcBorders>
            <w:shd w:val="clear" w:color="auto" w:fill="auto"/>
            <w:noWrap/>
            <w:vAlign w:val="bottom"/>
            <w:hideMark/>
          </w:tcPr>
          <w:p w14:paraId="2838D369" w14:textId="77777777" w:rsidR="0022500A" w:rsidRPr="0092006B" w:rsidRDefault="0022500A" w:rsidP="009F4DDB">
            <w:pPr>
              <w:spacing w:line="240" w:lineRule="auto"/>
              <w:jc w:val="left"/>
            </w:pPr>
            <w:r w:rsidRPr="0092006B">
              <w:t>Capital adequacy regulations</w:t>
            </w:r>
          </w:p>
        </w:tc>
        <w:tc>
          <w:tcPr>
            <w:tcW w:w="1041" w:type="dxa"/>
            <w:tcBorders>
              <w:top w:val="nil"/>
              <w:left w:val="nil"/>
              <w:bottom w:val="nil"/>
              <w:right w:val="nil"/>
            </w:tcBorders>
            <w:shd w:val="clear" w:color="auto" w:fill="auto"/>
            <w:noWrap/>
            <w:vAlign w:val="bottom"/>
            <w:hideMark/>
          </w:tcPr>
          <w:p w14:paraId="27131AAB" w14:textId="77777777" w:rsidR="0022500A" w:rsidRPr="0092006B" w:rsidRDefault="0022500A" w:rsidP="009F4DDB">
            <w:pPr>
              <w:spacing w:line="240" w:lineRule="auto"/>
              <w:jc w:val="center"/>
            </w:pPr>
            <w:r w:rsidRPr="0092006B">
              <w:t>-0.02244</w:t>
            </w:r>
          </w:p>
        </w:tc>
        <w:tc>
          <w:tcPr>
            <w:tcW w:w="1119" w:type="dxa"/>
            <w:tcBorders>
              <w:top w:val="nil"/>
              <w:left w:val="nil"/>
              <w:bottom w:val="nil"/>
              <w:right w:val="nil"/>
            </w:tcBorders>
            <w:shd w:val="clear" w:color="auto" w:fill="auto"/>
            <w:noWrap/>
            <w:vAlign w:val="bottom"/>
            <w:hideMark/>
          </w:tcPr>
          <w:p w14:paraId="22F2DC74" w14:textId="77777777" w:rsidR="0022500A" w:rsidRPr="0092006B" w:rsidRDefault="0022500A" w:rsidP="009F4DDB">
            <w:pPr>
              <w:spacing w:line="240" w:lineRule="auto"/>
              <w:jc w:val="center"/>
            </w:pPr>
            <w:r w:rsidRPr="0092006B">
              <w:t>0.032193</w:t>
            </w:r>
          </w:p>
        </w:tc>
        <w:tc>
          <w:tcPr>
            <w:tcW w:w="785" w:type="dxa"/>
            <w:tcBorders>
              <w:top w:val="nil"/>
              <w:left w:val="nil"/>
              <w:bottom w:val="nil"/>
              <w:right w:val="nil"/>
            </w:tcBorders>
            <w:shd w:val="clear" w:color="auto" w:fill="auto"/>
            <w:noWrap/>
            <w:vAlign w:val="bottom"/>
            <w:hideMark/>
          </w:tcPr>
          <w:p w14:paraId="5A0008CF" w14:textId="77777777" w:rsidR="0022500A" w:rsidRPr="0092006B" w:rsidRDefault="0022500A" w:rsidP="009F4DDB">
            <w:pPr>
              <w:spacing w:line="240" w:lineRule="auto"/>
              <w:jc w:val="center"/>
            </w:pPr>
            <w:r w:rsidRPr="0092006B">
              <w:t>-0.7</w:t>
            </w:r>
          </w:p>
        </w:tc>
        <w:tc>
          <w:tcPr>
            <w:tcW w:w="960" w:type="dxa"/>
            <w:tcBorders>
              <w:top w:val="nil"/>
              <w:left w:val="nil"/>
              <w:bottom w:val="nil"/>
              <w:right w:val="nil"/>
            </w:tcBorders>
            <w:shd w:val="clear" w:color="auto" w:fill="auto"/>
            <w:noWrap/>
            <w:vAlign w:val="bottom"/>
            <w:hideMark/>
          </w:tcPr>
          <w:p w14:paraId="4E5ECFA8" w14:textId="77777777" w:rsidR="0022500A" w:rsidRPr="0092006B" w:rsidRDefault="0022500A" w:rsidP="009F4DDB">
            <w:pPr>
              <w:spacing w:line="240" w:lineRule="auto"/>
              <w:jc w:val="center"/>
            </w:pPr>
            <w:r w:rsidRPr="0092006B">
              <w:t>0.486</w:t>
            </w:r>
          </w:p>
        </w:tc>
        <w:tc>
          <w:tcPr>
            <w:tcW w:w="1150" w:type="dxa"/>
            <w:tcBorders>
              <w:top w:val="nil"/>
              <w:left w:val="nil"/>
              <w:bottom w:val="nil"/>
              <w:right w:val="nil"/>
            </w:tcBorders>
            <w:shd w:val="clear" w:color="auto" w:fill="auto"/>
            <w:noWrap/>
            <w:vAlign w:val="bottom"/>
            <w:hideMark/>
          </w:tcPr>
          <w:p w14:paraId="26512D6F" w14:textId="77777777" w:rsidR="0022500A" w:rsidRPr="0092006B" w:rsidRDefault="0022500A" w:rsidP="009F4DDB">
            <w:pPr>
              <w:spacing w:line="240" w:lineRule="auto"/>
              <w:jc w:val="center"/>
            </w:pPr>
            <w:r w:rsidRPr="0092006B">
              <w:t>-0.08553</w:t>
            </w:r>
          </w:p>
        </w:tc>
        <w:tc>
          <w:tcPr>
            <w:tcW w:w="1053" w:type="dxa"/>
            <w:tcBorders>
              <w:top w:val="nil"/>
              <w:left w:val="nil"/>
              <w:bottom w:val="nil"/>
              <w:right w:val="nil"/>
            </w:tcBorders>
            <w:shd w:val="clear" w:color="auto" w:fill="auto"/>
            <w:noWrap/>
            <w:vAlign w:val="bottom"/>
            <w:hideMark/>
          </w:tcPr>
          <w:p w14:paraId="1348C728" w14:textId="77777777" w:rsidR="0022500A" w:rsidRPr="0092006B" w:rsidRDefault="0022500A" w:rsidP="009F4DDB">
            <w:pPr>
              <w:spacing w:line="240" w:lineRule="auto"/>
              <w:jc w:val="center"/>
            </w:pPr>
            <w:r w:rsidRPr="0092006B">
              <w:t>0.040659</w:t>
            </w:r>
          </w:p>
        </w:tc>
      </w:tr>
      <w:tr w:rsidR="0022500A" w:rsidRPr="0092006B" w14:paraId="0B4B4D7D" w14:textId="77777777" w:rsidTr="009F4DDB">
        <w:trPr>
          <w:trHeight w:val="300"/>
        </w:trPr>
        <w:tc>
          <w:tcPr>
            <w:tcW w:w="2430" w:type="dxa"/>
            <w:tcBorders>
              <w:top w:val="nil"/>
              <w:left w:val="nil"/>
              <w:bottom w:val="nil"/>
              <w:right w:val="nil"/>
            </w:tcBorders>
            <w:shd w:val="clear" w:color="auto" w:fill="auto"/>
            <w:noWrap/>
            <w:vAlign w:val="bottom"/>
            <w:hideMark/>
          </w:tcPr>
          <w:p w14:paraId="0E4A934D" w14:textId="77777777" w:rsidR="0022500A" w:rsidRPr="0092006B" w:rsidRDefault="0022500A" w:rsidP="009F4DDB">
            <w:pPr>
              <w:spacing w:line="240" w:lineRule="auto"/>
              <w:jc w:val="left"/>
            </w:pPr>
            <w:r w:rsidRPr="0092006B">
              <w:t>Liquidity regulations</w:t>
            </w:r>
          </w:p>
        </w:tc>
        <w:tc>
          <w:tcPr>
            <w:tcW w:w="1041" w:type="dxa"/>
            <w:tcBorders>
              <w:top w:val="nil"/>
              <w:left w:val="nil"/>
              <w:bottom w:val="nil"/>
              <w:right w:val="nil"/>
            </w:tcBorders>
            <w:shd w:val="clear" w:color="auto" w:fill="auto"/>
            <w:noWrap/>
            <w:vAlign w:val="bottom"/>
            <w:hideMark/>
          </w:tcPr>
          <w:p w14:paraId="5E019F80" w14:textId="77777777" w:rsidR="0022500A" w:rsidRPr="0092006B" w:rsidRDefault="0022500A" w:rsidP="009F4DDB">
            <w:pPr>
              <w:spacing w:line="240" w:lineRule="auto"/>
              <w:jc w:val="center"/>
            </w:pPr>
            <w:r w:rsidRPr="0092006B">
              <w:t>-0.01732</w:t>
            </w:r>
          </w:p>
        </w:tc>
        <w:tc>
          <w:tcPr>
            <w:tcW w:w="1119" w:type="dxa"/>
            <w:tcBorders>
              <w:top w:val="nil"/>
              <w:left w:val="nil"/>
              <w:bottom w:val="nil"/>
              <w:right w:val="nil"/>
            </w:tcBorders>
            <w:shd w:val="clear" w:color="auto" w:fill="auto"/>
            <w:noWrap/>
            <w:vAlign w:val="bottom"/>
            <w:hideMark/>
          </w:tcPr>
          <w:p w14:paraId="7F50E9FB" w14:textId="77777777" w:rsidR="0022500A" w:rsidRPr="0092006B" w:rsidRDefault="0022500A" w:rsidP="009F4DDB">
            <w:pPr>
              <w:spacing w:line="240" w:lineRule="auto"/>
              <w:jc w:val="center"/>
            </w:pPr>
            <w:r w:rsidRPr="0092006B">
              <w:t>0.006974</w:t>
            </w:r>
          </w:p>
        </w:tc>
        <w:tc>
          <w:tcPr>
            <w:tcW w:w="785" w:type="dxa"/>
            <w:tcBorders>
              <w:top w:val="nil"/>
              <w:left w:val="nil"/>
              <w:bottom w:val="nil"/>
              <w:right w:val="nil"/>
            </w:tcBorders>
            <w:shd w:val="clear" w:color="auto" w:fill="auto"/>
            <w:noWrap/>
            <w:vAlign w:val="bottom"/>
            <w:hideMark/>
          </w:tcPr>
          <w:p w14:paraId="5E2D4562" w14:textId="77777777" w:rsidR="0022500A" w:rsidRPr="0092006B" w:rsidRDefault="0022500A" w:rsidP="009F4DDB">
            <w:pPr>
              <w:spacing w:line="240" w:lineRule="auto"/>
              <w:jc w:val="center"/>
            </w:pPr>
            <w:r w:rsidRPr="0092006B">
              <w:t>-2.48</w:t>
            </w:r>
          </w:p>
        </w:tc>
        <w:tc>
          <w:tcPr>
            <w:tcW w:w="960" w:type="dxa"/>
            <w:tcBorders>
              <w:top w:val="nil"/>
              <w:left w:val="nil"/>
              <w:bottom w:val="nil"/>
              <w:right w:val="nil"/>
            </w:tcBorders>
            <w:shd w:val="clear" w:color="auto" w:fill="auto"/>
            <w:noWrap/>
            <w:vAlign w:val="bottom"/>
            <w:hideMark/>
          </w:tcPr>
          <w:p w14:paraId="09CB9C8B" w14:textId="77777777" w:rsidR="0022500A" w:rsidRPr="0092006B" w:rsidRDefault="0022500A" w:rsidP="009F4DDB">
            <w:pPr>
              <w:spacing w:line="240" w:lineRule="auto"/>
              <w:jc w:val="center"/>
            </w:pPr>
            <w:r w:rsidRPr="0092006B">
              <w:t>0.013</w:t>
            </w:r>
          </w:p>
        </w:tc>
        <w:tc>
          <w:tcPr>
            <w:tcW w:w="1150" w:type="dxa"/>
            <w:tcBorders>
              <w:top w:val="nil"/>
              <w:left w:val="nil"/>
              <w:bottom w:val="nil"/>
              <w:right w:val="nil"/>
            </w:tcBorders>
            <w:shd w:val="clear" w:color="auto" w:fill="auto"/>
            <w:noWrap/>
            <w:vAlign w:val="bottom"/>
            <w:hideMark/>
          </w:tcPr>
          <w:p w14:paraId="63412F1A" w14:textId="77777777" w:rsidR="0022500A" w:rsidRPr="0092006B" w:rsidRDefault="0022500A" w:rsidP="009F4DDB">
            <w:pPr>
              <w:spacing w:line="240" w:lineRule="auto"/>
              <w:jc w:val="center"/>
            </w:pPr>
            <w:r w:rsidRPr="0092006B">
              <w:t>-0.03099</w:t>
            </w:r>
          </w:p>
        </w:tc>
        <w:tc>
          <w:tcPr>
            <w:tcW w:w="1053" w:type="dxa"/>
            <w:tcBorders>
              <w:top w:val="nil"/>
              <w:left w:val="nil"/>
              <w:bottom w:val="nil"/>
              <w:right w:val="nil"/>
            </w:tcBorders>
            <w:shd w:val="clear" w:color="auto" w:fill="auto"/>
            <w:noWrap/>
            <w:vAlign w:val="bottom"/>
            <w:hideMark/>
          </w:tcPr>
          <w:p w14:paraId="56B8D189" w14:textId="77777777" w:rsidR="0022500A" w:rsidRPr="0092006B" w:rsidRDefault="0022500A" w:rsidP="009F4DDB">
            <w:pPr>
              <w:spacing w:line="240" w:lineRule="auto"/>
              <w:jc w:val="center"/>
            </w:pPr>
            <w:r w:rsidRPr="0092006B">
              <w:t>-0.00365</w:t>
            </w:r>
          </w:p>
        </w:tc>
      </w:tr>
      <w:tr w:rsidR="0022500A" w:rsidRPr="0092006B" w14:paraId="5D8B1D4E" w14:textId="77777777" w:rsidTr="009F4DDB">
        <w:trPr>
          <w:trHeight w:val="300"/>
        </w:trPr>
        <w:tc>
          <w:tcPr>
            <w:tcW w:w="2430" w:type="dxa"/>
            <w:tcBorders>
              <w:top w:val="nil"/>
              <w:left w:val="nil"/>
              <w:bottom w:val="nil"/>
              <w:right w:val="nil"/>
            </w:tcBorders>
            <w:shd w:val="clear" w:color="auto" w:fill="auto"/>
            <w:noWrap/>
            <w:vAlign w:val="bottom"/>
            <w:hideMark/>
          </w:tcPr>
          <w:p w14:paraId="62E86A48" w14:textId="77777777" w:rsidR="0022500A" w:rsidRPr="0092006B" w:rsidRDefault="0022500A" w:rsidP="009F4DDB">
            <w:pPr>
              <w:spacing w:line="240" w:lineRule="auto"/>
              <w:jc w:val="left"/>
            </w:pPr>
            <w:r w:rsidRPr="0092006B">
              <w:t>Credit risk regulations</w:t>
            </w:r>
          </w:p>
        </w:tc>
        <w:tc>
          <w:tcPr>
            <w:tcW w:w="1041" w:type="dxa"/>
            <w:tcBorders>
              <w:top w:val="nil"/>
              <w:left w:val="nil"/>
              <w:bottom w:val="nil"/>
              <w:right w:val="nil"/>
            </w:tcBorders>
            <w:shd w:val="clear" w:color="auto" w:fill="auto"/>
            <w:noWrap/>
            <w:vAlign w:val="bottom"/>
            <w:hideMark/>
          </w:tcPr>
          <w:p w14:paraId="09423D00" w14:textId="77777777" w:rsidR="0022500A" w:rsidRPr="0092006B" w:rsidRDefault="0022500A" w:rsidP="009F4DDB">
            <w:pPr>
              <w:spacing w:line="240" w:lineRule="auto"/>
              <w:jc w:val="center"/>
            </w:pPr>
            <w:r w:rsidRPr="0092006B">
              <w:t>-6.58345</w:t>
            </w:r>
          </w:p>
        </w:tc>
        <w:tc>
          <w:tcPr>
            <w:tcW w:w="1119" w:type="dxa"/>
            <w:tcBorders>
              <w:top w:val="nil"/>
              <w:left w:val="nil"/>
              <w:bottom w:val="nil"/>
              <w:right w:val="nil"/>
            </w:tcBorders>
            <w:shd w:val="clear" w:color="auto" w:fill="auto"/>
            <w:noWrap/>
            <w:vAlign w:val="bottom"/>
            <w:hideMark/>
          </w:tcPr>
          <w:p w14:paraId="4D2AF19B" w14:textId="77777777" w:rsidR="0022500A" w:rsidRPr="0092006B" w:rsidRDefault="0022500A" w:rsidP="009F4DDB">
            <w:pPr>
              <w:spacing w:line="240" w:lineRule="auto"/>
              <w:jc w:val="center"/>
            </w:pPr>
            <w:r w:rsidRPr="0092006B">
              <w:t>2.242745</w:t>
            </w:r>
          </w:p>
        </w:tc>
        <w:tc>
          <w:tcPr>
            <w:tcW w:w="785" w:type="dxa"/>
            <w:tcBorders>
              <w:top w:val="nil"/>
              <w:left w:val="nil"/>
              <w:bottom w:val="nil"/>
              <w:right w:val="nil"/>
            </w:tcBorders>
            <w:shd w:val="clear" w:color="auto" w:fill="auto"/>
            <w:noWrap/>
            <w:vAlign w:val="bottom"/>
            <w:hideMark/>
          </w:tcPr>
          <w:p w14:paraId="0383A187" w14:textId="77777777" w:rsidR="0022500A" w:rsidRPr="0092006B" w:rsidRDefault="0022500A" w:rsidP="009F4DDB">
            <w:pPr>
              <w:spacing w:line="240" w:lineRule="auto"/>
              <w:jc w:val="center"/>
            </w:pPr>
            <w:r w:rsidRPr="0092006B">
              <w:t>-2.94</w:t>
            </w:r>
          </w:p>
        </w:tc>
        <w:tc>
          <w:tcPr>
            <w:tcW w:w="960" w:type="dxa"/>
            <w:tcBorders>
              <w:top w:val="nil"/>
              <w:left w:val="nil"/>
              <w:bottom w:val="nil"/>
              <w:right w:val="nil"/>
            </w:tcBorders>
            <w:shd w:val="clear" w:color="auto" w:fill="auto"/>
            <w:noWrap/>
            <w:vAlign w:val="bottom"/>
            <w:hideMark/>
          </w:tcPr>
          <w:p w14:paraId="6BD85FD4" w14:textId="77777777" w:rsidR="0022500A" w:rsidRPr="0092006B" w:rsidRDefault="0022500A" w:rsidP="009F4DDB">
            <w:pPr>
              <w:spacing w:line="240" w:lineRule="auto"/>
              <w:jc w:val="center"/>
            </w:pPr>
            <w:r w:rsidRPr="0092006B">
              <w:t>0.003</w:t>
            </w:r>
          </w:p>
        </w:tc>
        <w:tc>
          <w:tcPr>
            <w:tcW w:w="1150" w:type="dxa"/>
            <w:tcBorders>
              <w:top w:val="nil"/>
              <w:left w:val="nil"/>
              <w:bottom w:val="nil"/>
              <w:right w:val="nil"/>
            </w:tcBorders>
            <w:shd w:val="clear" w:color="auto" w:fill="auto"/>
            <w:noWrap/>
            <w:vAlign w:val="bottom"/>
            <w:hideMark/>
          </w:tcPr>
          <w:p w14:paraId="66E13329" w14:textId="77777777" w:rsidR="0022500A" w:rsidRPr="0092006B" w:rsidRDefault="0022500A" w:rsidP="009F4DDB">
            <w:pPr>
              <w:spacing w:line="240" w:lineRule="auto"/>
              <w:jc w:val="center"/>
            </w:pPr>
            <w:r w:rsidRPr="0092006B">
              <w:t>-10.9792</w:t>
            </w:r>
          </w:p>
        </w:tc>
        <w:tc>
          <w:tcPr>
            <w:tcW w:w="1053" w:type="dxa"/>
            <w:tcBorders>
              <w:top w:val="nil"/>
              <w:left w:val="nil"/>
              <w:bottom w:val="nil"/>
              <w:right w:val="nil"/>
            </w:tcBorders>
            <w:shd w:val="clear" w:color="auto" w:fill="auto"/>
            <w:noWrap/>
            <w:vAlign w:val="bottom"/>
            <w:hideMark/>
          </w:tcPr>
          <w:p w14:paraId="6874A281" w14:textId="77777777" w:rsidR="0022500A" w:rsidRPr="0092006B" w:rsidRDefault="0022500A" w:rsidP="009F4DDB">
            <w:pPr>
              <w:spacing w:line="240" w:lineRule="auto"/>
              <w:jc w:val="center"/>
            </w:pPr>
            <w:r w:rsidRPr="0092006B">
              <w:t>-2.18776</w:t>
            </w:r>
          </w:p>
        </w:tc>
      </w:tr>
      <w:tr w:rsidR="0022500A" w:rsidRPr="0092006B" w14:paraId="16D05841" w14:textId="77777777" w:rsidTr="009F4DDB">
        <w:trPr>
          <w:trHeight w:val="300"/>
        </w:trPr>
        <w:tc>
          <w:tcPr>
            <w:tcW w:w="2430" w:type="dxa"/>
            <w:tcBorders>
              <w:top w:val="nil"/>
              <w:left w:val="nil"/>
              <w:bottom w:val="single" w:sz="4" w:space="0" w:color="auto"/>
              <w:right w:val="nil"/>
            </w:tcBorders>
            <w:shd w:val="clear" w:color="auto" w:fill="auto"/>
            <w:noWrap/>
            <w:vAlign w:val="bottom"/>
            <w:hideMark/>
          </w:tcPr>
          <w:p w14:paraId="3CF02F80" w14:textId="77777777" w:rsidR="0022500A" w:rsidRPr="0092006B" w:rsidRDefault="0022500A" w:rsidP="009F4DDB">
            <w:pPr>
              <w:spacing w:line="240" w:lineRule="auto"/>
              <w:jc w:val="left"/>
            </w:pPr>
            <w:r w:rsidRPr="0092006B">
              <w:t>_cons</w:t>
            </w:r>
          </w:p>
        </w:tc>
        <w:tc>
          <w:tcPr>
            <w:tcW w:w="1041" w:type="dxa"/>
            <w:tcBorders>
              <w:top w:val="nil"/>
              <w:left w:val="nil"/>
              <w:bottom w:val="single" w:sz="4" w:space="0" w:color="auto"/>
              <w:right w:val="nil"/>
            </w:tcBorders>
            <w:shd w:val="clear" w:color="auto" w:fill="auto"/>
            <w:noWrap/>
            <w:vAlign w:val="bottom"/>
            <w:hideMark/>
          </w:tcPr>
          <w:p w14:paraId="655B0622" w14:textId="77777777" w:rsidR="0022500A" w:rsidRPr="0092006B" w:rsidRDefault="0022500A" w:rsidP="009F4DDB">
            <w:pPr>
              <w:spacing w:line="240" w:lineRule="auto"/>
              <w:jc w:val="center"/>
            </w:pPr>
            <w:r w:rsidRPr="0092006B">
              <w:t>6.071742</w:t>
            </w:r>
          </w:p>
        </w:tc>
        <w:tc>
          <w:tcPr>
            <w:tcW w:w="1119" w:type="dxa"/>
            <w:tcBorders>
              <w:top w:val="nil"/>
              <w:left w:val="nil"/>
              <w:bottom w:val="single" w:sz="4" w:space="0" w:color="auto"/>
              <w:right w:val="nil"/>
            </w:tcBorders>
            <w:shd w:val="clear" w:color="auto" w:fill="auto"/>
            <w:noWrap/>
            <w:vAlign w:val="bottom"/>
            <w:hideMark/>
          </w:tcPr>
          <w:p w14:paraId="70072EE0" w14:textId="77777777" w:rsidR="0022500A" w:rsidRPr="0092006B" w:rsidRDefault="0022500A" w:rsidP="009F4DDB">
            <w:pPr>
              <w:spacing w:line="240" w:lineRule="auto"/>
              <w:jc w:val="center"/>
            </w:pPr>
            <w:r w:rsidRPr="0092006B">
              <w:t>0.872305</w:t>
            </w:r>
          </w:p>
        </w:tc>
        <w:tc>
          <w:tcPr>
            <w:tcW w:w="785" w:type="dxa"/>
            <w:tcBorders>
              <w:top w:val="nil"/>
              <w:left w:val="nil"/>
              <w:bottom w:val="single" w:sz="4" w:space="0" w:color="auto"/>
              <w:right w:val="nil"/>
            </w:tcBorders>
            <w:shd w:val="clear" w:color="auto" w:fill="auto"/>
            <w:noWrap/>
            <w:vAlign w:val="bottom"/>
            <w:hideMark/>
          </w:tcPr>
          <w:p w14:paraId="5E9E3020" w14:textId="77777777" w:rsidR="0022500A" w:rsidRPr="0092006B" w:rsidRDefault="0022500A" w:rsidP="009F4DDB">
            <w:pPr>
              <w:spacing w:line="240" w:lineRule="auto"/>
              <w:jc w:val="center"/>
            </w:pPr>
            <w:r w:rsidRPr="0092006B">
              <w:t>6.96</w:t>
            </w:r>
          </w:p>
        </w:tc>
        <w:tc>
          <w:tcPr>
            <w:tcW w:w="960" w:type="dxa"/>
            <w:tcBorders>
              <w:top w:val="nil"/>
              <w:left w:val="nil"/>
              <w:bottom w:val="single" w:sz="4" w:space="0" w:color="auto"/>
              <w:right w:val="nil"/>
            </w:tcBorders>
            <w:shd w:val="clear" w:color="auto" w:fill="auto"/>
            <w:noWrap/>
            <w:vAlign w:val="bottom"/>
            <w:hideMark/>
          </w:tcPr>
          <w:p w14:paraId="75A91310" w14:textId="77777777" w:rsidR="0022500A" w:rsidRPr="0092006B" w:rsidRDefault="0022500A" w:rsidP="009F4DDB">
            <w:pPr>
              <w:spacing w:line="240" w:lineRule="auto"/>
              <w:jc w:val="center"/>
            </w:pPr>
            <w:r w:rsidRPr="0092006B">
              <w:t>0.000</w:t>
            </w:r>
          </w:p>
        </w:tc>
        <w:tc>
          <w:tcPr>
            <w:tcW w:w="1150" w:type="dxa"/>
            <w:tcBorders>
              <w:top w:val="nil"/>
              <w:left w:val="nil"/>
              <w:bottom w:val="single" w:sz="4" w:space="0" w:color="auto"/>
              <w:right w:val="nil"/>
            </w:tcBorders>
            <w:shd w:val="clear" w:color="auto" w:fill="auto"/>
            <w:noWrap/>
            <w:vAlign w:val="bottom"/>
            <w:hideMark/>
          </w:tcPr>
          <w:p w14:paraId="724D4C0A" w14:textId="77777777" w:rsidR="0022500A" w:rsidRPr="0092006B" w:rsidRDefault="0022500A" w:rsidP="009F4DDB">
            <w:pPr>
              <w:spacing w:line="240" w:lineRule="auto"/>
              <w:jc w:val="center"/>
            </w:pPr>
            <w:r w:rsidRPr="0092006B">
              <w:t>4.362055</w:t>
            </w:r>
          </w:p>
        </w:tc>
        <w:tc>
          <w:tcPr>
            <w:tcW w:w="1053" w:type="dxa"/>
            <w:tcBorders>
              <w:top w:val="nil"/>
              <w:left w:val="nil"/>
              <w:bottom w:val="single" w:sz="4" w:space="0" w:color="auto"/>
              <w:right w:val="nil"/>
            </w:tcBorders>
            <w:shd w:val="clear" w:color="auto" w:fill="auto"/>
            <w:noWrap/>
            <w:vAlign w:val="bottom"/>
            <w:hideMark/>
          </w:tcPr>
          <w:p w14:paraId="1A6B05F5" w14:textId="77777777" w:rsidR="0022500A" w:rsidRPr="0092006B" w:rsidRDefault="0022500A" w:rsidP="009F4DDB">
            <w:pPr>
              <w:spacing w:line="240" w:lineRule="auto"/>
              <w:jc w:val="center"/>
            </w:pPr>
            <w:r w:rsidRPr="0092006B">
              <w:t>7.781428</w:t>
            </w:r>
          </w:p>
        </w:tc>
      </w:tr>
    </w:tbl>
    <w:p w14:paraId="51D67DB2" w14:textId="77777777" w:rsidR="0022500A" w:rsidRPr="0092006B" w:rsidRDefault="0022500A" w:rsidP="0022500A">
      <w:pPr>
        <w:rPr>
          <w:b/>
          <w:bCs/>
        </w:rPr>
      </w:pPr>
      <w:r w:rsidRPr="0092006B">
        <w:rPr>
          <w:b/>
          <w:bCs/>
        </w:rPr>
        <w:t>Source: Research data (2023)</w:t>
      </w:r>
    </w:p>
    <w:p w14:paraId="78C1A86B" w14:textId="4028F091" w:rsidR="0060683F" w:rsidRPr="0092006B" w:rsidRDefault="0060683F" w:rsidP="0060683F">
      <w:pPr>
        <w:rPr>
          <w:b/>
          <w:bCs/>
          <w:sz w:val="28"/>
          <w:szCs w:val="24"/>
        </w:rPr>
      </w:pPr>
      <w:r w:rsidRPr="0092006B">
        <w:rPr>
          <w:b/>
          <w:bCs/>
          <w:sz w:val="28"/>
          <w:szCs w:val="24"/>
        </w:rPr>
        <w:t>4.</w:t>
      </w:r>
      <w:r w:rsidR="00260B2D" w:rsidRPr="0092006B">
        <w:rPr>
          <w:b/>
          <w:bCs/>
          <w:sz w:val="28"/>
          <w:szCs w:val="24"/>
        </w:rPr>
        <w:t>4</w:t>
      </w:r>
      <w:r w:rsidRPr="0092006B">
        <w:rPr>
          <w:b/>
          <w:bCs/>
          <w:sz w:val="28"/>
          <w:szCs w:val="24"/>
        </w:rPr>
        <w:t xml:space="preserve"> Correlation analysis</w:t>
      </w:r>
    </w:p>
    <w:p w14:paraId="54AAC20C" w14:textId="77777777" w:rsidR="00AF253B" w:rsidRPr="0092006B" w:rsidRDefault="00AF253B" w:rsidP="00AF253B">
      <w:pPr>
        <w:spacing w:before="0" w:line="240" w:lineRule="auto"/>
      </w:pPr>
      <w:r w:rsidRPr="0092006B">
        <w:t>The study's results reveal a weak negative relationship between capital sufficiency requirements and profitability, measured by Return on Assets (ROA) (r=-0.0729, p&gt;0.05), suggesting that changes in capital adequacy regulations result in minor, opposite changes in profitability. This contrasts with Olalekan’s (2015) study, which found a significant positive effect of capital adequacy on profitability in Nigerian banks. Similarly, liquidity risk regulations showed a negative and significant correlation with profitability (r=-0.2027, p&lt;0.05), indicating that stricter liquidity risk regulations negatively impact profitability, aligning with findings by Golubeva, Duljic, and Keminen (2019) that profitability decreases with higher bank size and provisions for credit losses. A negative and significant correlation was also found between credit risk regulations and profitability (r=-0.3562, p&lt;0.05), suggesting that changes in credit risk regulations result in opposite changes in profitability, contradicting Gizaw et al. (2015), who found a positive relationship between credit risk management and profitability in Ethiopian banks.</w:t>
      </w:r>
    </w:p>
    <w:p w14:paraId="35E32A51" w14:textId="77777777" w:rsidR="00AF253B" w:rsidRPr="0092006B" w:rsidRDefault="00AF253B" w:rsidP="00AF253B">
      <w:pPr>
        <w:spacing w:before="0" w:line="240" w:lineRule="auto"/>
      </w:pPr>
    </w:p>
    <w:p w14:paraId="0507CC58" w14:textId="36FB73FA" w:rsidR="0060683F" w:rsidRPr="0092006B" w:rsidRDefault="00AF253B" w:rsidP="00AF253B">
      <w:pPr>
        <w:spacing w:before="0" w:line="240" w:lineRule="auto"/>
      </w:pPr>
      <w:r w:rsidRPr="0092006B">
        <w:t xml:space="preserve">Regarding profitability as measured by Return on Equity (ROE), the results show a negative and insignificant relationship between capital adequacy and profitability (r=-0.0715, p&gt;0.05), disagreeing with Umoru and Osemwegie’s (2016) study, which found a strong link between capital adequacy and financial viability. Likewise, liquidity risk regulations had a negative and insignificant impact on profitability (r=-0.1634, p&gt;0.05), contrary to the findings of Pradhan, </w:t>
      </w:r>
      <w:r w:rsidR="001F7468" w:rsidRPr="0092006B">
        <w:t>et al</w:t>
      </w:r>
      <w:r w:rsidRPr="0092006B">
        <w:t xml:space="preserve"> (2016) in Nepal. In contrast, a negative and significant correlation was observed between credit risk regulations and profitability (r=-0.3584, p&lt;0.05), supporting Barus et al. (2017), who found that credit regulations affect the profitability of Kenyan savings and loan companies</w:t>
      </w:r>
      <w:r w:rsidR="0060683F" w:rsidRPr="0092006B">
        <w:t>.</w:t>
      </w:r>
    </w:p>
    <w:p w14:paraId="796FA236" w14:textId="49DECA54" w:rsidR="003D7198" w:rsidRPr="0092006B" w:rsidRDefault="003D7198" w:rsidP="004071F4">
      <w:pPr>
        <w:rPr>
          <w:b/>
          <w:bCs/>
        </w:rPr>
      </w:pPr>
      <w:bookmarkStart w:id="10" w:name="_Toc125617214"/>
      <w:bookmarkStart w:id="11" w:name="_Toc149393271"/>
      <w:r w:rsidRPr="00807B00">
        <w:rPr>
          <w:b/>
          <w:bCs/>
        </w:rPr>
        <w:lastRenderedPageBreak/>
        <w:t>Table</w:t>
      </w:r>
      <w:r w:rsidRPr="0092006B">
        <w:rPr>
          <w:b/>
          <w:bCs/>
        </w:rPr>
        <w:t xml:space="preserve"> </w:t>
      </w:r>
      <w:r w:rsidR="007D261A">
        <w:rPr>
          <w:b/>
          <w:bCs/>
        </w:rPr>
        <w:t>3</w:t>
      </w:r>
      <w:r w:rsidRPr="0092006B">
        <w:rPr>
          <w:b/>
          <w:bCs/>
        </w:rPr>
        <w:t xml:space="preserve">: Correlation between </w:t>
      </w:r>
      <w:bookmarkEnd w:id="10"/>
      <w:r w:rsidRPr="0092006B">
        <w:rPr>
          <w:b/>
          <w:bCs/>
        </w:rPr>
        <w:t>Prudential regulations and profitability (ROA)</w:t>
      </w:r>
      <w:bookmarkEnd w:id="11"/>
    </w:p>
    <w:tbl>
      <w:tblPr>
        <w:tblW w:w="5000" w:type="pct"/>
        <w:tblLayout w:type="fixed"/>
        <w:tblLook w:val="04A0" w:firstRow="1" w:lastRow="0" w:firstColumn="1" w:lastColumn="0" w:noHBand="0" w:noVBand="1"/>
      </w:tblPr>
      <w:tblGrid>
        <w:gridCol w:w="2234"/>
        <w:gridCol w:w="1370"/>
        <w:gridCol w:w="2793"/>
        <w:gridCol w:w="2440"/>
        <w:gridCol w:w="2193"/>
      </w:tblGrid>
      <w:tr w:rsidR="003D7198" w:rsidRPr="0092006B" w14:paraId="2B8FF1DB" w14:textId="77777777" w:rsidTr="009F4DDB">
        <w:trPr>
          <w:trHeight w:val="300"/>
        </w:trPr>
        <w:tc>
          <w:tcPr>
            <w:tcW w:w="1013" w:type="pct"/>
            <w:tcBorders>
              <w:top w:val="single" w:sz="4" w:space="0" w:color="auto"/>
              <w:left w:val="nil"/>
              <w:bottom w:val="single" w:sz="4" w:space="0" w:color="auto"/>
              <w:right w:val="nil"/>
            </w:tcBorders>
            <w:shd w:val="clear" w:color="auto" w:fill="auto"/>
            <w:noWrap/>
            <w:vAlign w:val="bottom"/>
            <w:hideMark/>
          </w:tcPr>
          <w:p w14:paraId="4AAEFCAF" w14:textId="77777777" w:rsidR="003D7198" w:rsidRPr="0092006B" w:rsidRDefault="003D7198" w:rsidP="009F4DDB">
            <w:pPr>
              <w:spacing w:line="240" w:lineRule="auto"/>
              <w:jc w:val="left"/>
              <w:rPr>
                <w:b/>
              </w:rPr>
            </w:pPr>
            <w:r w:rsidRPr="0092006B">
              <w:rPr>
                <w:b/>
              </w:rPr>
              <w:t> </w:t>
            </w:r>
          </w:p>
        </w:tc>
        <w:tc>
          <w:tcPr>
            <w:tcW w:w="621" w:type="pct"/>
            <w:tcBorders>
              <w:top w:val="single" w:sz="4" w:space="0" w:color="auto"/>
              <w:left w:val="nil"/>
              <w:bottom w:val="single" w:sz="4" w:space="0" w:color="auto"/>
              <w:right w:val="nil"/>
            </w:tcBorders>
            <w:shd w:val="clear" w:color="auto" w:fill="auto"/>
            <w:noWrap/>
            <w:vAlign w:val="bottom"/>
            <w:hideMark/>
          </w:tcPr>
          <w:p w14:paraId="3620A436" w14:textId="77777777" w:rsidR="003D7198" w:rsidRPr="0092006B" w:rsidRDefault="003D7198" w:rsidP="009F4DDB">
            <w:pPr>
              <w:spacing w:line="240" w:lineRule="auto"/>
              <w:jc w:val="left"/>
              <w:rPr>
                <w:b/>
              </w:rPr>
            </w:pPr>
            <w:r w:rsidRPr="0092006B">
              <w:rPr>
                <w:b/>
              </w:rPr>
              <w:t>ROA</w:t>
            </w:r>
          </w:p>
        </w:tc>
        <w:tc>
          <w:tcPr>
            <w:tcW w:w="1266" w:type="pct"/>
            <w:tcBorders>
              <w:top w:val="single" w:sz="4" w:space="0" w:color="auto"/>
              <w:left w:val="nil"/>
              <w:bottom w:val="single" w:sz="4" w:space="0" w:color="auto"/>
              <w:right w:val="nil"/>
            </w:tcBorders>
            <w:shd w:val="clear" w:color="auto" w:fill="auto"/>
            <w:noWrap/>
            <w:vAlign w:val="bottom"/>
            <w:hideMark/>
          </w:tcPr>
          <w:p w14:paraId="1D486EE8" w14:textId="77777777" w:rsidR="003D7198" w:rsidRPr="0092006B" w:rsidRDefault="003D7198" w:rsidP="009F4DDB">
            <w:pPr>
              <w:spacing w:line="240" w:lineRule="auto"/>
              <w:jc w:val="left"/>
              <w:rPr>
                <w:b/>
              </w:rPr>
            </w:pPr>
            <w:r w:rsidRPr="0092006B">
              <w:rPr>
                <w:b/>
              </w:rPr>
              <w:t>Capital Adequacy regulations</w:t>
            </w:r>
          </w:p>
        </w:tc>
        <w:tc>
          <w:tcPr>
            <w:tcW w:w="1106" w:type="pct"/>
            <w:tcBorders>
              <w:top w:val="single" w:sz="4" w:space="0" w:color="auto"/>
              <w:left w:val="nil"/>
              <w:bottom w:val="single" w:sz="4" w:space="0" w:color="auto"/>
              <w:right w:val="nil"/>
            </w:tcBorders>
            <w:shd w:val="clear" w:color="auto" w:fill="auto"/>
            <w:noWrap/>
            <w:vAlign w:val="bottom"/>
            <w:hideMark/>
          </w:tcPr>
          <w:p w14:paraId="7ED37219" w14:textId="77777777" w:rsidR="003D7198" w:rsidRPr="0092006B" w:rsidRDefault="003D7198" w:rsidP="009F4DDB">
            <w:pPr>
              <w:spacing w:line="240" w:lineRule="auto"/>
              <w:jc w:val="left"/>
              <w:rPr>
                <w:b/>
              </w:rPr>
            </w:pPr>
            <w:r w:rsidRPr="0092006B">
              <w:rPr>
                <w:b/>
              </w:rPr>
              <w:t>Liquidity risk regulations</w:t>
            </w:r>
          </w:p>
        </w:tc>
        <w:tc>
          <w:tcPr>
            <w:tcW w:w="995" w:type="pct"/>
            <w:tcBorders>
              <w:top w:val="single" w:sz="4" w:space="0" w:color="auto"/>
              <w:left w:val="nil"/>
              <w:bottom w:val="single" w:sz="4" w:space="0" w:color="auto"/>
              <w:right w:val="nil"/>
            </w:tcBorders>
            <w:shd w:val="clear" w:color="auto" w:fill="auto"/>
            <w:noWrap/>
            <w:vAlign w:val="bottom"/>
            <w:hideMark/>
          </w:tcPr>
          <w:p w14:paraId="10CD35A7" w14:textId="77777777" w:rsidR="003D7198" w:rsidRPr="0092006B" w:rsidRDefault="003D7198" w:rsidP="009F4DDB">
            <w:pPr>
              <w:spacing w:line="240" w:lineRule="auto"/>
              <w:jc w:val="left"/>
              <w:rPr>
                <w:b/>
              </w:rPr>
            </w:pPr>
            <w:r w:rsidRPr="0092006B">
              <w:rPr>
                <w:b/>
              </w:rPr>
              <w:t>Credit risk regulations</w:t>
            </w:r>
          </w:p>
        </w:tc>
      </w:tr>
      <w:tr w:rsidR="003D7198" w:rsidRPr="0092006B" w14:paraId="411C8BB5" w14:textId="77777777" w:rsidTr="009F4DDB">
        <w:trPr>
          <w:trHeight w:val="300"/>
        </w:trPr>
        <w:tc>
          <w:tcPr>
            <w:tcW w:w="1013" w:type="pct"/>
            <w:tcBorders>
              <w:top w:val="nil"/>
              <w:left w:val="nil"/>
              <w:bottom w:val="nil"/>
              <w:right w:val="nil"/>
            </w:tcBorders>
            <w:shd w:val="clear" w:color="auto" w:fill="auto"/>
            <w:noWrap/>
            <w:vAlign w:val="bottom"/>
            <w:hideMark/>
          </w:tcPr>
          <w:p w14:paraId="4C3E1C26" w14:textId="77777777" w:rsidR="003D7198" w:rsidRPr="0092006B" w:rsidRDefault="003D7198" w:rsidP="009F4DDB">
            <w:pPr>
              <w:spacing w:line="240" w:lineRule="auto"/>
              <w:jc w:val="left"/>
            </w:pPr>
            <w:r w:rsidRPr="0092006B">
              <w:t>ROA</w:t>
            </w:r>
          </w:p>
        </w:tc>
        <w:tc>
          <w:tcPr>
            <w:tcW w:w="621" w:type="pct"/>
            <w:tcBorders>
              <w:top w:val="nil"/>
              <w:left w:val="nil"/>
              <w:bottom w:val="nil"/>
              <w:right w:val="nil"/>
            </w:tcBorders>
            <w:shd w:val="clear" w:color="auto" w:fill="auto"/>
            <w:noWrap/>
            <w:vAlign w:val="bottom"/>
            <w:hideMark/>
          </w:tcPr>
          <w:p w14:paraId="05CAC37C" w14:textId="77777777" w:rsidR="003D7198" w:rsidRPr="0092006B" w:rsidRDefault="003D7198" w:rsidP="009F4DDB">
            <w:pPr>
              <w:spacing w:line="240" w:lineRule="auto"/>
            </w:pPr>
            <w:r w:rsidRPr="0092006B">
              <w:t>1</w:t>
            </w:r>
          </w:p>
        </w:tc>
        <w:tc>
          <w:tcPr>
            <w:tcW w:w="1266" w:type="pct"/>
            <w:tcBorders>
              <w:top w:val="nil"/>
              <w:left w:val="nil"/>
              <w:bottom w:val="nil"/>
              <w:right w:val="nil"/>
            </w:tcBorders>
            <w:shd w:val="clear" w:color="auto" w:fill="auto"/>
            <w:noWrap/>
            <w:vAlign w:val="bottom"/>
            <w:hideMark/>
          </w:tcPr>
          <w:p w14:paraId="4EBA322E" w14:textId="77777777" w:rsidR="003D7198" w:rsidRPr="0092006B" w:rsidRDefault="003D7198" w:rsidP="009F4DDB">
            <w:pPr>
              <w:spacing w:line="240" w:lineRule="auto"/>
              <w:jc w:val="left"/>
            </w:pPr>
            <w:r w:rsidRPr="0092006B">
              <w:t> </w:t>
            </w:r>
          </w:p>
        </w:tc>
        <w:tc>
          <w:tcPr>
            <w:tcW w:w="1106" w:type="pct"/>
            <w:tcBorders>
              <w:top w:val="nil"/>
              <w:left w:val="nil"/>
              <w:bottom w:val="nil"/>
              <w:right w:val="nil"/>
            </w:tcBorders>
            <w:shd w:val="clear" w:color="auto" w:fill="auto"/>
            <w:noWrap/>
            <w:vAlign w:val="bottom"/>
            <w:hideMark/>
          </w:tcPr>
          <w:p w14:paraId="5823E926" w14:textId="77777777" w:rsidR="003D7198" w:rsidRPr="0092006B" w:rsidRDefault="003D7198" w:rsidP="009F4DDB">
            <w:pPr>
              <w:spacing w:line="240" w:lineRule="auto"/>
              <w:jc w:val="left"/>
            </w:pPr>
            <w:r w:rsidRPr="0092006B">
              <w:t> </w:t>
            </w:r>
          </w:p>
        </w:tc>
        <w:tc>
          <w:tcPr>
            <w:tcW w:w="995" w:type="pct"/>
            <w:tcBorders>
              <w:top w:val="nil"/>
              <w:left w:val="nil"/>
              <w:bottom w:val="nil"/>
              <w:right w:val="nil"/>
            </w:tcBorders>
            <w:shd w:val="clear" w:color="auto" w:fill="auto"/>
            <w:noWrap/>
            <w:vAlign w:val="bottom"/>
            <w:hideMark/>
          </w:tcPr>
          <w:p w14:paraId="74B439DB" w14:textId="77777777" w:rsidR="003D7198" w:rsidRPr="0092006B" w:rsidRDefault="003D7198" w:rsidP="009F4DDB">
            <w:pPr>
              <w:spacing w:line="240" w:lineRule="auto"/>
              <w:jc w:val="left"/>
            </w:pPr>
            <w:r w:rsidRPr="0092006B">
              <w:t> </w:t>
            </w:r>
          </w:p>
        </w:tc>
      </w:tr>
      <w:tr w:rsidR="003D7198" w:rsidRPr="0092006B" w14:paraId="20296E77" w14:textId="77777777" w:rsidTr="009F4DDB">
        <w:trPr>
          <w:trHeight w:val="300"/>
        </w:trPr>
        <w:tc>
          <w:tcPr>
            <w:tcW w:w="1013" w:type="pct"/>
            <w:tcBorders>
              <w:top w:val="nil"/>
              <w:left w:val="nil"/>
              <w:bottom w:val="nil"/>
              <w:right w:val="nil"/>
            </w:tcBorders>
            <w:shd w:val="clear" w:color="auto" w:fill="auto"/>
            <w:noWrap/>
            <w:vAlign w:val="bottom"/>
            <w:hideMark/>
          </w:tcPr>
          <w:p w14:paraId="7F28700C" w14:textId="77777777" w:rsidR="003D7198" w:rsidRPr="0092006B" w:rsidRDefault="003D7198" w:rsidP="009F4DDB">
            <w:pPr>
              <w:spacing w:line="240" w:lineRule="auto"/>
              <w:jc w:val="left"/>
            </w:pPr>
            <w:r w:rsidRPr="0092006B">
              <w:t>Capital Adequacy regulations</w:t>
            </w:r>
          </w:p>
        </w:tc>
        <w:tc>
          <w:tcPr>
            <w:tcW w:w="621" w:type="pct"/>
            <w:tcBorders>
              <w:top w:val="nil"/>
              <w:left w:val="nil"/>
              <w:bottom w:val="nil"/>
              <w:right w:val="nil"/>
            </w:tcBorders>
            <w:shd w:val="clear" w:color="auto" w:fill="auto"/>
            <w:noWrap/>
            <w:vAlign w:val="bottom"/>
            <w:hideMark/>
          </w:tcPr>
          <w:p w14:paraId="4D5F7FA2" w14:textId="77777777" w:rsidR="003D7198" w:rsidRPr="0092006B" w:rsidRDefault="003D7198" w:rsidP="009F4DDB">
            <w:pPr>
              <w:spacing w:line="240" w:lineRule="auto"/>
              <w:jc w:val="left"/>
            </w:pPr>
            <w:r w:rsidRPr="0092006B">
              <w:t xml:space="preserve">-0.0729 </w:t>
            </w:r>
          </w:p>
        </w:tc>
        <w:tc>
          <w:tcPr>
            <w:tcW w:w="1266" w:type="pct"/>
            <w:tcBorders>
              <w:top w:val="nil"/>
              <w:left w:val="nil"/>
              <w:bottom w:val="nil"/>
              <w:right w:val="nil"/>
            </w:tcBorders>
            <w:shd w:val="clear" w:color="auto" w:fill="auto"/>
            <w:noWrap/>
            <w:vAlign w:val="bottom"/>
            <w:hideMark/>
          </w:tcPr>
          <w:p w14:paraId="63B04CAE" w14:textId="77777777" w:rsidR="003D7198" w:rsidRPr="0092006B" w:rsidRDefault="003D7198" w:rsidP="009F4DDB">
            <w:pPr>
              <w:spacing w:line="240" w:lineRule="auto"/>
              <w:jc w:val="right"/>
            </w:pPr>
            <w:r w:rsidRPr="0092006B">
              <w:t>1</w:t>
            </w:r>
          </w:p>
        </w:tc>
        <w:tc>
          <w:tcPr>
            <w:tcW w:w="1106" w:type="pct"/>
            <w:tcBorders>
              <w:top w:val="nil"/>
              <w:left w:val="nil"/>
              <w:bottom w:val="nil"/>
              <w:right w:val="nil"/>
            </w:tcBorders>
            <w:shd w:val="clear" w:color="auto" w:fill="auto"/>
            <w:noWrap/>
            <w:vAlign w:val="bottom"/>
            <w:hideMark/>
          </w:tcPr>
          <w:p w14:paraId="7D7A9F73" w14:textId="77777777" w:rsidR="003D7198" w:rsidRPr="0092006B" w:rsidRDefault="003D7198" w:rsidP="009F4DDB">
            <w:pPr>
              <w:spacing w:line="240" w:lineRule="auto"/>
              <w:jc w:val="right"/>
            </w:pPr>
          </w:p>
        </w:tc>
        <w:tc>
          <w:tcPr>
            <w:tcW w:w="995" w:type="pct"/>
            <w:tcBorders>
              <w:top w:val="nil"/>
              <w:left w:val="nil"/>
              <w:bottom w:val="nil"/>
              <w:right w:val="nil"/>
            </w:tcBorders>
            <w:shd w:val="clear" w:color="auto" w:fill="auto"/>
            <w:noWrap/>
            <w:vAlign w:val="bottom"/>
            <w:hideMark/>
          </w:tcPr>
          <w:p w14:paraId="644402B9" w14:textId="77777777" w:rsidR="003D7198" w:rsidRPr="0092006B" w:rsidRDefault="003D7198" w:rsidP="009F4DDB">
            <w:pPr>
              <w:spacing w:line="240" w:lineRule="auto"/>
              <w:jc w:val="left"/>
            </w:pPr>
          </w:p>
        </w:tc>
      </w:tr>
      <w:tr w:rsidR="003D7198" w:rsidRPr="0092006B" w14:paraId="556ACD66" w14:textId="77777777" w:rsidTr="009F4DDB">
        <w:trPr>
          <w:trHeight w:val="300"/>
        </w:trPr>
        <w:tc>
          <w:tcPr>
            <w:tcW w:w="1013" w:type="pct"/>
            <w:tcBorders>
              <w:top w:val="nil"/>
              <w:left w:val="nil"/>
              <w:bottom w:val="nil"/>
              <w:right w:val="nil"/>
            </w:tcBorders>
            <w:shd w:val="clear" w:color="auto" w:fill="auto"/>
            <w:noWrap/>
            <w:vAlign w:val="bottom"/>
            <w:hideMark/>
          </w:tcPr>
          <w:p w14:paraId="707F9D59" w14:textId="77777777" w:rsidR="003D7198" w:rsidRPr="0092006B" w:rsidRDefault="003D7198" w:rsidP="009F4DDB">
            <w:pPr>
              <w:spacing w:line="240" w:lineRule="auto"/>
              <w:jc w:val="left"/>
            </w:pPr>
            <w:r w:rsidRPr="0092006B">
              <w:t>Liquidity risk regulations</w:t>
            </w:r>
          </w:p>
        </w:tc>
        <w:tc>
          <w:tcPr>
            <w:tcW w:w="621" w:type="pct"/>
            <w:tcBorders>
              <w:top w:val="nil"/>
              <w:left w:val="nil"/>
              <w:bottom w:val="nil"/>
              <w:right w:val="nil"/>
            </w:tcBorders>
            <w:shd w:val="clear" w:color="auto" w:fill="auto"/>
            <w:noWrap/>
            <w:vAlign w:val="bottom"/>
            <w:hideMark/>
          </w:tcPr>
          <w:p w14:paraId="6AC46287" w14:textId="77777777" w:rsidR="003D7198" w:rsidRPr="0092006B" w:rsidRDefault="003D7198" w:rsidP="009F4DDB">
            <w:pPr>
              <w:spacing w:line="240" w:lineRule="auto"/>
              <w:jc w:val="left"/>
            </w:pPr>
            <w:r w:rsidRPr="0092006B">
              <w:t>-0.2027*</w:t>
            </w:r>
          </w:p>
        </w:tc>
        <w:tc>
          <w:tcPr>
            <w:tcW w:w="1266" w:type="pct"/>
            <w:tcBorders>
              <w:top w:val="nil"/>
              <w:left w:val="nil"/>
              <w:bottom w:val="nil"/>
              <w:right w:val="nil"/>
            </w:tcBorders>
            <w:shd w:val="clear" w:color="auto" w:fill="auto"/>
            <w:noWrap/>
            <w:vAlign w:val="bottom"/>
            <w:hideMark/>
          </w:tcPr>
          <w:p w14:paraId="0B04D759" w14:textId="77777777" w:rsidR="003D7198" w:rsidRPr="0092006B" w:rsidRDefault="003D7198" w:rsidP="009F4DDB">
            <w:pPr>
              <w:spacing w:line="240" w:lineRule="auto"/>
              <w:jc w:val="right"/>
            </w:pPr>
            <w:r w:rsidRPr="0092006B">
              <w:t>-0.0865</w:t>
            </w:r>
          </w:p>
        </w:tc>
        <w:tc>
          <w:tcPr>
            <w:tcW w:w="1106" w:type="pct"/>
            <w:tcBorders>
              <w:top w:val="nil"/>
              <w:left w:val="nil"/>
              <w:bottom w:val="nil"/>
              <w:right w:val="nil"/>
            </w:tcBorders>
            <w:shd w:val="clear" w:color="auto" w:fill="auto"/>
            <w:noWrap/>
            <w:vAlign w:val="bottom"/>
            <w:hideMark/>
          </w:tcPr>
          <w:p w14:paraId="53C62003" w14:textId="77777777" w:rsidR="003D7198" w:rsidRPr="0092006B" w:rsidRDefault="003D7198" w:rsidP="009F4DDB">
            <w:pPr>
              <w:spacing w:line="240" w:lineRule="auto"/>
              <w:jc w:val="right"/>
            </w:pPr>
            <w:r w:rsidRPr="0092006B">
              <w:t>1</w:t>
            </w:r>
          </w:p>
        </w:tc>
        <w:tc>
          <w:tcPr>
            <w:tcW w:w="995" w:type="pct"/>
            <w:tcBorders>
              <w:top w:val="nil"/>
              <w:left w:val="nil"/>
              <w:bottom w:val="nil"/>
              <w:right w:val="nil"/>
            </w:tcBorders>
            <w:shd w:val="clear" w:color="auto" w:fill="auto"/>
            <w:noWrap/>
            <w:vAlign w:val="bottom"/>
            <w:hideMark/>
          </w:tcPr>
          <w:p w14:paraId="72C6F325" w14:textId="77777777" w:rsidR="003D7198" w:rsidRPr="0092006B" w:rsidRDefault="003D7198" w:rsidP="009F4DDB">
            <w:pPr>
              <w:spacing w:line="240" w:lineRule="auto"/>
              <w:jc w:val="right"/>
            </w:pPr>
          </w:p>
        </w:tc>
      </w:tr>
      <w:tr w:rsidR="003D7198" w:rsidRPr="0092006B" w14:paraId="4920CC58" w14:textId="77777777" w:rsidTr="009F4DDB">
        <w:trPr>
          <w:trHeight w:val="300"/>
        </w:trPr>
        <w:tc>
          <w:tcPr>
            <w:tcW w:w="1013" w:type="pct"/>
            <w:tcBorders>
              <w:top w:val="nil"/>
              <w:left w:val="nil"/>
              <w:bottom w:val="single" w:sz="4" w:space="0" w:color="auto"/>
              <w:right w:val="nil"/>
            </w:tcBorders>
            <w:shd w:val="clear" w:color="auto" w:fill="auto"/>
            <w:noWrap/>
            <w:vAlign w:val="bottom"/>
            <w:hideMark/>
          </w:tcPr>
          <w:p w14:paraId="7D569EBD" w14:textId="77777777" w:rsidR="003D7198" w:rsidRPr="0092006B" w:rsidRDefault="003D7198" w:rsidP="009F4DDB">
            <w:pPr>
              <w:spacing w:line="240" w:lineRule="auto"/>
              <w:jc w:val="left"/>
            </w:pPr>
            <w:r w:rsidRPr="0092006B">
              <w:t>Credit risk regulations</w:t>
            </w:r>
          </w:p>
        </w:tc>
        <w:tc>
          <w:tcPr>
            <w:tcW w:w="621" w:type="pct"/>
            <w:tcBorders>
              <w:top w:val="nil"/>
              <w:left w:val="nil"/>
              <w:bottom w:val="single" w:sz="4" w:space="0" w:color="auto"/>
              <w:right w:val="nil"/>
            </w:tcBorders>
            <w:shd w:val="clear" w:color="auto" w:fill="auto"/>
            <w:noWrap/>
            <w:vAlign w:val="bottom"/>
            <w:hideMark/>
          </w:tcPr>
          <w:p w14:paraId="7F14ACF2" w14:textId="77777777" w:rsidR="003D7198" w:rsidRPr="0092006B" w:rsidRDefault="003D7198" w:rsidP="009F4DDB">
            <w:pPr>
              <w:spacing w:line="240" w:lineRule="auto"/>
              <w:jc w:val="left"/>
            </w:pPr>
            <w:r w:rsidRPr="0092006B">
              <w:t>-0.3562*</w:t>
            </w:r>
          </w:p>
        </w:tc>
        <w:tc>
          <w:tcPr>
            <w:tcW w:w="1266" w:type="pct"/>
            <w:tcBorders>
              <w:top w:val="nil"/>
              <w:left w:val="nil"/>
              <w:bottom w:val="single" w:sz="4" w:space="0" w:color="auto"/>
              <w:right w:val="nil"/>
            </w:tcBorders>
            <w:shd w:val="clear" w:color="auto" w:fill="auto"/>
            <w:noWrap/>
            <w:vAlign w:val="bottom"/>
            <w:hideMark/>
          </w:tcPr>
          <w:p w14:paraId="573BBC85" w14:textId="77777777" w:rsidR="003D7198" w:rsidRPr="0092006B" w:rsidRDefault="003D7198" w:rsidP="009F4DDB">
            <w:pPr>
              <w:spacing w:line="240" w:lineRule="auto"/>
              <w:jc w:val="right"/>
            </w:pPr>
            <w:r w:rsidRPr="0092006B">
              <w:t>-0.1351</w:t>
            </w:r>
          </w:p>
        </w:tc>
        <w:tc>
          <w:tcPr>
            <w:tcW w:w="1106" w:type="pct"/>
            <w:tcBorders>
              <w:top w:val="nil"/>
              <w:left w:val="nil"/>
              <w:bottom w:val="single" w:sz="4" w:space="0" w:color="auto"/>
              <w:right w:val="nil"/>
            </w:tcBorders>
            <w:shd w:val="clear" w:color="auto" w:fill="auto"/>
            <w:noWrap/>
            <w:vAlign w:val="bottom"/>
            <w:hideMark/>
          </w:tcPr>
          <w:p w14:paraId="29BC16DB" w14:textId="77777777" w:rsidR="003D7198" w:rsidRPr="0092006B" w:rsidRDefault="003D7198" w:rsidP="009F4DDB">
            <w:pPr>
              <w:spacing w:line="240" w:lineRule="auto"/>
              <w:jc w:val="right"/>
            </w:pPr>
            <w:r w:rsidRPr="0092006B">
              <w:t>-0.0604</w:t>
            </w:r>
          </w:p>
        </w:tc>
        <w:tc>
          <w:tcPr>
            <w:tcW w:w="995" w:type="pct"/>
            <w:tcBorders>
              <w:top w:val="nil"/>
              <w:left w:val="nil"/>
              <w:bottom w:val="single" w:sz="4" w:space="0" w:color="auto"/>
              <w:right w:val="nil"/>
            </w:tcBorders>
            <w:shd w:val="clear" w:color="auto" w:fill="auto"/>
            <w:noWrap/>
            <w:vAlign w:val="bottom"/>
            <w:hideMark/>
          </w:tcPr>
          <w:p w14:paraId="2FC58F8C" w14:textId="77777777" w:rsidR="003D7198" w:rsidRPr="0092006B" w:rsidRDefault="003D7198" w:rsidP="009F4DDB">
            <w:pPr>
              <w:spacing w:line="240" w:lineRule="auto"/>
              <w:jc w:val="right"/>
            </w:pPr>
            <w:r w:rsidRPr="0092006B">
              <w:t>1</w:t>
            </w:r>
          </w:p>
        </w:tc>
      </w:tr>
    </w:tbl>
    <w:p w14:paraId="0278DA53" w14:textId="49D39427" w:rsidR="003D7198" w:rsidRPr="00725FBE" w:rsidRDefault="003D7198" w:rsidP="00725FBE">
      <w:r w:rsidRPr="0092006B">
        <w:rPr>
          <w:b/>
          <w:bCs/>
        </w:rPr>
        <w:t>Source: Research data (2023)</w:t>
      </w:r>
    </w:p>
    <w:p w14:paraId="15CBAD06" w14:textId="28954B5C" w:rsidR="00055D83" w:rsidRPr="0092006B" w:rsidRDefault="00055D83" w:rsidP="00055D83">
      <w:pPr>
        <w:spacing w:line="240" w:lineRule="auto"/>
        <w:rPr>
          <w:rFonts w:cs="Times New Roman"/>
          <w:b/>
          <w:bCs/>
          <w:color w:val="000000" w:themeColor="text1"/>
          <w:sz w:val="28"/>
          <w:szCs w:val="28"/>
        </w:rPr>
      </w:pPr>
      <w:r w:rsidRPr="0092006B">
        <w:rPr>
          <w:rFonts w:cs="Times New Roman"/>
          <w:b/>
          <w:bCs/>
          <w:color w:val="000000" w:themeColor="text1"/>
          <w:sz w:val="28"/>
          <w:szCs w:val="28"/>
        </w:rPr>
        <w:t>4.5 Model Summary</w:t>
      </w:r>
    </w:p>
    <w:p w14:paraId="086E1C83" w14:textId="03488AA9" w:rsidR="00571F99" w:rsidRPr="0092006B" w:rsidRDefault="00571F99" w:rsidP="00055D83">
      <w:pPr>
        <w:spacing w:line="240" w:lineRule="auto"/>
        <w:rPr>
          <w:rFonts w:cs="Times New Roman"/>
          <w:b/>
          <w:bCs/>
          <w:color w:val="000000" w:themeColor="text1"/>
          <w:szCs w:val="24"/>
        </w:rPr>
      </w:pPr>
      <w:r w:rsidRPr="0092006B">
        <w:rPr>
          <w:b/>
          <w:bCs/>
        </w:rPr>
        <w:t>Prudential regulations and Return on Equity</w:t>
      </w:r>
    </w:p>
    <w:p w14:paraId="0E7EB43F" w14:textId="7EA9E5AD" w:rsidR="00870B4E" w:rsidRPr="0092006B" w:rsidRDefault="00571F99" w:rsidP="00055D83">
      <w:pPr>
        <w:spacing w:before="0" w:after="222" w:line="240" w:lineRule="auto"/>
        <w:rPr>
          <w:rFonts w:cs="Times New Roman"/>
          <w:color w:val="000000" w:themeColor="text1"/>
          <w:szCs w:val="24"/>
        </w:rPr>
      </w:pPr>
      <w:r w:rsidRPr="0092006B">
        <w:rPr>
          <w:rFonts w:cs="Times New Roman"/>
          <w:color w:val="000000" w:themeColor="text1"/>
          <w:szCs w:val="24"/>
        </w:rPr>
        <w:t>The study found that prudential regulations explain 14.9% of the variation in profitability, as indicated by an R Square value of 0.1489. This suggests that capital adequacy regulations have a negative but statistically insignificant impact on profitability, with a coefficient of β=-0.12022 and a p-value of 0.527, which is greater than 0.05. Thus, the capital adequacy requirements do not significantly influence return on equity (ROE). These findings align with Frederick's (2015) research, which also indicated capital adequacy’s limited effect on profitability. Consequently, the null hypothesis (H01) regarding the insignificance of capital adequacy regulations was not rejected. However, liquidity risk regulations showed a significant negative impact on ROE, with a coefficient of β=-0.10323 and a p-value of 0.015, confirming a negative relationship between profitability and liquidity risk laws. This result supports Golubeva et al. (2019), who found that higher liquidity risk reduces profitability. As a result, the null hypothesis (H02) regarding the insignificance of liquidity regulations was rejected. Additionally, credit risk regulations had a significant negative effect on profitability, with a coefficient of β=-35.4609 and a p-value of 0.008. This suggests that lowering credit risk regulations improves profitability, contrary to Gizaw et al. (2015), who found a positive impact of credit risk management on profitability. Therefore, the null hypothesis (H03) regarding the insignificance of credit risk regulations was also rejected</w:t>
      </w:r>
      <w:r w:rsidR="00F93EB9" w:rsidRPr="0092006B">
        <w:rPr>
          <w:rFonts w:cs="Times New Roman"/>
          <w:color w:val="000000" w:themeColor="text1"/>
          <w:szCs w:val="24"/>
        </w:rPr>
        <w:t>.</w:t>
      </w:r>
    </w:p>
    <w:p w14:paraId="37336008" w14:textId="7453EBEC" w:rsidR="00571F99" w:rsidRPr="0092006B" w:rsidRDefault="004071F4" w:rsidP="004071F4">
      <w:pPr>
        <w:rPr>
          <w:b/>
          <w:bCs/>
        </w:rPr>
      </w:pPr>
      <w:r w:rsidRPr="00807B00">
        <w:rPr>
          <w:b/>
          <w:bCs/>
        </w:rPr>
        <w:t>Table</w:t>
      </w:r>
      <w:r w:rsidRPr="0092006B">
        <w:rPr>
          <w:b/>
          <w:bCs/>
        </w:rPr>
        <w:t xml:space="preserve"> </w:t>
      </w:r>
      <w:r w:rsidR="007D261A">
        <w:rPr>
          <w:b/>
          <w:bCs/>
        </w:rPr>
        <w:t>4</w:t>
      </w:r>
      <w:r w:rsidRPr="0092006B">
        <w:rPr>
          <w:b/>
          <w:bCs/>
        </w:rPr>
        <w:t xml:space="preserve"> </w:t>
      </w:r>
      <w:r w:rsidR="00571F99" w:rsidRPr="0092006B">
        <w:rPr>
          <w:b/>
          <w:bCs/>
        </w:rPr>
        <w:t>Prudential regulations and Profitability (ROE)</w:t>
      </w:r>
    </w:p>
    <w:tbl>
      <w:tblPr>
        <w:tblW w:w="10145" w:type="dxa"/>
        <w:tblInd w:w="108" w:type="dxa"/>
        <w:tblLook w:val="04A0" w:firstRow="1" w:lastRow="0" w:firstColumn="1" w:lastColumn="0" w:noHBand="0" w:noVBand="1"/>
      </w:tblPr>
      <w:tblGrid>
        <w:gridCol w:w="3762"/>
        <w:gridCol w:w="1122"/>
        <w:gridCol w:w="1116"/>
        <w:gridCol w:w="912"/>
        <w:gridCol w:w="960"/>
        <w:gridCol w:w="1150"/>
        <w:gridCol w:w="1123"/>
      </w:tblGrid>
      <w:tr w:rsidR="00571F99" w:rsidRPr="0092006B" w14:paraId="61AF225B" w14:textId="77777777" w:rsidTr="004C3121">
        <w:trPr>
          <w:trHeight w:val="315"/>
        </w:trPr>
        <w:tc>
          <w:tcPr>
            <w:tcW w:w="6912" w:type="dxa"/>
            <w:gridSpan w:val="4"/>
            <w:tcBorders>
              <w:top w:val="single" w:sz="4" w:space="0" w:color="auto"/>
              <w:left w:val="nil"/>
              <w:bottom w:val="nil"/>
              <w:right w:val="nil"/>
            </w:tcBorders>
            <w:shd w:val="clear" w:color="auto" w:fill="auto"/>
            <w:noWrap/>
            <w:vAlign w:val="center"/>
            <w:hideMark/>
          </w:tcPr>
          <w:p w14:paraId="48F7EB79" w14:textId="77777777" w:rsidR="00571F99" w:rsidRPr="0092006B" w:rsidRDefault="00571F99" w:rsidP="009F4DDB">
            <w:pPr>
              <w:spacing w:line="240" w:lineRule="auto"/>
              <w:jc w:val="left"/>
              <w:rPr>
                <w:b/>
              </w:rPr>
            </w:pPr>
            <w:r w:rsidRPr="0092006B">
              <w:rPr>
                <w:rFonts w:eastAsia="CIDFont+F1"/>
                <w:b/>
              </w:rPr>
              <w:t>Regression results for Random-effects</w:t>
            </w:r>
          </w:p>
        </w:tc>
        <w:tc>
          <w:tcPr>
            <w:tcW w:w="960" w:type="dxa"/>
            <w:tcBorders>
              <w:top w:val="single" w:sz="4" w:space="0" w:color="auto"/>
              <w:left w:val="nil"/>
              <w:bottom w:val="nil"/>
              <w:right w:val="nil"/>
            </w:tcBorders>
            <w:shd w:val="clear" w:color="auto" w:fill="auto"/>
            <w:noWrap/>
            <w:vAlign w:val="bottom"/>
            <w:hideMark/>
          </w:tcPr>
          <w:p w14:paraId="6A114F41" w14:textId="77777777" w:rsidR="00571F99" w:rsidRPr="0092006B" w:rsidRDefault="00571F99" w:rsidP="009F4DDB">
            <w:pPr>
              <w:spacing w:line="240" w:lineRule="auto"/>
              <w:jc w:val="left"/>
            </w:pPr>
            <w:r w:rsidRPr="0092006B">
              <w:t> </w:t>
            </w:r>
          </w:p>
        </w:tc>
        <w:tc>
          <w:tcPr>
            <w:tcW w:w="1150" w:type="dxa"/>
            <w:tcBorders>
              <w:top w:val="single" w:sz="4" w:space="0" w:color="auto"/>
              <w:left w:val="nil"/>
              <w:bottom w:val="nil"/>
              <w:right w:val="nil"/>
            </w:tcBorders>
            <w:shd w:val="clear" w:color="auto" w:fill="auto"/>
            <w:noWrap/>
            <w:vAlign w:val="bottom"/>
            <w:hideMark/>
          </w:tcPr>
          <w:p w14:paraId="351A69B3" w14:textId="77777777" w:rsidR="00571F99" w:rsidRPr="0092006B" w:rsidRDefault="00571F99" w:rsidP="009F4DDB">
            <w:pPr>
              <w:spacing w:line="240" w:lineRule="auto"/>
              <w:jc w:val="left"/>
            </w:pPr>
            <w:r w:rsidRPr="0092006B">
              <w:t> </w:t>
            </w:r>
          </w:p>
        </w:tc>
        <w:tc>
          <w:tcPr>
            <w:tcW w:w="1123" w:type="dxa"/>
            <w:tcBorders>
              <w:top w:val="single" w:sz="4" w:space="0" w:color="auto"/>
              <w:left w:val="nil"/>
              <w:bottom w:val="nil"/>
              <w:right w:val="nil"/>
            </w:tcBorders>
            <w:shd w:val="clear" w:color="auto" w:fill="auto"/>
            <w:noWrap/>
            <w:vAlign w:val="bottom"/>
            <w:hideMark/>
          </w:tcPr>
          <w:p w14:paraId="5155BFE2" w14:textId="77777777" w:rsidR="00571F99" w:rsidRPr="0092006B" w:rsidRDefault="00571F99" w:rsidP="009F4DDB">
            <w:pPr>
              <w:spacing w:line="240" w:lineRule="auto"/>
              <w:jc w:val="left"/>
            </w:pPr>
            <w:r w:rsidRPr="0092006B">
              <w:t> </w:t>
            </w:r>
          </w:p>
        </w:tc>
      </w:tr>
      <w:tr w:rsidR="00571F99" w:rsidRPr="0092006B" w14:paraId="149BEBFB" w14:textId="77777777" w:rsidTr="004C3121">
        <w:trPr>
          <w:trHeight w:val="315"/>
        </w:trPr>
        <w:tc>
          <w:tcPr>
            <w:tcW w:w="3762" w:type="dxa"/>
            <w:tcBorders>
              <w:top w:val="nil"/>
              <w:left w:val="nil"/>
              <w:bottom w:val="nil"/>
              <w:right w:val="nil"/>
            </w:tcBorders>
            <w:shd w:val="clear" w:color="auto" w:fill="auto"/>
            <w:noWrap/>
            <w:vAlign w:val="center"/>
            <w:hideMark/>
          </w:tcPr>
          <w:p w14:paraId="16C5F46C" w14:textId="77777777" w:rsidR="00571F99" w:rsidRPr="0092006B" w:rsidRDefault="00571F99" w:rsidP="009F4DDB">
            <w:pPr>
              <w:spacing w:line="240" w:lineRule="auto"/>
              <w:jc w:val="left"/>
            </w:pPr>
            <w:r w:rsidRPr="0092006B">
              <w:rPr>
                <w:rFonts w:eastAsia="CIDFont+F1"/>
              </w:rPr>
              <w:t xml:space="preserve">Number of obs     </w:t>
            </w:r>
          </w:p>
        </w:tc>
        <w:tc>
          <w:tcPr>
            <w:tcW w:w="1122" w:type="dxa"/>
            <w:tcBorders>
              <w:top w:val="nil"/>
              <w:left w:val="nil"/>
              <w:bottom w:val="nil"/>
              <w:right w:val="nil"/>
            </w:tcBorders>
            <w:shd w:val="clear" w:color="auto" w:fill="auto"/>
            <w:noWrap/>
            <w:vAlign w:val="bottom"/>
            <w:hideMark/>
          </w:tcPr>
          <w:p w14:paraId="433E9446" w14:textId="77777777" w:rsidR="00571F99" w:rsidRPr="0092006B" w:rsidRDefault="00571F99" w:rsidP="009F4DDB">
            <w:pPr>
              <w:spacing w:line="240" w:lineRule="auto"/>
              <w:jc w:val="right"/>
            </w:pPr>
            <w:r w:rsidRPr="0092006B">
              <w:t>99</w:t>
            </w:r>
          </w:p>
        </w:tc>
        <w:tc>
          <w:tcPr>
            <w:tcW w:w="1116" w:type="dxa"/>
            <w:tcBorders>
              <w:top w:val="nil"/>
              <w:left w:val="nil"/>
              <w:bottom w:val="nil"/>
              <w:right w:val="nil"/>
            </w:tcBorders>
            <w:shd w:val="clear" w:color="auto" w:fill="auto"/>
            <w:noWrap/>
            <w:vAlign w:val="bottom"/>
            <w:hideMark/>
          </w:tcPr>
          <w:p w14:paraId="52CB0E61" w14:textId="77777777" w:rsidR="00571F99" w:rsidRPr="0092006B" w:rsidRDefault="00571F99" w:rsidP="009F4DDB">
            <w:pPr>
              <w:spacing w:line="240" w:lineRule="auto"/>
              <w:jc w:val="right"/>
            </w:pPr>
          </w:p>
        </w:tc>
        <w:tc>
          <w:tcPr>
            <w:tcW w:w="912" w:type="dxa"/>
            <w:tcBorders>
              <w:top w:val="nil"/>
              <w:left w:val="nil"/>
              <w:bottom w:val="nil"/>
              <w:right w:val="nil"/>
            </w:tcBorders>
            <w:shd w:val="clear" w:color="auto" w:fill="auto"/>
            <w:noWrap/>
            <w:vAlign w:val="bottom"/>
            <w:hideMark/>
          </w:tcPr>
          <w:p w14:paraId="52F38DFB" w14:textId="77777777" w:rsidR="00571F99" w:rsidRPr="0092006B" w:rsidRDefault="00571F99" w:rsidP="009F4DDB">
            <w:pPr>
              <w:spacing w:line="240" w:lineRule="auto"/>
              <w:jc w:val="left"/>
            </w:pPr>
          </w:p>
        </w:tc>
        <w:tc>
          <w:tcPr>
            <w:tcW w:w="960" w:type="dxa"/>
            <w:tcBorders>
              <w:top w:val="nil"/>
              <w:left w:val="nil"/>
              <w:bottom w:val="nil"/>
              <w:right w:val="nil"/>
            </w:tcBorders>
            <w:shd w:val="clear" w:color="auto" w:fill="auto"/>
            <w:noWrap/>
            <w:vAlign w:val="bottom"/>
            <w:hideMark/>
          </w:tcPr>
          <w:p w14:paraId="649AC1DB" w14:textId="77777777" w:rsidR="00571F99" w:rsidRPr="0092006B" w:rsidRDefault="00571F99" w:rsidP="009F4DDB">
            <w:pPr>
              <w:spacing w:line="240" w:lineRule="auto"/>
              <w:jc w:val="left"/>
            </w:pPr>
          </w:p>
        </w:tc>
        <w:tc>
          <w:tcPr>
            <w:tcW w:w="1150" w:type="dxa"/>
            <w:tcBorders>
              <w:top w:val="nil"/>
              <w:left w:val="nil"/>
              <w:bottom w:val="nil"/>
              <w:right w:val="nil"/>
            </w:tcBorders>
            <w:shd w:val="clear" w:color="auto" w:fill="auto"/>
            <w:noWrap/>
            <w:vAlign w:val="bottom"/>
            <w:hideMark/>
          </w:tcPr>
          <w:p w14:paraId="200BC913" w14:textId="77777777" w:rsidR="00571F99" w:rsidRPr="0092006B" w:rsidRDefault="00571F99" w:rsidP="009F4DDB">
            <w:pPr>
              <w:spacing w:line="240" w:lineRule="auto"/>
              <w:jc w:val="left"/>
            </w:pPr>
          </w:p>
        </w:tc>
        <w:tc>
          <w:tcPr>
            <w:tcW w:w="1123" w:type="dxa"/>
            <w:tcBorders>
              <w:top w:val="nil"/>
              <w:left w:val="nil"/>
              <w:bottom w:val="nil"/>
              <w:right w:val="nil"/>
            </w:tcBorders>
            <w:shd w:val="clear" w:color="auto" w:fill="auto"/>
            <w:noWrap/>
            <w:vAlign w:val="bottom"/>
            <w:hideMark/>
          </w:tcPr>
          <w:p w14:paraId="7F2DA18F" w14:textId="77777777" w:rsidR="00571F99" w:rsidRPr="0092006B" w:rsidRDefault="00571F99" w:rsidP="009F4DDB">
            <w:pPr>
              <w:spacing w:line="240" w:lineRule="auto"/>
              <w:jc w:val="left"/>
            </w:pPr>
          </w:p>
        </w:tc>
      </w:tr>
      <w:tr w:rsidR="00571F99" w:rsidRPr="0092006B" w14:paraId="0E2EC9A7" w14:textId="77777777" w:rsidTr="004C3121">
        <w:trPr>
          <w:trHeight w:val="315"/>
        </w:trPr>
        <w:tc>
          <w:tcPr>
            <w:tcW w:w="3762" w:type="dxa"/>
            <w:tcBorders>
              <w:top w:val="nil"/>
              <w:left w:val="nil"/>
              <w:bottom w:val="nil"/>
              <w:right w:val="nil"/>
            </w:tcBorders>
            <w:shd w:val="clear" w:color="auto" w:fill="auto"/>
            <w:noWrap/>
            <w:vAlign w:val="center"/>
            <w:hideMark/>
          </w:tcPr>
          <w:p w14:paraId="3CB8A791" w14:textId="77777777" w:rsidR="00571F99" w:rsidRPr="0092006B" w:rsidRDefault="00571F99" w:rsidP="009F4DDB">
            <w:pPr>
              <w:spacing w:line="240" w:lineRule="auto"/>
              <w:jc w:val="left"/>
            </w:pPr>
            <w:r w:rsidRPr="0092006B">
              <w:rPr>
                <w:rFonts w:eastAsia="CIDFont+F1"/>
              </w:rPr>
              <w:t>R-sq:</w:t>
            </w:r>
          </w:p>
        </w:tc>
        <w:tc>
          <w:tcPr>
            <w:tcW w:w="1122" w:type="dxa"/>
            <w:tcBorders>
              <w:top w:val="nil"/>
              <w:left w:val="nil"/>
              <w:bottom w:val="nil"/>
              <w:right w:val="nil"/>
            </w:tcBorders>
            <w:shd w:val="clear" w:color="auto" w:fill="auto"/>
            <w:noWrap/>
            <w:vAlign w:val="bottom"/>
            <w:hideMark/>
          </w:tcPr>
          <w:p w14:paraId="13014609" w14:textId="77777777" w:rsidR="00571F99" w:rsidRPr="0092006B" w:rsidRDefault="00571F99" w:rsidP="009F4DDB">
            <w:pPr>
              <w:spacing w:line="240" w:lineRule="auto"/>
              <w:jc w:val="right"/>
            </w:pPr>
            <w:r w:rsidRPr="0092006B">
              <w:t>0.1489</w:t>
            </w:r>
          </w:p>
        </w:tc>
        <w:tc>
          <w:tcPr>
            <w:tcW w:w="1116" w:type="dxa"/>
            <w:tcBorders>
              <w:top w:val="nil"/>
              <w:left w:val="nil"/>
              <w:bottom w:val="nil"/>
              <w:right w:val="nil"/>
            </w:tcBorders>
            <w:shd w:val="clear" w:color="auto" w:fill="auto"/>
            <w:noWrap/>
            <w:vAlign w:val="bottom"/>
            <w:hideMark/>
          </w:tcPr>
          <w:p w14:paraId="32E89160" w14:textId="77777777" w:rsidR="00571F99" w:rsidRPr="0092006B" w:rsidRDefault="00571F99" w:rsidP="009F4DDB">
            <w:pPr>
              <w:spacing w:line="240" w:lineRule="auto"/>
              <w:jc w:val="right"/>
            </w:pPr>
          </w:p>
        </w:tc>
        <w:tc>
          <w:tcPr>
            <w:tcW w:w="912" w:type="dxa"/>
            <w:tcBorders>
              <w:top w:val="nil"/>
              <w:left w:val="nil"/>
              <w:bottom w:val="nil"/>
              <w:right w:val="nil"/>
            </w:tcBorders>
            <w:shd w:val="clear" w:color="auto" w:fill="auto"/>
            <w:noWrap/>
            <w:vAlign w:val="bottom"/>
            <w:hideMark/>
          </w:tcPr>
          <w:p w14:paraId="1F1DDC01" w14:textId="77777777" w:rsidR="00571F99" w:rsidRPr="0092006B" w:rsidRDefault="00571F99" w:rsidP="009F4DDB">
            <w:pPr>
              <w:spacing w:line="240" w:lineRule="auto"/>
              <w:jc w:val="left"/>
            </w:pPr>
          </w:p>
        </w:tc>
        <w:tc>
          <w:tcPr>
            <w:tcW w:w="960" w:type="dxa"/>
            <w:tcBorders>
              <w:top w:val="nil"/>
              <w:left w:val="nil"/>
              <w:bottom w:val="nil"/>
              <w:right w:val="nil"/>
            </w:tcBorders>
            <w:shd w:val="clear" w:color="auto" w:fill="auto"/>
            <w:noWrap/>
            <w:vAlign w:val="bottom"/>
            <w:hideMark/>
          </w:tcPr>
          <w:p w14:paraId="578DDAD1" w14:textId="77777777" w:rsidR="00571F99" w:rsidRPr="0092006B" w:rsidRDefault="00571F99" w:rsidP="009F4DDB">
            <w:pPr>
              <w:spacing w:line="240" w:lineRule="auto"/>
              <w:jc w:val="left"/>
            </w:pPr>
          </w:p>
        </w:tc>
        <w:tc>
          <w:tcPr>
            <w:tcW w:w="1150" w:type="dxa"/>
            <w:tcBorders>
              <w:top w:val="nil"/>
              <w:left w:val="nil"/>
              <w:bottom w:val="nil"/>
              <w:right w:val="nil"/>
            </w:tcBorders>
            <w:shd w:val="clear" w:color="auto" w:fill="auto"/>
            <w:noWrap/>
            <w:vAlign w:val="bottom"/>
            <w:hideMark/>
          </w:tcPr>
          <w:p w14:paraId="78107690" w14:textId="77777777" w:rsidR="00571F99" w:rsidRPr="0092006B" w:rsidRDefault="00571F99" w:rsidP="009F4DDB">
            <w:pPr>
              <w:spacing w:line="240" w:lineRule="auto"/>
              <w:jc w:val="left"/>
            </w:pPr>
          </w:p>
        </w:tc>
        <w:tc>
          <w:tcPr>
            <w:tcW w:w="1123" w:type="dxa"/>
            <w:tcBorders>
              <w:top w:val="nil"/>
              <w:left w:val="nil"/>
              <w:bottom w:val="nil"/>
              <w:right w:val="nil"/>
            </w:tcBorders>
            <w:shd w:val="clear" w:color="auto" w:fill="auto"/>
            <w:noWrap/>
            <w:vAlign w:val="bottom"/>
            <w:hideMark/>
          </w:tcPr>
          <w:p w14:paraId="2AA16F12" w14:textId="77777777" w:rsidR="00571F99" w:rsidRPr="0092006B" w:rsidRDefault="00571F99" w:rsidP="009F4DDB">
            <w:pPr>
              <w:spacing w:line="240" w:lineRule="auto"/>
              <w:jc w:val="left"/>
            </w:pPr>
          </w:p>
        </w:tc>
      </w:tr>
      <w:tr w:rsidR="00571F99" w:rsidRPr="0092006B" w14:paraId="347BC70F" w14:textId="77777777" w:rsidTr="004C3121">
        <w:trPr>
          <w:trHeight w:val="315"/>
        </w:trPr>
        <w:tc>
          <w:tcPr>
            <w:tcW w:w="3762" w:type="dxa"/>
            <w:tcBorders>
              <w:top w:val="nil"/>
              <w:left w:val="nil"/>
              <w:bottom w:val="nil"/>
              <w:right w:val="nil"/>
            </w:tcBorders>
            <w:shd w:val="clear" w:color="auto" w:fill="auto"/>
            <w:noWrap/>
            <w:vAlign w:val="center"/>
            <w:hideMark/>
          </w:tcPr>
          <w:p w14:paraId="33FAC36A" w14:textId="77777777" w:rsidR="00571F99" w:rsidRPr="0092006B" w:rsidRDefault="00571F99" w:rsidP="009F4DDB">
            <w:pPr>
              <w:spacing w:line="240" w:lineRule="auto"/>
              <w:jc w:val="left"/>
            </w:pPr>
            <w:r w:rsidRPr="0092006B">
              <w:rPr>
                <w:rFonts w:eastAsia="CIDFont+F1"/>
              </w:rPr>
              <w:t xml:space="preserve">Wald chi2(3)   </w:t>
            </w:r>
          </w:p>
        </w:tc>
        <w:tc>
          <w:tcPr>
            <w:tcW w:w="1122" w:type="dxa"/>
            <w:tcBorders>
              <w:top w:val="nil"/>
              <w:left w:val="nil"/>
              <w:bottom w:val="nil"/>
              <w:right w:val="nil"/>
            </w:tcBorders>
            <w:shd w:val="clear" w:color="auto" w:fill="auto"/>
            <w:noWrap/>
            <w:vAlign w:val="bottom"/>
            <w:hideMark/>
          </w:tcPr>
          <w:p w14:paraId="362798BE" w14:textId="77777777" w:rsidR="00571F99" w:rsidRPr="0092006B" w:rsidRDefault="00571F99" w:rsidP="009F4DDB">
            <w:pPr>
              <w:spacing w:line="240" w:lineRule="auto"/>
              <w:jc w:val="right"/>
            </w:pPr>
            <w:r w:rsidRPr="0092006B">
              <w:t>14.62</w:t>
            </w:r>
          </w:p>
        </w:tc>
        <w:tc>
          <w:tcPr>
            <w:tcW w:w="1116" w:type="dxa"/>
            <w:tcBorders>
              <w:top w:val="nil"/>
              <w:left w:val="nil"/>
              <w:bottom w:val="nil"/>
              <w:right w:val="nil"/>
            </w:tcBorders>
            <w:shd w:val="clear" w:color="auto" w:fill="auto"/>
            <w:noWrap/>
            <w:vAlign w:val="bottom"/>
            <w:hideMark/>
          </w:tcPr>
          <w:p w14:paraId="281B85B2" w14:textId="77777777" w:rsidR="00571F99" w:rsidRPr="0092006B" w:rsidRDefault="00571F99" w:rsidP="009F4DDB">
            <w:pPr>
              <w:spacing w:line="240" w:lineRule="auto"/>
              <w:jc w:val="right"/>
            </w:pPr>
          </w:p>
        </w:tc>
        <w:tc>
          <w:tcPr>
            <w:tcW w:w="912" w:type="dxa"/>
            <w:tcBorders>
              <w:top w:val="nil"/>
              <w:left w:val="nil"/>
              <w:bottom w:val="nil"/>
              <w:right w:val="nil"/>
            </w:tcBorders>
            <w:shd w:val="clear" w:color="auto" w:fill="auto"/>
            <w:noWrap/>
            <w:vAlign w:val="bottom"/>
            <w:hideMark/>
          </w:tcPr>
          <w:p w14:paraId="42E4BAE1" w14:textId="77777777" w:rsidR="00571F99" w:rsidRPr="0092006B" w:rsidRDefault="00571F99" w:rsidP="009F4DDB">
            <w:pPr>
              <w:spacing w:line="240" w:lineRule="auto"/>
              <w:jc w:val="left"/>
            </w:pPr>
          </w:p>
        </w:tc>
        <w:tc>
          <w:tcPr>
            <w:tcW w:w="960" w:type="dxa"/>
            <w:tcBorders>
              <w:top w:val="nil"/>
              <w:left w:val="nil"/>
              <w:bottom w:val="nil"/>
              <w:right w:val="nil"/>
            </w:tcBorders>
            <w:shd w:val="clear" w:color="auto" w:fill="auto"/>
            <w:noWrap/>
            <w:vAlign w:val="bottom"/>
            <w:hideMark/>
          </w:tcPr>
          <w:p w14:paraId="5BE232F0" w14:textId="77777777" w:rsidR="00571F99" w:rsidRPr="0092006B" w:rsidRDefault="00571F99" w:rsidP="009F4DDB">
            <w:pPr>
              <w:spacing w:line="240" w:lineRule="auto"/>
              <w:jc w:val="left"/>
            </w:pPr>
          </w:p>
        </w:tc>
        <w:tc>
          <w:tcPr>
            <w:tcW w:w="1150" w:type="dxa"/>
            <w:tcBorders>
              <w:top w:val="nil"/>
              <w:left w:val="nil"/>
              <w:bottom w:val="nil"/>
              <w:right w:val="nil"/>
            </w:tcBorders>
            <w:shd w:val="clear" w:color="auto" w:fill="auto"/>
            <w:noWrap/>
            <w:vAlign w:val="bottom"/>
            <w:hideMark/>
          </w:tcPr>
          <w:p w14:paraId="0FC8FBEE" w14:textId="77777777" w:rsidR="00571F99" w:rsidRPr="0092006B" w:rsidRDefault="00571F99" w:rsidP="009F4DDB">
            <w:pPr>
              <w:spacing w:line="240" w:lineRule="auto"/>
              <w:jc w:val="left"/>
            </w:pPr>
          </w:p>
        </w:tc>
        <w:tc>
          <w:tcPr>
            <w:tcW w:w="1123" w:type="dxa"/>
            <w:tcBorders>
              <w:top w:val="nil"/>
              <w:left w:val="nil"/>
              <w:bottom w:val="nil"/>
              <w:right w:val="nil"/>
            </w:tcBorders>
            <w:shd w:val="clear" w:color="auto" w:fill="auto"/>
            <w:noWrap/>
            <w:vAlign w:val="bottom"/>
            <w:hideMark/>
          </w:tcPr>
          <w:p w14:paraId="2C758BAA" w14:textId="77777777" w:rsidR="00571F99" w:rsidRPr="0092006B" w:rsidRDefault="00571F99" w:rsidP="009F4DDB">
            <w:pPr>
              <w:spacing w:line="240" w:lineRule="auto"/>
              <w:jc w:val="left"/>
            </w:pPr>
          </w:p>
        </w:tc>
      </w:tr>
      <w:tr w:rsidR="00571F99" w:rsidRPr="0092006B" w14:paraId="7FEA11C7" w14:textId="77777777" w:rsidTr="004C3121">
        <w:trPr>
          <w:trHeight w:val="315"/>
        </w:trPr>
        <w:tc>
          <w:tcPr>
            <w:tcW w:w="3762" w:type="dxa"/>
            <w:tcBorders>
              <w:top w:val="nil"/>
              <w:left w:val="nil"/>
              <w:bottom w:val="nil"/>
              <w:right w:val="nil"/>
            </w:tcBorders>
            <w:shd w:val="clear" w:color="auto" w:fill="auto"/>
            <w:noWrap/>
            <w:vAlign w:val="center"/>
            <w:hideMark/>
          </w:tcPr>
          <w:p w14:paraId="0B905D2C" w14:textId="77777777" w:rsidR="00571F99" w:rsidRPr="0092006B" w:rsidRDefault="00571F99" w:rsidP="009F4DDB">
            <w:pPr>
              <w:spacing w:line="240" w:lineRule="auto"/>
              <w:jc w:val="left"/>
            </w:pPr>
            <w:r w:rsidRPr="0092006B">
              <w:rPr>
                <w:rFonts w:eastAsia="CIDFont+F1"/>
              </w:rPr>
              <w:t xml:space="preserve">Prob &gt; chi2       </w:t>
            </w:r>
          </w:p>
        </w:tc>
        <w:tc>
          <w:tcPr>
            <w:tcW w:w="1122" w:type="dxa"/>
            <w:tcBorders>
              <w:top w:val="nil"/>
              <w:left w:val="nil"/>
              <w:bottom w:val="nil"/>
              <w:right w:val="nil"/>
            </w:tcBorders>
            <w:shd w:val="clear" w:color="auto" w:fill="auto"/>
            <w:noWrap/>
            <w:vAlign w:val="bottom"/>
            <w:hideMark/>
          </w:tcPr>
          <w:p w14:paraId="3C5328D7" w14:textId="77777777" w:rsidR="00571F99" w:rsidRPr="0092006B" w:rsidRDefault="00571F99" w:rsidP="009F4DDB">
            <w:pPr>
              <w:spacing w:line="240" w:lineRule="auto"/>
              <w:jc w:val="right"/>
            </w:pPr>
            <w:r w:rsidRPr="0092006B">
              <w:t>0.0022</w:t>
            </w:r>
          </w:p>
        </w:tc>
        <w:tc>
          <w:tcPr>
            <w:tcW w:w="1116" w:type="dxa"/>
            <w:tcBorders>
              <w:top w:val="nil"/>
              <w:left w:val="nil"/>
              <w:bottom w:val="nil"/>
              <w:right w:val="nil"/>
            </w:tcBorders>
            <w:shd w:val="clear" w:color="auto" w:fill="auto"/>
            <w:noWrap/>
            <w:vAlign w:val="bottom"/>
            <w:hideMark/>
          </w:tcPr>
          <w:p w14:paraId="5D52A15C" w14:textId="77777777" w:rsidR="00571F99" w:rsidRPr="0092006B" w:rsidRDefault="00571F99" w:rsidP="009F4DDB">
            <w:pPr>
              <w:spacing w:line="240" w:lineRule="auto"/>
              <w:jc w:val="right"/>
            </w:pPr>
          </w:p>
        </w:tc>
        <w:tc>
          <w:tcPr>
            <w:tcW w:w="912" w:type="dxa"/>
            <w:tcBorders>
              <w:top w:val="nil"/>
              <w:left w:val="nil"/>
              <w:bottom w:val="nil"/>
              <w:right w:val="nil"/>
            </w:tcBorders>
            <w:shd w:val="clear" w:color="auto" w:fill="auto"/>
            <w:noWrap/>
            <w:vAlign w:val="bottom"/>
            <w:hideMark/>
          </w:tcPr>
          <w:p w14:paraId="46053DC8" w14:textId="77777777" w:rsidR="00571F99" w:rsidRPr="0092006B" w:rsidRDefault="00571F99" w:rsidP="009F4DDB">
            <w:pPr>
              <w:spacing w:line="240" w:lineRule="auto"/>
              <w:jc w:val="left"/>
            </w:pPr>
          </w:p>
        </w:tc>
        <w:tc>
          <w:tcPr>
            <w:tcW w:w="960" w:type="dxa"/>
            <w:tcBorders>
              <w:top w:val="nil"/>
              <w:left w:val="nil"/>
              <w:bottom w:val="nil"/>
              <w:right w:val="nil"/>
            </w:tcBorders>
            <w:shd w:val="clear" w:color="auto" w:fill="auto"/>
            <w:noWrap/>
            <w:vAlign w:val="bottom"/>
            <w:hideMark/>
          </w:tcPr>
          <w:p w14:paraId="5220090E" w14:textId="77777777" w:rsidR="00571F99" w:rsidRPr="0092006B" w:rsidRDefault="00571F99" w:rsidP="009F4DDB">
            <w:pPr>
              <w:spacing w:line="240" w:lineRule="auto"/>
              <w:jc w:val="left"/>
            </w:pPr>
          </w:p>
        </w:tc>
        <w:tc>
          <w:tcPr>
            <w:tcW w:w="1150" w:type="dxa"/>
            <w:tcBorders>
              <w:top w:val="nil"/>
              <w:left w:val="nil"/>
              <w:bottom w:val="nil"/>
              <w:right w:val="nil"/>
            </w:tcBorders>
            <w:shd w:val="clear" w:color="auto" w:fill="auto"/>
            <w:noWrap/>
            <w:vAlign w:val="bottom"/>
            <w:hideMark/>
          </w:tcPr>
          <w:p w14:paraId="32085167" w14:textId="77777777" w:rsidR="00571F99" w:rsidRPr="0092006B" w:rsidRDefault="00571F99" w:rsidP="009F4DDB">
            <w:pPr>
              <w:spacing w:line="240" w:lineRule="auto"/>
              <w:jc w:val="left"/>
            </w:pPr>
          </w:p>
        </w:tc>
        <w:tc>
          <w:tcPr>
            <w:tcW w:w="1123" w:type="dxa"/>
            <w:tcBorders>
              <w:top w:val="nil"/>
              <w:left w:val="nil"/>
              <w:bottom w:val="nil"/>
              <w:right w:val="nil"/>
            </w:tcBorders>
            <w:shd w:val="clear" w:color="auto" w:fill="auto"/>
            <w:noWrap/>
            <w:vAlign w:val="bottom"/>
            <w:hideMark/>
          </w:tcPr>
          <w:p w14:paraId="0427A4CD" w14:textId="77777777" w:rsidR="00571F99" w:rsidRPr="0092006B" w:rsidRDefault="00571F99" w:rsidP="009F4DDB">
            <w:pPr>
              <w:spacing w:line="240" w:lineRule="auto"/>
              <w:jc w:val="left"/>
            </w:pPr>
          </w:p>
        </w:tc>
      </w:tr>
      <w:tr w:rsidR="00571F99" w:rsidRPr="0092006B" w14:paraId="5F026821" w14:textId="77777777" w:rsidTr="004C3121">
        <w:trPr>
          <w:trHeight w:val="315"/>
        </w:trPr>
        <w:tc>
          <w:tcPr>
            <w:tcW w:w="3762" w:type="dxa"/>
            <w:tcBorders>
              <w:top w:val="single" w:sz="4" w:space="0" w:color="auto"/>
              <w:left w:val="nil"/>
              <w:bottom w:val="single" w:sz="4" w:space="0" w:color="auto"/>
              <w:right w:val="nil"/>
            </w:tcBorders>
            <w:shd w:val="clear" w:color="auto" w:fill="auto"/>
            <w:noWrap/>
            <w:vAlign w:val="bottom"/>
            <w:hideMark/>
          </w:tcPr>
          <w:p w14:paraId="51B9002B" w14:textId="77777777" w:rsidR="00571F99" w:rsidRPr="0092006B" w:rsidRDefault="00571F99" w:rsidP="009F4DDB">
            <w:pPr>
              <w:spacing w:line="240" w:lineRule="auto"/>
              <w:jc w:val="left"/>
              <w:rPr>
                <w:b/>
              </w:rPr>
            </w:pPr>
            <w:r w:rsidRPr="0092006B">
              <w:rPr>
                <w:b/>
              </w:rPr>
              <w:lastRenderedPageBreak/>
              <w:t>ROE</w:t>
            </w:r>
          </w:p>
        </w:tc>
        <w:tc>
          <w:tcPr>
            <w:tcW w:w="1122" w:type="dxa"/>
            <w:tcBorders>
              <w:top w:val="single" w:sz="4" w:space="0" w:color="auto"/>
              <w:left w:val="nil"/>
              <w:bottom w:val="single" w:sz="4" w:space="0" w:color="auto"/>
              <w:right w:val="nil"/>
            </w:tcBorders>
            <w:shd w:val="clear" w:color="auto" w:fill="auto"/>
            <w:noWrap/>
            <w:vAlign w:val="center"/>
            <w:hideMark/>
          </w:tcPr>
          <w:p w14:paraId="41485BA5" w14:textId="77777777" w:rsidR="00571F99" w:rsidRPr="0092006B" w:rsidRDefault="00571F99" w:rsidP="009F4DDB">
            <w:pPr>
              <w:spacing w:line="240" w:lineRule="auto"/>
              <w:jc w:val="left"/>
              <w:rPr>
                <w:b/>
              </w:rPr>
            </w:pPr>
            <w:r w:rsidRPr="0092006B">
              <w:rPr>
                <w:b/>
              </w:rPr>
              <w:t>Coef.</w:t>
            </w:r>
          </w:p>
        </w:tc>
        <w:tc>
          <w:tcPr>
            <w:tcW w:w="1116" w:type="dxa"/>
            <w:tcBorders>
              <w:top w:val="single" w:sz="4" w:space="0" w:color="auto"/>
              <w:left w:val="nil"/>
              <w:bottom w:val="single" w:sz="4" w:space="0" w:color="auto"/>
              <w:right w:val="nil"/>
            </w:tcBorders>
            <w:shd w:val="clear" w:color="auto" w:fill="auto"/>
            <w:noWrap/>
            <w:vAlign w:val="center"/>
            <w:hideMark/>
          </w:tcPr>
          <w:p w14:paraId="0FF0A39C" w14:textId="77777777" w:rsidR="00571F99" w:rsidRPr="0092006B" w:rsidRDefault="00571F99" w:rsidP="009F4DDB">
            <w:pPr>
              <w:spacing w:line="240" w:lineRule="auto"/>
              <w:jc w:val="left"/>
              <w:rPr>
                <w:b/>
              </w:rPr>
            </w:pPr>
            <w:r w:rsidRPr="0092006B">
              <w:rPr>
                <w:b/>
              </w:rPr>
              <w:t>Std. Err.</w:t>
            </w:r>
          </w:p>
        </w:tc>
        <w:tc>
          <w:tcPr>
            <w:tcW w:w="912" w:type="dxa"/>
            <w:tcBorders>
              <w:top w:val="single" w:sz="4" w:space="0" w:color="auto"/>
              <w:left w:val="nil"/>
              <w:bottom w:val="single" w:sz="4" w:space="0" w:color="auto"/>
              <w:right w:val="nil"/>
            </w:tcBorders>
            <w:shd w:val="clear" w:color="auto" w:fill="auto"/>
            <w:noWrap/>
            <w:vAlign w:val="center"/>
            <w:hideMark/>
          </w:tcPr>
          <w:p w14:paraId="1DC142E8" w14:textId="77777777" w:rsidR="00571F99" w:rsidRPr="0092006B" w:rsidRDefault="00571F99" w:rsidP="009F4DDB">
            <w:pPr>
              <w:spacing w:line="240" w:lineRule="auto"/>
              <w:jc w:val="left"/>
              <w:rPr>
                <w:b/>
              </w:rPr>
            </w:pPr>
            <w:r w:rsidRPr="0092006B">
              <w:rPr>
                <w:b/>
              </w:rPr>
              <w:t>z</w:t>
            </w:r>
          </w:p>
        </w:tc>
        <w:tc>
          <w:tcPr>
            <w:tcW w:w="960" w:type="dxa"/>
            <w:tcBorders>
              <w:top w:val="single" w:sz="4" w:space="0" w:color="auto"/>
              <w:left w:val="nil"/>
              <w:bottom w:val="single" w:sz="4" w:space="0" w:color="auto"/>
              <w:right w:val="nil"/>
            </w:tcBorders>
            <w:shd w:val="clear" w:color="auto" w:fill="auto"/>
            <w:noWrap/>
            <w:vAlign w:val="center"/>
            <w:hideMark/>
          </w:tcPr>
          <w:p w14:paraId="1A3090B4" w14:textId="77777777" w:rsidR="00571F99" w:rsidRPr="0092006B" w:rsidRDefault="00571F99" w:rsidP="009F4DDB">
            <w:pPr>
              <w:spacing w:line="240" w:lineRule="auto"/>
              <w:jc w:val="left"/>
              <w:rPr>
                <w:b/>
              </w:rPr>
            </w:pPr>
            <w:r w:rsidRPr="0092006B">
              <w:rPr>
                <w:b/>
              </w:rPr>
              <w:t>P&gt;|z|</w:t>
            </w:r>
          </w:p>
        </w:tc>
        <w:tc>
          <w:tcPr>
            <w:tcW w:w="1150" w:type="dxa"/>
            <w:tcBorders>
              <w:top w:val="single" w:sz="4" w:space="0" w:color="auto"/>
              <w:left w:val="nil"/>
              <w:bottom w:val="single" w:sz="4" w:space="0" w:color="auto"/>
              <w:right w:val="nil"/>
            </w:tcBorders>
            <w:shd w:val="clear" w:color="auto" w:fill="auto"/>
            <w:noWrap/>
            <w:vAlign w:val="center"/>
            <w:hideMark/>
          </w:tcPr>
          <w:p w14:paraId="542C1BBC" w14:textId="77777777" w:rsidR="00571F99" w:rsidRPr="0092006B" w:rsidRDefault="00571F99" w:rsidP="009F4DDB">
            <w:pPr>
              <w:spacing w:line="240" w:lineRule="auto"/>
              <w:jc w:val="left"/>
              <w:rPr>
                <w:b/>
              </w:rPr>
            </w:pPr>
            <w:r w:rsidRPr="0092006B">
              <w:rPr>
                <w:b/>
              </w:rPr>
              <w:t>[95% Conf.</w:t>
            </w:r>
          </w:p>
        </w:tc>
        <w:tc>
          <w:tcPr>
            <w:tcW w:w="1123" w:type="dxa"/>
            <w:tcBorders>
              <w:top w:val="single" w:sz="4" w:space="0" w:color="auto"/>
              <w:left w:val="nil"/>
              <w:bottom w:val="single" w:sz="4" w:space="0" w:color="auto"/>
              <w:right w:val="nil"/>
            </w:tcBorders>
            <w:shd w:val="clear" w:color="auto" w:fill="auto"/>
            <w:noWrap/>
            <w:vAlign w:val="center"/>
            <w:hideMark/>
          </w:tcPr>
          <w:p w14:paraId="3B30ED0A" w14:textId="77777777" w:rsidR="00571F99" w:rsidRPr="0092006B" w:rsidRDefault="00571F99" w:rsidP="009F4DDB">
            <w:pPr>
              <w:spacing w:line="240" w:lineRule="auto"/>
              <w:jc w:val="left"/>
              <w:rPr>
                <w:b/>
              </w:rPr>
            </w:pPr>
            <w:r w:rsidRPr="0092006B">
              <w:rPr>
                <w:b/>
              </w:rPr>
              <w:t>Interval]</w:t>
            </w:r>
          </w:p>
        </w:tc>
      </w:tr>
      <w:tr w:rsidR="00571F99" w:rsidRPr="0092006B" w14:paraId="46D4A738" w14:textId="77777777" w:rsidTr="004C3121">
        <w:trPr>
          <w:trHeight w:val="381"/>
        </w:trPr>
        <w:tc>
          <w:tcPr>
            <w:tcW w:w="3762" w:type="dxa"/>
            <w:tcBorders>
              <w:top w:val="nil"/>
              <w:left w:val="nil"/>
              <w:bottom w:val="nil"/>
              <w:right w:val="nil"/>
            </w:tcBorders>
            <w:shd w:val="clear" w:color="auto" w:fill="auto"/>
            <w:noWrap/>
            <w:vAlign w:val="bottom"/>
            <w:hideMark/>
          </w:tcPr>
          <w:p w14:paraId="7A61AF79" w14:textId="77777777" w:rsidR="00571F99" w:rsidRPr="0092006B" w:rsidRDefault="00571F99" w:rsidP="009F4DDB">
            <w:pPr>
              <w:spacing w:line="240" w:lineRule="auto"/>
              <w:jc w:val="left"/>
            </w:pPr>
            <w:r w:rsidRPr="0092006B">
              <w:t>Capital adequacy regulations</w:t>
            </w:r>
          </w:p>
        </w:tc>
        <w:tc>
          <w:tcPr>
            <w:tcW w:w="1122" w:type="dxa"/>
            <w:tcBorders>
              <w:top w:val="nil"/>
              <w:left w:val="nil"/>
              <w:bottom w:val="nil"/>
              <w:right w:val="nil"/>
            </w:tcBorders>
            <w:shd w:val="clear" w:color="auto" w:fill="auto"/>
            <w:noWrap/>
            <w:vAlign w:val="bottom"/>
            <w:hideMark/>
          </w:tcPr>
          <w:p w14:paraId="1095ADF8" w14:textId="77777777" w:rsidR="00571F99" w:rsidRPr="0092006B" w:rsidRDefault="00571F99" w:rsidP="009F4DDB">
            <w:pPr>
              <w:spacing w:line="240" w:lineRule="auto"/>
              <w:jc w:val="right"/>
            </w:pPr>
            <w:r w:rsidRPr="0092006B">
              <w:t>-0.12022</w:t>
            </w:r>
          </w:p>
        </w:tc>
        <w:tc>
          <w:tcPr>
            <w:tcW w:w="1116" w:type="dxa"/>
            <w:tcBorders>
              <w:top w:val="nil"/>
              <w:left w:val="nil"/>
              <w:bottom w:val="nil"/>
              <w:right w:val="nil"/>
            </w:tcBorders>
            <w:shd w:val="clear" w:color="auto" w:fill="auto"/>
            <w:noWrap/>
            <w:vAlign w:val="bottom"/>
            <w:hideMark/>
          </w:tcPr>
          <w:p w14:paraId="593FC40E" w14:textId="77777777" w:rsidR="00571F99" w:rsidRPr="0092006B" w:rsidRDefault="00571F99" w:rsidP="009F4DDB">
            <w:pPr>
              <w:spacing w:line="240" w:lineRule="auto"/>
              <w:jc w:val="right"/>
            </w:pPr>
            <w:r w:rsidRPr="0092006B">
              <w:t>0.190186</w:t>
            </w:r>
          </w:p>
        </w:tc>
        <w:tc>
          <w:tcPr>
            <w:tcW w:w="912" w:type="dxa"/>
            <w:tcBorders>
              <w:top w:val="nil"/>
              <w:left w:val="nil"/>
              <w:bottom w:val="nil"/>
              <w:right w:val="nil"/>
            </w:tcBorders>
            <w:shd w:val="clear" w:color="auto" w:fill="auto"/>
            <w:noWrap/>
            <w:vAlign w:val="bottom"/>
            <w:hideMark/>
          </w:tcPr>
          <w:p w14:paraId="7E51396E" w14:textId="77777777" w:rsidR="00571F99" w:rsidRPr="0092006B" w:rsidRDefault="00571F99" w:rsidP="009F4DDB">
            <w:pPr>
              <w:spacing w:line="240" w:lineRule="auto"/>
              <w:jc w:val="right"/>
            </w:pPr>
            <w:r w:rsidRPr="0092006B">
              <w:t>-0.63</w:t>
            </w:r>
          </w:p>
        </w:tc>
        <w:tc>
          <w:tcPr>
            <w:tcW w:w="960" w:type="dxa"/>
            <w:tcBorders>
              <w:top w:val="nil"/>
              <w:left w:val="nil"/>
              <w:bottom w:val="nil"/>
              <w:right w:val="nil"/>
            </w:tcBorders>
            <w:shd w:val="clear" w:color="auto" w:fill="auto"/>
            <w:noWrap/>
            <w:vAlign w:val="bottom"/>
            <w:hideMark/>
          </w:tcPr>
          <w:p w14:paraId="0D1523D4" w14:textId="77777777" w:rsidR="00571F99" w:rsidRPr="0092006B" w:rsidRDefault="00571F99" w:rsidP="009F4DDB">
            <w:pPr>
              <w:spacing w:line="240" w:lineRule="auto"/>
              <w:jc w:val="right"/>
            </w:pPr>
            <w:r w:rsidRPr="0092006B">
              <w:t>0.527</w:t>
            </w:r>
          </w:p>
        </w:tc>
        <w:tc>
          <w:tcPr>
            <w:tcW w:w="1150" w:type="dxa"/>
            <w:tcBorders>
              <w:top w:val="nil"/>
              <w:left w:val="nil"/>
              <w:bottom w:val="nil"/>
              <w:right w:val="nil"/>
            </w:tcBorders>
            <w:shd w:val="clear" w:color="auto" w:fill="auto"/>
            <w:noWrap/>
            <w:vAlign w:val="bottom"/>
            <w:hideMark/>
          </w:tcPr>
          <w:p w14:paraId="7F0C4105" w14:textId="77777777" w:rsidR="00571F99" w:rsidRPr="0092006B" w:rsidRDefault="00571F99" w:rsidP="009F4DDB">
            <w:pPr>
              <w:spacing w:line="240" w:lineRule="auto"/>
              <w:jc w:val="right"/>
            </w:pPr>
            <w:r w:rsidRPr="0092006B">
              <w:t>-0.49298</w:t>
            </w:r>
          </w:p>
        </w:tc>
        <w:tc>
          <w:tcPr>
            <w:tcW w:w="1123" w:type="dxa"/>
            <w:tcBorders>
              <w:top w:val="nil"/>
              <w:left w:val="nil"/>
              <w:bottom w:val="nil"/>
              <w:right w:val="nil"/>
            </w:tcBorders>
            <w:shd w:val="clear" w:color="auto" w:fill="auto"/>
            <w:noWrap/>
            <w:vAlign w:val="bottom"/>
            <w:hideMark/>
          </w:tcPr>
          <w:p w14:paraId="14276830" w14:textId="77777777" w:rsidR="00571F99" w:rsidRPr="0092006B" w:rsidRDefault="00571F99" w:rsidP="009F4DDB">
            <w:pPr>
              <w:spacing w:line="240" w:lineRule="auto"/>
              <w:jc w:val="right"/>
            </w:pPr>
            <w:r w:rsidRPr="0092006B">
              <w:t>0.252534</w:t>
            </w:r>
          </w:p>
        </w:tc>
      </w:tr>
      <w:tr w:rsidR="00571F99" w:rsidRPr="0092006B" w14:paraId="2376BAF5" w14:textId="77777777" w:rsidTr="004C3121">
        <w:trPr>
          <w:trHeight w:val="300"/>
        </w:trPr>
        <w:tc>
          <w:tcPr>
            <w:tcW w:w="3762" w:type="dxa"/>
            <w:tcBorders>
              <w:top w:val="nil"/>
              <w:left w:val="nil"/>
              <w:bottom w:val="nil"/>
              <w:right w:val="nil"/>
            </w:tcBorders>
            <w:shd w:val="clear" w:color="auto" w:fill="auto"/>
            <w:noWrap/>
            <w:vAlign w:val="bottom"/>
            <w:hideMark/>
          </w:tcPr>
          <w:p w14:paraId="671FE882" w14:textId="77777777" w:rsidR="00571F99" w:rsidRPr="0092006B" w:rsidRDefault="00571F99" w:rsidP="009F4DDB">
            <w:pPr>
              <w:spacing w:line="240" w:lineRule="auto"/>
              <w:jc w:val="left"/>
            </w:pPr>
            <w:r w:rsidRPr="0092006B">
              <w:t>Liquidity risk regulations</w:t>
            </w:r>
          </w:p>
        </w:tc>
        <w:tc>
          <w:tcPr>
            <w:tcW w:w="1122" w:type="dxa"/>
            <w:tcBorders>
              <w:top w:val="nil"/>
              <w:left w:val="nil"/>
              <w:bottom w:val="nil"/>
              <w:right w:val="nil"/>
            </w:tcBorders>
            <w:shd w:val="clear" w:color="auto" w:fill="auto"/>
            <w:noWrap/>
            <w:vAlign w:val="bottom"/>
            <w:hideMark/>
          </w:tcPr>
          <w:p w14:paraId="4E27A2E9" w14:textId="77777777" w:rsidR="00571F99" w:rsidRPr="0092006B" w:rsidRDefault="00571F99" w:rsidP="009F4DDB">
            <w:pPr>
              <w:spacing w:line="240" w:lineRule="auto"/>
              <w:jc w:val="right"/>
            </w:pPr>
            <w:r w:rsidRPr="0092006B">
              <w:t>-0.10323</w:t>
            </w:r>
          </w:p>
        </w:tc>
        <w:tc>
          <w:tcPr>
            <w:tcW w:w="1116" w:type="dxa"/>
            <w:tcBorders>
              <w:top w:val="nil"/>
              <w:left w:val="nil"/>
              <w:bottom w:val="nil"/>
              <w:right w:val="nil"/>
            </w:tcBorders>
            <w:shd w:val="clear" w:color="auto" w:fill="auto"/>
            <w:noWrap/>
            <w:vAlign w:val="bottom"/>
            <w:hideMark/>
          </w:tcPr>
          <w:p w14:paraId="61A19CC2" w14:textId="77777777" w:rsidR="00571F99" w:rsidRPr="0092006B" w:rsidRDefault="00571F99" w:rsidP="009F4DDB">
            <w:pPr>
              <w:spacing w:line="240" w:lineRule="auto"/>
              <w:jc w:val="right"/>
            </w:pPr>
            <w:r w:rsidRPr="0092006B">
              <w:t>0.042584</w:t>
            </w:r>
          </w:p>
        </w:tc>
        <w:tc>
          <w:tcPr>
            <w:tcW w:w="912" w:type="dxa"/>
            <w:tcBorders>
              <w:top w:val="nil"/>
              <w:left w:val="nil"/>
              <w:bottom w:val="nil"/>
              <w:right w:val="nil"/>
            </w:tcBorders>
            <w:shd w:val="clear" w:color="auto" w:fill="auto"/>
            <w:noWrap/>
            <w:vAlign w:val="bottom"/>
            <w:hideMark/>
          </w:tcPr>
          <w:p w14:paraId="1007AFB2" w14:textId="77777777" w:rsidR="00571F99" w:rsidRPr="0092006B" w:rsidRDefault="00571F99" w:rsidP="009F4DDB">
            <w:pPr>
              <w:spacing w:line="240" w:lineRule="auto"/>
              <w:jc w:val="right"/>
            </w:pPr>
            <w:r w:rsidRPr="0092006B">
              <w:t>-2.42</w:t>
            </w:r>
          </w:p>
        </w:tc>
        <w:tc>
          <w:tcPr>
            <w:tcW w:w="960" w:type="dxa"/>
            <w:tcBorders>
              <w:top w:val="nil"/>
              <w:left w:val="nil"/>
              <w:bottom w:val="nil"/>
              <w:right w:val="nil"/>
            </w:tcBorders>
            <w:shd w:val="clear" w:color="auto" w:fill="auto"/>
            <w:noWrap/>
            <w:vAlign w:val="bottom"/>
            <w:hideMark/>
          </w:tcPr>
          <w:p w14:paraId="11EC04C0" w14:textId="77777777" w:rsidR="00571F99" w:rsidRPr="0092006B" w:rsidRDefault="00571F99" w:rsidP="009F4DDB">
            <w:pPr>
              <w:spacing w:line="240" w:lineRule="auto"/>
              <w:jc w:val="right"/>
            </w:pPr>
            <w:r w:rsidRPr="0092006B">
              <w:t>0.015</w:t>
            </w:r>
          </w:p>
        </w:tc>
        <w:tc>
          <w:tcPr>
            <w:tcW w:w="1150" w:type="dxa"/>
            <w:tcBorders>
              <w:top w:val="nil"/>
              <w:left w:val="nil"/>
              <w:bottom w:val="nil"/>
              <w:right w:val="nil"/>
            </w:tcBorders>
            <w:shd w:val="clear" w:color="auto" w:fill="auto"/>
            <w:noWrap/>
            <w:vAlign w:val="bottom"/>
            <w:hideMark/>
          </w:tcPr>
          <w:p w14:paraId="267EFF5C" w14:textId="77777777" w:rsidR="00571F99" w:rsidRPr="0092006B" w:rsidRDefault="00571F99" w:rsidP="009F4DDB">
            <w:pPr>
              <w:spacing w:line="240" w:lineRule="auto"/>
              <w:jc w:val="right"/>
            </w:pPr>
            <w:r w:rsidRPr="0092006B">
              <w:t>-0.18669</w:t>
            </w:r>
          </w:p>
        </w:tc>
        <w:tc>
          <w:tcPr>
            <w:tcW w:w="1123" w:type="dxa"/>
            <w:tcBorders>
              <w:top w:val="nil"/>
              <w:left w:val="nil"/>
              <w:bottom w:val="nil"/>
              <w:right w:val="nil"/>
            </w:tcBorders>
            <w:shd w:val="clear" w:color="auto" w:fill="auto"/>
            <w:noWrap/>
            <w:vAlign w:val="bottom"/>
            <w:hideMark/>
          </w:tcPr>
          <w:p w14:paraId="71173C71" w14:textId="77777777" w:rsidR="00571F99" w:rsidRPr="0092006B" w:rsidRDefault="00571F99" w:rsidP="009F4DDB">
            <w:pPr>
              <w:spacing w:line="240" w:lineRule="auto"/>
              <w:jc w:val="right"/>
            </w:pPr>
            <w:r w:rsidRPr="0092006B">
              <w:t>-0.01977</w:t>
            </w:r>
          </w:p>
        </w:tc>
      </w:tr>
      <w:tr w:rsidR="00571F99" w:rsidRPr="0092006B" w14:paraId="4BEA7609" w14:textId="77777777" w:rsidTr="004C3121">
        <w:trPr>
          <w:trHeight w:val="300"/>
        </w:trPr>
        <w:tc>
          <w:tcPr>
            <w:tcW w:w="3762" w:type="dxa"/>
            <w:tcBorders>
              <w:top w:val="nil"/>
              <w:left w:val="nil"/>
              <w:bottom w:val="nil"/>
              <w:right w:val="nil"/>
            </w:tcBorders>
            <w:shd w:val="clear" w:color="auto" w:fill="auto"/>
            <w:noWrap/>
            <w:vAlign w:val="bottom"/>
            <w:hideMark/>
          </w:tcPr>
          <w:p w14:paraId="1CEEFEE1" w14:textId="77777777" w:rsidR="00571F99" w:rsidRPr="0092006B" w:rsidRDefault="00571F99" w:rsidP="009F4DDB">
            <w:pPr>
              <w:spacing w:line="240" w:lineRule="auto"/>
              <w:jc w:val="left"/>
            </w:pPr>
            <w:r w:rsidRPr="0092006B">
              <w:t>Credit risk regulations</w:t>
            </w:r>
          </w:p>
        </w:tc>
        <w:tc>
          <w:tcPr>
            <w:tcW w:w="1122" w:type="dxa"/>
            <w:tcBorders>
              <w:top w:val="nil"/>
              <w:left w:val="nil"/>
              <w:bottom w:val="nil"/>
              <w:right w:val="nil"/>
            </w:tcBorders>
            <w:shd w:val="clear" w:color="auto" w:fill="auto"/>
            <w:noWrap/>
            <w:vAlign w:val="bottom"/>
            <w:hideMark/>
          </w:tcPr>
          <w:p w14:paraId="17B4C838" w14:textId="77777777" w:rsidR="00571F99" w:rsidRPr="0092006B" w:rsidRDefault="00571F99" w:rsidP="009F4DDB">
            <w:pPr>
              <w:spacing w:line="240" w:lineRule="auto"/>
              <w:jc w:val="right"/>
            </w:pPr>
            <w:r w:rsidRPr="0092006B">
              <w:t>-35.4609</w:t>
            </w:r>
          </w:p>
        </w:tc>
        <w:tc>
          <w:tcPr>
            <w:tcW w:w="1116" w:type="dxa"/>
            <w:tcBorders>
              <w:top w:val="nil"/>
              <w:left w:val="nil"/>
              <w:bottom w:val="nil"/>
              <w:right w:val="nil"/>
            </w:tcBorders>
            <w:shd w:val="clear" w:color="auto" w:fill="auto"/>
            <w:noWrap/>
            <w:vAlign w:val="bottom"/>
            <w:hideMark/>
          </w:tcPr>
          <w:p w14:paraId="0D71D4F4" w14:textId="77777777" w:rsidR="00571F99" w:rsidRPr="0092006B" w:rsidRDefault="00571F99" w:rsidP="009F4DDB">
            <w:pPr>
              <w:spacing w:line="240" w:lineRule="auto"/>
              <w:jc w:val="right"/>
            </w:pPr>
            <w:r w:rsidRPr="0092006B">
              <w:t>13.39706</w:t>
            </w:r>
          </w:p>
        </w:tc>
        <w:tc>
          <w:tcPr>
            <w:tcW w:w="912" w:type="dxa"/>
            <w:tcBorders>
              <w:top w:val="nil"/>
              <w:left w:val="nil"/>
              <w:bottom w:val="nil"/>
              <w:right w:val="nil"/>
            </w:tcBorders>
            <w:shd w:val="clear" w:color="auto" w:fill="auto"/>
            <w:noWrap/>
            <w:vAlign w:val="bottom"/>
            <w:hideMark/>
          </w:tcPr>
          <w:p w14:paraId="6303487D" w14:textId="77777777" w:rsidR="00571F99" w:rsidRPr="0092006B" w:rsidRDefault="00571F99" w:rsidP="009F4DDB">
            <w:pPr>
              <w:spacing w:line="240" w:lineRule="auto"/>
              <w:jc w:val="right"/>
            </w:pPr>
            <w:r w:rsidRPr="0092006B">
              <w:t>-2.65</w:t>
            </w:r>
          </w:p>
        </w:tc>
        <w:tc>
          <w:tcPr>
            <w:tcW w:w="960" w:type="dxa"/>
            <w:tcBorders>
              <w:top w:val="nil"/>
              <w:left w:val="nil"/>
              <w:bottom w:val="nil"/>
              <w:right w:val="nil"/>
            </w:tcBorders>
            <w:shd w:val="clear" w:color="auto" w:fill="auto"/>
            <w:noWrap/>
            <w:vAlign w:val="bottom"/>
            <w:hideMark/>
          </w:tcPr>
          <w:p w14:paraId="1000D7ED" w14:textId="77777777" w:rsidR="00571F99" w:rsidRPr="0092006B" w:rsidRDefault="00571F99" w:rsidP="009F4DDB">
            <w:pPr>
              <w:spacing w:line="240" w:lineRule="auto"/>
              <w:jc w:val="right"/>
            </w:pPr>
            <w:r w:rsidRPr="0092006B">
              <w:t>0.008</w:t>
            </w:r>
          </w:p>
        </w:tc>
        <w:tc>
          <w:tcPr>
            <w:tcW w:w="1150" w:type="dxa"/>
            <w:tcBorders>
              <w:top w:val="nil"/>
              <w:left w:val="nil"/>
              <w:bottom w:val="nil"/>
              <w:right w:val="nil"/>
            </w:tcBorders>
            <w:shd w:val="clear" w:color="auto" w:fill="auto"/>
            <w:noWrap/>
            <w:vAlign w:val="bottom"/>
            <w:hideMark/>
          </w:tcPr>
          <w:p w14:paraId="0B6863E3" w14:textId="77777777" w:rsidR="00571F99" w:rsidRPr="0092006B" w:rsidRDefault="00571F99" w:rsidP="009F4DDB">
            <w:pPr>
              <w:spacing w:line="240" w:lineRule="auto"/>
              <w:jc w:val="right"/>
            </w:pPr>
            <w:r w:rsidRPr="0092006B">
              <w:t>-61.7187</w:t>
            </w:r>
          </w:p>
        </w:tc>
        <w:tc>
          <w:tcPr>
            <w:tcW w:w="1123" w:type="dxa"/>
            <w:tcBorders>
              <w:top w:val="nil"/>
              <w:left w:val="nil"/>
              <w:bottom w:val="nil"/>
              <w:right w:val="nil"/>
            </w:tcBorders>
            <w:shd w:val="clear" w:color="auto" w:fill="auto"/>
            <w:noWrap/>
            <w:vAlign w:val="bottom"/>
            <w:hideMark/>
          </w:tcPr>
          <w:p w14:paraId="3ECCA533" w14:textId="77777777" w:rsidR="00571F99" w:rsidRPr="0092006B" w:rsidRDefault="00571F99" w:rsidP="009F4DDB">
            <w:pPr>
              <w:spacing w:line="240" w:lineRule="auto"/>
              <w:jc w:val="right"/>
            </w:pPr>
            <w:r w:rsidRPr="0092006B">
              <w:t>-9.20317</w:t>
            </w:r>
          </w:p>
        </w:tc>
      </w:tr>
      <w:tr w:rsidR="00571F99" w:rsidRPr="0092006B" w14:paraId="1D38885D" w14:textId="77777777" w:rsidTr="004C3121">
        <w:trPr>
          <w:trHeight w:val="300"/>
        </w:trPr>
        <w:tc>
          <w:tcPr>
            <w:tcW w:w="3762" w:type="dxa"/>
            <w:tcBorders>
              <w:top w:val="nil"/>
              <w:left w:val="nil"/>
              <w:bottom w:val="single" w:sz="4" w:space="0" w:color="auto"/>
              <w:right w:val="nil"/>
            </w:tcBorders>
            <w:shd w:val="clear" w:color="auto" w:fill="auto"/>
            <w:noWrap/>
            <w:vAlign w:val="bottom"/>
            <w:hideMark/>
          </w:tcPr>
          <w:p w14:paraId="7CBF0F4F" w14:textId="77777777" w:rsidR="00571F99" w:rsidRPr="0092006B" w:rsidRDefault="00571F99" w:rsidP="009F4DDB">
            <w:pPr>
              <w:spacing w:line="240" w:lineRule="auto"/>
              <w:jc w:val="left"/>
            </w:pPr>
            <w:r w:rsidRPr="0092006B">
              <w:t>_cons</w:t>
            </w:r>
          </w:p>
        </w:tc>
        <w:tc>
          <w:tcPr>
            <w:tcW w:w="1122" w:type="dxa"/>
            <w:tcBorders>
              <w:top w:val="nil"/>
              <w:left w:val="nil"/>
              <w:bottom w:val="single" w:sz="4" w:space="0" w:color="auto"/>
              <w:right w:val="nil"/>
            </w:tcBorders>
            <w:shd w:val="clear" w:color="auto" w:fill="auto"/>
            <w:noWrap/>
            <w:vAlign w:val="bottom"/>
            <w:hideMark/>
          </w:tcPr>
          <w:p w14:paraId="48BB33F3" w14:textId="77777777" w:rsidR="00571F99" w:rsidRPr="0092006B" w:rsidRDefault="00571F99" w:rsidP="009F4DDB">
            <w:pPr>
              <w:spacing w:line="240" w:lineRule="auto"/>
              <w:jc w:val="right"/>
            </w:pPr>
            <w:r w:rsidRPr="0092006B">
              <w:t>36.5862</w:t>
            </w:r>
          </w:p>
        </w:tc>
        <w:tc>
          <w:tcPr>
            <w:tcW w:w="1116" w:type="dxa"/>
            <w:tcBorders>
              <w:top w:val="nil"/>
              <w:left w:val="nil"/>
              <w:bottom w:val="single" w:sz="4" w:space="0" w:color="auto"/>
              <w:right w:val="nil"/>
            </w:tcBorders>
            <w:shd w:val="clear" w:color="auto" w:fill="auto"/>
            <w:noWrap/>
            <w:vAlign w:val="bottom"/>
            <w:hideMark/>
          </w:tcPr>
          <w:p w14:paraId="50C4BAA2" w14:textId="77777777" w:rsidR="00571F99" w:rsidRPr="0092006B" w:rsidRDefault="00571F99" w:rsidP="009F4DDB">
            <w:pPr>
              <w:spacing w:line="240" w:lineRule="auto"/>
              <w:jc w:val="right"/>
            </w:pPr>
            <w:r w:rsidRPr="0092006B">
              <w:t>5.235888</w:t>
            </w:r>
          </w:p>
        </w:tc>
        <w:tc>
          <w:tcPr>
            <w:tcW w:w="912" w:type="dxa"/>
            <w:tcBorders>
              <w:top w:val="nil"/>
              <w:left w:val="nil"/>
              <w:bottom w:val="single" w:sz="4" w:space="0" w:color="auto"/>
              <w:right w:val="nil"/>
            </w:tcBorders>
            <w:shd w:val="clear" w:color="auto" w:fill="auto"/>
            <w:noWrap/>
            <w:vAlign w:val="bottom"/>
            <w:hideMark/>
          </w:tcPr>
          <w:p w14:paraId="2638AC06" w14:textId="77777777" w:rsidR="00571F99" w:rsidRPr="0092006B" w:rsidRDefault="00571F99" w:rsidP="009F4DDB">
            <w:pPr>
              <w:spacing w:line="240" w:lineRule="auto"/>
              <w:jc w:val="right"/>
            </w:pPr>
            <w:r w:rsidRPr="0092006B">
              <w:t>6.99</w:t>
            </w:r>
          </w:p>
        </w:tc>
        <w:tc>
          <w:tcPr>
            <w:tcW w:w="960" w:type="dxa"/>
            <w:tcBorders>
              <w:top w:val="nil"/>
              <w:left w:val="nil"/>
              <w:bottom w:val="single" w:sz="4" w:space="0" w:color="auto"/>
              <w:right w:val="nil"/>
            </w:tcBorders>
            <w:shd w:val="clear" w:color="auto" w:fill="auto"/>
            <w:noWrap/>
            <w:vAlign w:val="bottom"/>
            <w:hideMark/>
          </w:tcPr>
          <w:p w14:paraId="672C2D7B" w14:textId="77777777" w:rsidR="00571F99" w:rsidRPr="0092006B" w:rsidRDefault="00571F99" w:rsidP="009F4DDB">
            <w:pPr>
              <w:spacing w:line="240" w:lineRule="auto"/>
              <w:jc w:val="right"/>
            </w:pPr>
            <w:r w:rsidRPr="0092006B">
              <w:t>0.000</w:t>
            </w:r>
          </w:p>
        </w:tc>
        <w:tc>
          <w:tcPr>
            <w:tcW w:w="1150" w:type="dxa"/>
            <w:tcBorders>
              <w:top w:val="nil"/>
              <w:left w:val="nil"/>
              <w:bottom w:val="single" w:sz="4" w:space="0" w:color="auto"/>
              <w:right w:val="nil"/>
            </w:tcBorders>
            <w:shd w:val="clear" w:color="auto" w:fill="auto"/>
            <w:noWrap/>
            <w:vAlign w:val="bottom"/>
            <w:hideMark/>
          </w:tcPr>
          <w:p w14:paraId="24D9B694" w14:textId="77777777" w:rsidR="00571F99" w:rsidRPr="0092006B" w:rsidRDefault="00571F99" w:rsidP="009F4DDB">
            <w:pPr>
              <w:spacing w:line="240" w:lineRule="auto"/>
              <w:jc w:val="right"/>
            </w:pPr>
            <w:r w:rsidRPr="0092006B">
              <w:t>26.32404</w:t>
            </w:r>
          </w:p>
        </w:tc>
        <w:tc>
          <w:tcPr>
            <w:tcW w:w="1123" w:type="dxa"/>
            <w:tcBorders>
              <w:top w:val="nil"/>
              <w:left w:val="nil"/>
              <w:bottom w:val="single" w:sz="4" w:space="0" w:color="auto"/>
              <w:right w:val="nil"/>
            </w:tcBorders>
            <w:shd w:val="clear" w:color="auto" w:fill="auto"/>
            <w:noWrap/>
            <w:vAlign w:val="bottom"/>
            <w:hideMark/>
          </w:tcPr>
          <w:p w14:paraId="4F3E1F03" w14:textId="77777777" w:rsidR="00571F99" w:rsidRPr="0092006B" w:rsidRDefault="00571F99" w:rsidP="009F4DDB">
            <w:pPr>
              <w:spacing w:line="240" w:lineRule="auto"/>
              <w:jc w:val="right"/>
            </w:pPr>
            <w:r w:rsidRPr="0092006B">
              <w:t>46.84835</w:t>
            </w:r>
          </w:p>
        </w:tc>
      </w:tr>
    </w:tbl>
    <w:p w14:paraId="1CD41C32" w14:textId="77777777" w:rsidR="00571F99" w:rsidRPr="0092006B" w:rsidRDefault="00571F99" w:rsidP="00571F99">
      <w:pPr>
        <w:rPr>
          <w:b/>
          <w:bCs/>
        </w:rPr>
      </w:pPr>
      <w:r w:rsidRPr="0092006B">
        <w:rPr>
          <w:b/>
          <w:bCs/>
        </w:rPr>
        <w:t>Source: Research data (2023)</w:t>
      </w:r>
    </w:p>
    <w:p w14:paraId="29DA4FC7" w14:textId="77777777" w:rsidR="00571F99" w:rsidRPr="0092006B" w:rsidRDefault="00571F99" w:rsidP="00055D83">
      <w:pPr>
        <w:spacing w:before="0" w:after="222" w:line="240" w:lineRule="auto"/>
        <w:rPr>
          <w:rFonts w:cs="Times New Roman"/>
          <w:b/>
          <w:color w:val="000000" w:themeColor="text1"/>
          <w:szCs w:val="24"/>
        </w:rPr>
      </w:pPr>
    </w:p>
    <w:p w14:paraId="12271103" w14:textId="77777777" w:rsidR="004C3121" w:rsidRPr="0092006B" w:rsidRDefault="004C3121" w:rsidP="00055D83">
      <w:pPr>
        <w:spacing w:before="0" w:after="222" w:line="240" w:lineRule="auto"/>
        <w:rPr>
          <w:rFonts w:cs="Times New Roman"/>
          <w:b/>
          <w:color w:val="000000" w:themeColor="text1"/>
          <w:szCs w:val="24"/>
        </w:rPr>
      </w:pPr>
    </w:p>
    <w:p w14:paraId="359E84B3" w14:textId="77777777" w:rsidR="00055D83" w:rsidRPr="0092006B" w:rsidRDefault="00055D83" w:rsidP="00055D83">
      <w:pPr>
        <w:shd w:val="clear" w:color="auto" w:fill="FFFFFF"/>
        <w:spacing w:line="240" w:lineRule="auto"/>
        <w:rPr>
          <w:rFonts w:eastAsia="Times New Roman" w:cs="Times New Roman"/>
          <w:b/>
          <w:bCs/>
          <w:color w:val="000000" w:themeColor="text1"/>
          <w:sz w:val="28"/>
          <w:szCs w:val="28"/>
        </w:rPr>
      </w:pPr>
      <w:r w:rsidRPr="0092006B">
        <w:rPr>
          <w:rFonts w:eastAsia="Times New Roman" w:cs="Times New Roman"/>
          <w:b/>
          <w:bCs/>
          <w:color w:val="000000" w:themeColor="text1"/>
          <w:sz w:val="28"/>
          <w:szCs w:val="28"/>
        </w:rPr>
        <w:t xml:space="preserve">5.0 CONCLUSIONS </w:t>
      </w:r>
    </w:p>
    <w:p w14:paraId="6AD812B8" w14:textId="2AF60480" w:rsidR="00A27439" w:rsidRPr="0092006B" w:rsidRDefault="006D16E8" w:rsidP="00D26C8B">
      <w:pPr>
        <w:spacing w:line="240" w:lineRule="auto"/>
        <w:rPr>
          <w:rFonts w:cs="Times New Roman"/>
          <w:color w:val="000000" w:themeColor="text1"/>
          <w:szCs w:val="24"/>
        </w:rPr>
      </w:pPr>
      <w:r w:rsidRPr="0092006B">
        <w:rPr>
          <w:rFonts w:cs="Times New Roman"/>
          <w:color w:val="000000" w:themeColor="text1"/>
          <w:szCs w:val="24"/>
        </w:rPr>
        <w:t>The study examined the profitability of commercial banks listed on the Nairobi Securities Exchange (NSE) using both Return on Assets (ROA) and Return on Equity (ROE). It found that stricter capital adequacy regulations had a negative and statistically insignificant impact on profitability, suggesting that capital adequacy does not significantly influence bank profitability. Additionally, the research revealed a negative correlation between liquidity risk regulations and profitability, indicating that stringent liquidity regulations reduce banks' profitability potential. Similarly, the study found a strong negative relationship between credit risk rules and profitability, concluding that loosening credit regulations could enhance bank profitability. The study also examined the moderating effect of bank size on the relationship between prudential regulations and profitability. It concluded that an increase in total assets did not lead to changes in profitability, implying that larger banks do not have a profitability advantage over smaller banks. These findings challenge the traditional view that larger banks inherently enjoy higher profitability, highlighting that the growth of assets alone does not guarantee improved performance. The study suggests that both smaller and larger banks perform similarly in the Kenyan banking sector, and policymakers can use these insights to refine prudential regulations for more equi</w:t>
      </w:r>
      <w:r w:rsidRPr="00807B00">
        <w:rPr>
          <w:rFonts w:cs="Times New Roman"/>
          <w:color w:val="000000" w:themeColor="text1"/>
          <w:szCs w:val="24"/>
        </w:rPr>
        <w:t>table</w:t>
      </w:r>
      <w:r w:rsidRPr="0092006B">
        <w:rPr>
          <w:rFonts w:cs="Times New Roman"/>
          <w:color w:val="000000" w:themeColor="text1"/>
          <w:szCs w:val="24"/>
        </w:rPr>
        <w:t xml:space="preserve"> outcomes across the sector</w:t>
      </w:r>
      <w:r w:rsidR="00A27439" w:rsidRPr="0092006B">
        <w:rPr>
          <w:rFonts w:cs="Times New Roman"/>
          <w:color w:val="000000" w:themeColor="text1"/>
          <w:szCs w:val="24"/>
        </w:rPr>
        <w:t>.</w:t>
      </w:r>
    </w:p>
    <w:p w14:paraId="50F0BC2F" w14:textId="77777777" w:rsidR="00A27439" w:rsidRPr="0092006B" w:rsidRDefault="00A27439" w:rsidP="00D26C8B">
      <w:pPr>
        <w:spacing w:line="240" w:lineRule="auto"/>
        <w:rPr>
          <w:rFonts w:cs="Times New Roman"/>
          <w:color w:val="000000" w:themeColor="text1"/>
          <w:szCs w:val="24"/>
        </w:rPr>
      </w:pPr>
    </w:p>
    <w:p w14:paraId="750144BF" w14:textId="7E52FE3F" w:rsidR="00055D83" w:rsidRPr="0092006B" w:rsidRDefault="00055D83" w:rsidP="00D26C8B">
      <w:pPr>
        <w:spacing w:line="240" w:lineRule="auto"/>
        <w:rPr>
          <w:rFonts w:cs="Times New Roman"/>
          <w:b/>
          <w:bCs/>
          <w:color w:val="000000" w:themeColor="text1"/>
          <w:sz w:val="28"/>
          <w:szCs w:val="28"/>
        </w:rPr>
      </w:pPr>
      <w:r w:rsidRPr="0092006B">
        <w:rPr>
          <w:rFonts w:cs="Times New Roman"/>
          <w:b/>
          <w:bCs/>
          <w:color w:val="000000" w:themeColor="text1"/>
          <w:sz w:val="28"/>
          <w:szCs w:val="28"/>
        </w:rPr>
        <w:t>6.0 RECOMMENDATIONS</w:t>
      </w:r>
    </w:p>
    <w:p w14:paraId="7B458F6C" w14:textId="77777777" w:rsidR="003029F0" w:rsidRPr="0092006B" w:rsidRDefault="00854FF7" w:rsidP="00A27439">
      <w:pPr>
        <w:spacing w:before="0" w:after="160" w:line="240" w:lineRule="auto"/>
        <w:rPr>
          <w:rFonts w:cs="Times New Roman"/>
          <w:color w:val="000000" w:themeColor="text1"/>
          <w:szCs w:val="24"/>
        </w:rPr>
      </w:pPr>
      <w:r w:rsidRPr="0092006B">
        <w:rPr>
          <w:rFonts w:cs="Times New Roman"/>
          <w:color w:val="000000" w:themeColor="text1"/>
          <w:szCs w:val="24"/>
        </w:rPr>
        <w:t>The study revealed that liquidity and credit risk regulations have a significant impact on the profitability (ROA and ROE) of commercial banks, whereas capital adequacy regulations did not show a substantial effect. It recommended that the Central Bank of Kenya (CBK) review and strengthen liquidity and credit risk regulations to enhance profitability. Specifically, improving liquidity regulation is crucial for banks to meet withdrawal demands and short-term obligations, which would boost profitability. Additionally, banks should maintain a low ratio of total liquid assets to total assets to ensure monthly obligations are met. The study also suggested that tightening credit risk regulations would promote the effective use of loanable funds, improve loan recovery rates, and reduce non-performing loans. Consequently, commercial banks should enhance their credit approval procedures to further improve profitability</w:t>
      </w:r>
      <w:r w:rsidR="00A27439" w:rsidRPr="0092006B">
        <w:rPr>
          <w:rFonts w:cs="Times New Roman"/>
          <w:color w:val="000000" w:themeColor="text1"/>
          <w:szCs w:val="24"/>
        </w:rPr>
        <w:t>.</w:t>
      </w:r>
    </w:p>
    <w:p w14:paraId="145484A5" w14:textId="77777777" w:rsidR="000D403A" w:rsidRDefault="003029F0" w:rsidP="00A27439">
      <w:pPr>
        <w:spacing w:before="0" w:after="160" w:line="240" w:lineRule="auto"/>
        <w:rPr>
          <w:rFonts w:eastAsia="Times New Roman" w:cs="Times New Roman"/>
          <w:color w:val="000000" w:themeColor="text1"/>
          <w:szCs w:val="24"/>
        </w:rPr>
      </w:pPr>
      <w:r w:rsidRPr="0092006B">
        <w:rPr>
          <w:rFonts w:eastAsia="Times New Roman" w:cs="Times New Roman"/>
          <w:color w:val="000000" w:themeColor="text1"/>
          <w:szCs w:val="24"/>
        </w:rPr>
        <w:t xml:space="preserve">The study examined the relationship between profitability and prudential regulations in Kenya's listed commercial banks. However, the findings are not applicable to other banks or financial institutions in Kenya. Future research should explore the impact of prudential rules on unlisted commercial banks, SACCOs, and microfinance banks. Additionally, the study focused on three specific prudential regulations, so further studies should consider other </w:t>
      </w:r>
      <w:r w:rsidRPr="0092006B">
        <w:rPr>
          <w:rFonts w:eastAsia="Times New Roman" w:cs="Times New Roman"/>
          <w:color w:val="000000" w:themeColor="text1"/>
          <w:szCs w:val="24"/>
        </w:rPr>
        <w:lastRenderedPageBreak/>
        <w:t>regulations, such as foreign exchange regulations, and their influence on financial performance across different institutions.</w:t>
      </w:r>
    </w:p>
    <w:p w14:paraId="7E8E6FCC" w14:textId="77777777" w:rsidR="000D403A" w:rsidRPr="000D403A" w:rsidRDefault="000D403A" w:rsidP="000D403A">
      <w:pPr>
        <w:spacing w:before="0" w:after="160" w:line="240" w:lineRule="auto"/>
        <w:rPr>
          <w:rFonts w:eastAsia="Times New Roman" w:cs="Times New Roman"/>
          <w:color w:val="000000" w:themeColor="text1"/>
          <w:szCs w:val="24"/>
          <w:lang w:val="en-GB"/>
        </w:rPr>
      </w:pPr>
      <w:r w:rsidRPr="000D403A">
        <w:rPr>
          <w:rFonts w:eastAsia="Times New Roman" w:cs="Times New Roman"/>
          <w:b/>
          <w:bCs/>
          <w:color w:val="000000" w:themeColor="text1"/>
          <w:szCs w:val="24"/>
          <w:lang w:val="en-GB"/>
        </w:rPr>
        <w:t>COMPETING INTERESTS DISCLAIMER:</w:t>
      </w:r>
    </w:p>
    <w:p w14:paraId="3963D0DB" w14:textId="77777777" w:rsidR="000D403A" w:rsidRPr="000D403A" w:rsidRDefault="000D403A" w:rsidP="000D403A">
      <w:pPr>
        <w:spacing w:before="0" w:after="160" w:line="240" w:lineRule="auto"/>
        <w:rPr>
          <w:rFonts w:eastAsia="Times New Roman" w:cs="Times New Roman"/>
          <w:color w:val="000000" w:themeColor="text1"/>
          <w:szCs w:val="24"/>
          <w:lang w:val="en-GB"/>
        </w:rPr>
      </w:pPr>
      <w:r w:rsidRPr="000D403A">
        <w:rPr>
          <w:rFonts w:eastAsia="Times New Roman" w:cs="Times New Roman"/>
          <w:color w:val="000000" w:themeColor="text1"/>
          <w:szCs w:val="24"/>
          <w:lang w:val="en-GB"/>
        </w:rPr>
        <w:t>Authors have declared that they have no known competing financial interests OR non-financial interests OR personal relationships that could have appeared to influence the work reported in this paper.</w:t>
      </w:r>
    </w:p>
    <w:p w14:paraId="3E259795" w14:textId="77777777" w:rsidR="00323354" w:rsidRPr="00323354" w:rsidRDefault="00323354" w:rsidP="00323354">
      <w:pPr>
        <w:spacing w:before="0" w:after="160" w:line="259" w:lineRule="auto"/>
        <w:jc w:val="left"/>
        <w:rPr>
          <w:rFonts w:ascii="Calibri" w:hAnsi="Calibri" w:cs="Times New Roman"/>
          <w:b/>
          <w:color w:val="auto"/>
          <w:sz w:val="22"/>
          <w:highlight w:val="yellow"/>
          <w14:ligatures w14:val="none"/>
        </w:rPr>
      </w:pPr>
      <w:r w:rsidRPr="00323354">
        <w:rPr>
          <w:rFonts w:ascii="Calibri" w:hAnsi="Calibri" w:cs="Times New Roman"/>
          <w:b/>
          <w:color w:val="auto"/>
          <w:sz w:val="22"/>
          <w:highlight w:val="yellow"/>
          <w14:ligatures w14:val="none"/>
        </w:rPr>
        <w:t>Disclaimer (Artificial intelligence)</w:t>
      </w:r>
    </w:p>
    <w:p w14:paraId="43350EBD" w14:textId="77777777" w:rsidR="00323354" w:rsidRPr="00323354" w:rsidRDefault="00323354" w:rsidP="00323354">
      <w:pPr>
        <w:spacing w:before="0" w:after="160" w:line="259" w:lineRule="auto"/>
        <w:jc w:val="left"/>
        <w:rPr>
          <w:rFonts w:ascii="Calibri" w:hAnsi="Calibri" w:cs="Times New Roman"/>
          <w:color w:val="auto"/>
          <w:sz w:val="22"/>
          <w:highlight w:val="yellow"/>
          <w14:ligatures w14:val="none"/>
        </w:rPr>
      </w:pPr>
      <w:r w:rsidRPr="00323354">
        <w:rPr>
          <w:rFonts w:ascii="Calibri" w:hAnsi="Calibri" w:cs="Times New Roman"/>
          <w:color w:val="auto"/>
          <w:sz w:val="22"/>
          <w:highlight w:val="yellow"/>
          <w14:ligatures w14:val="none"/>
        </w:rPr>
        <w:t xml:space="preserve">Option 1: </w:t>
      </w:r>
    </w:p>
    <w:p w14:paraId="658339CE" w14:textId="77777777" w:rsidR="00323354" w:rsidRPr="00323354" w:rsidRDefault="00323354" w:rsidP="00323354">
      <w:pPr>
        <w:spacing w:before="0" w:after="160" w:line="259" w:lineRule="auto"/>
        <w:jc w:val="left"/>
        <w:rPr>
          <w:rFonts w:ascii="Calibri" w:hAnsi="Calibri" w:cs="Times New Roman"/>
          <w:color w:val="auto"/>
          <w:sz w:val="22"/>
          <w:highlight w:val="yellow"/>
          <w14:ligatures w14:val="none"/>
        </w:rPr>
      </w:pPr>
      <w:r w:rsidRPr="00323354">
        <w:rPr>
          <w:rFonts w:ascii="Calibri" w:hAnsi="Calibri" w:cs="Times New Roman"/>
          <w:color w:val="auto"/>
          <w:sz w:val="22"/>
          <w:highlight w:val="yellow"/>
          <w14:ligatures w14:val="none"/>
        </w:rPr>
        <w:t xml:space="preserve">Author(s) hereby declare that NO generative AI technologies such as Large Language Models (ChatGPT, COPILOT, etc.) and text-to-image generators have been used during the writing or editing of this manuscript. </w:t>
      </w:r>
    </w:p>
    <w:p w14:paraId="764D892C" w14:textId="77777777" w:rsidR="00323354" w:rsidRPr="00323354" w:rsidRDefault="00323354" w:rsidP="00323354">
      <w:pPr>
        <w:spacing w:before="0" w:after="160" w:line="259" w:lineRule="auto"/>
        <w:jc w:val="left"/>
        <w:rPr>
          <w:rFonts w:ascii="Calibri" w:hAnsi="Calibri" w:cs="Times New Roman"/>
          <w:color w:val="auto"/>
          <w:sz w:val="22"/>
          <w:highlight w:val="yellow"/>
          <w14:ligatures w14:val="none"/>
        </w:rPr>
      </w:pPr>
      <w:r w:rsidRPr="00323354">
        <w:rPr>
          <w:rFonts w:ascii="Calibri" w:hAnsi="Calibri" w:cs="Times New Roman"/>
          <w:color w:val="auto"/>
          <w:sz w:val="22"/>
          <w:highlight w:val="yellow"/>
          <w14:ligatures w14:val="none"/>
        </w:rPr>
        <w:t xml:space="preserve">Option 2: </w:t>
      </w:r>
    </w:p>
    <w:p w14:paraId="1794480F" w14:textId="77777777" w:rsidR="00323354" w:rsidRPr="00323354" w:rsidRDefault="00323354" w:rsidP="00323354">
      <w:pPr>
        <w:spacing w:before="0" w:after="160" w:line="259" w:lineRule="auto"/>
        <w:jc w:val="left"/>
        <w:rPr>
          <w:rFonts w:ascii="Calibri" w:hAnsi="Calibri" w:cs="Times New Roman"/>
          <w:color w:val="auto"/>
          <w:sz w:val="22"/>
          <w:highlight w:val="yellow"/>
          <w14:ligatures w14:val="none"/>
        </w:rPr>
      </w:pPr>
      <w:r w:rsidRPr="00323354">
        <w:rPr>
          <w:rFonts w:ascii="Calibri" w:hAnsi="Calibri" w:cs="Times New Roman"/>
          <w:color w:val="auto"/>
          <w:sz w:val="22"/>
          <w:highlight w:val="yellow"/>
          <w14:ligatures w14:val="none"/>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E9D30A8" w14:textId="77777777" w:rsidR="00323354" w:rsidRPr="00323354" w:rsidRDefault="00323354" w:rsidP="00323354">
      <w:pPr>
        <w:spacing w:before="0" w:after="160" w:line="259" w:lineRule="auto"/>
        <w:jc w:val="left"/>
        <w:rPr>
          <w:rFonts w:ascii="Calibri" w:hAnsi="Calibri" w:cs="Times New Roman"/>
          <w:color w:val="auto"/>
          <w:sz w:val="22"/>
          <w:highlight w:val="yellow"/>
          <w14:ligatures w14:val="none"/>
        </w:rPr>
      </w:pPr>
      <w:r w:rsidRPr="00323354">
        <w:rPr>
          <w:rFonts w:ascii="Calibri" w:hAnsi="Calibri" w:cs="Times New Roman"/>
          <w:color w:val="auto"/>
          <w:sz w:val="22"/>
          <w:highlight w:val="yellow"/>
          <w14:ligatures w14:val="none"/>
        </w:rPr>
        <w:t>Details of the AI usage are given below:</w:t>
      </w:r>
    </w:p>
    <w:p w14:paraId="5F606243" w14:textId="77777777" w:rsidR="00323354" w:rsidRPr="00323354" w:rsidRDefault="00323354" w:rsidP="00323354">
      <w:pPr>
        <w:spacing w:before="0" w:after="160" w:line="259" w:lineRule="auto"/>
        <w:jc w:val="left"/>
        <w:rPr>
          <w:rFonts w:ascii="Calibri" w:hAnsi="Calibri" w:cs="Times New Roman"/>
          <w:color w:val="auto"/>
          <w:sz w:val="22"/>
          <w:highlight w:val="yellow"/>
          <w14:ligatures w14:val="none"/>
        </w:rPr>
      </w:pPr>
      <w:r w:rsidRPr="00323354">
        <w:rPr>
          <w:rFonts w:ascii="Calibri" w:hAnsi="Calibri" w:cs="Times New Roman"/>
          <w:color w:val="auto"/>
          <w:sz w:val="22"/>
          <w:highlight w:val="yellow"/>
          <w14:ligatures w14:val="none"/>
        </w:rPr>
        <w:t>1.</w:t>
      </w:r>
    </w:p>
    <w:p w14:paraId="0FA69E40" w14:textId="77777777" w:rsidR="00323354" w:rsidRPr="00323354" w:rsidRDefault="00323354" w:rsidP="00323354">
      <w:pPr>
        <w:spacing w:before="0" w:after="160" w:line="259" w:lineRule="auto"/>
        <w:jc w:val="left"/>
        <w:rPr>
          <w:rFonts w:ascii="Calibri" w:hAnsi="Calibri" w:cs="Times New Roman"/>
          <w:color w:val="auto"/>
          <w:sz w:val="22"/>
          <w:highlight w:val="yellow"/>
          <w14:ligatures w14:val="none"/>
        </w:rPr>
      </w:pPr>
      <w:r w:rsidRPr="00323354">
        <w:rPr>
          <w:rFonts w:ascii="Calibri" w:hAnsi="Calibri" w:cs="Times New Roman"/>
          <w:color w:val="auto"/>
          <w:sz w:val="22"/>
          <w:highlight w:val="yellow"/>
          <w14:ligatures w14:val="none"/>
        </w:rPr>
        <w:t>2.</w:t>
      </w:r>
    </w:p>
    <w:p w14:paraId="0611C509" w14:textId="77777777" w:rsidR="00323354" w:rsidRPr="00323354" w:rsidRDefault="00323354" w:rsidP="00323354">
      <w:pPr>
        <w:spacing w:before="0" w:after="160" w:line="259" w:lineRule="auto"/>
        <w:jc w:val="left"/>
        <w:rPr>
          <w:rFonts w:ascii="Calibri" w:hAnsi="Calibri" w:cs="Times New Roman"/>
          <w:color w:val="auto"/>
          <w:sz w:val="22"/>
          <w14:ligatures w14:val="none"/>
        </w:rPr>
      </w:pPr>
      <w:r w:rsidRPr="00323354">
        <w:rPr>
          <w:rFonts w:ascii="Calibri" w:hAnsi="Calibri" w:cs="Times New Roman"/>
          <w:color w:val="auto"/>
          <w:sz w:val="22"/>
          <w:highlight w:val="yellow"/>
          <w14:ligatures w14:val="none"/>
        </w:rPr>
        <w:t>3.</w:t>
      </w:r>
    </w:p>
    <w:p w14:paraId="71CDEAE5" w14:textId="54E76B84" w:rsidR="00055D83" w:rsidRPr="0092006B" w:rsidRDefault="00055D83" w:rsidP="00A27439">
      <w:pPr>
        <w:spacing w:before="0" w:after="160" w:line="240" w:lineRule="auto"/>
        <w:rPr>
          <w:rFonts w:eastAsia="Times New Roman" w:cs="Times New Roman"/>
          <w:color w:val="000000" w:themeColor="text1"/>
          <w:szCs w:val="24"/>
        </w:rPr>
      </w:pPr>
    </w:p>
    <w:p w14:paraId="03B946E2" w14:textId="77777777" w:rsidR="00055D83" w:rsidRPr="0092006B" w:rsidRDefault="00055D83" w:rsidP="00055D83">
      <w:pPr>
        <w:shd w:val="clear" w:color="auto" w:fill="FFFFFF"/>
        <w:spacing w:line="240" w:lineRule="auto"/>
        <w:rPr>
          <w:rFonts w:eastAsia="Times New Roman" w:cs="Times New Roman"/>
          <w:b/>
          <w:bCs/>
          <w:color w:val="000000" w:themeColor="text1"/>
          <w:sz w:val="28"/>
          <w:szCs w:val="28"/>
        </w:rPr>
      </w:pPr>
      <w:r w:rsidRPr="0092006B">
        <w:rPr>
          <w:rFonts w:eastAsia="Times New Roman" w:cs="Times New Roman"/>
          <w:b/>
          <w:bCs/>
          <w:color w:val="000000" w:themeColor="text1"/>
          <w:sz w:val="28"/>
          <w:szCs w:val="28"/>
        </w:rPr>
        <w:t>REFERENCES</w:t>
      </w:r>
    </w:p>
    <w:p w14:paraId="2901E6A2" w14:textId="77777777" w:rsidR="000846E2" w:rsidRPr="0033074C" w:rsidRDefault="000846E2" w:rsidP="000846E2">
      <w:pPr>
        <w:spacing w:after="240" w:line="240" w:lineRule="auto"/>
        <w:ind w:left="720" w:hanging="720"/>
      </w:pPr>
      <w:r w:rsidRPr="000846E2">
        <w:rPr>
          <w:highlight w:val="green"/>
        </w:rPr>
        <w:t>Akinwunmi, (2017). Capital adequacy and banks’ profitability: Empirical evidence from Nigeria</w:t>
      </w:r>
      <w:r w:rsidRPr="000846E2">
        <w:rPr>
          <w:i/>
          <w:iCs/>
          <w:highlight w:val="green"/>
        </w:rPr>
        <w:t>. American international Journal of Contemporary Research</w:t>
      </w:r>
      <w:r w:rsidRPr="000846E2">
        <w:rPr>
          <w:highlight w:val="green"/>
        </w:rPr>
        <w:t>, 3(10), 77-87.</w:t>
      </w:r>
      <w:r w:rsidRPr="0033074C">
        <w:t xml:space="preserve"> </w:t>
      </w:r>
    </w:p>
    <w:p w14:paraId="3860D761" w14:textId="2E8D460B" w:rsidR="00E60AE6" w:rsidRPr="0092006B" w:rsidRDefault="00E60AE6" w:rsidP="00E60AE6">
      <w:pPr>
        <w:tabs>
          <w:tab w:val="left" w:pos="8280"/>
          <w:tab w:val="left" w:pos="8550"/>
        </w:tabs>
        <w:spacing w:after="240" w:line="240" w:lineRule="auto"/>
        <w:ind w:left="720" w:hanging="720"/>
      </w:pPr>
      <w:r w:rsidRPr="0092006B">
        <w:t xml:space="preserve">Aziz, N.I.M (2017). Islamic Banking Profitability: Roles Played by Internal and External Banking Factors. </w:t>
      </w:r>
      <w:r w:rsidRPr="0092006B">
        <w:rPr>
          <w:i/>
        </w:rPr>
        <w:t>The Journal of Muamalat and Islamic Finance Research, 14</w:t>
      </w:r>
      <w:r w:rsidRPr="0092006B">
        <w:t>(1), 23- 38.</w:t>
      </w:r>
    </w:p>
    <w:p w14:paraId="45A6DF94" w14:textId="77777777" w:rsidR="00E60AE6" w:rsidRPr="0092006B" w:rsidRDefault="00E60AE6" w:rsidP="00E60AE6">
      <w:pPr>
        <w:tabs>
          <w:tab w:val="left" w:pos="8280"/>
          <w:tab w:val="left" w:pos="8550"/>
        </w:tabs>
        <w:spacing w:after="240" w:line="240" w:lineRule="auto"/>
        <w:ind w:left="720" w:hanging="720"/>
      </w:pPr>
      <w:r w:rsidRPr="0092006B">
        <w:t xml:space="preserve">Baharuddin, N.S. &amp; Azmi, S.N.A. (2015). The Determinants of Financial Industry Profitability in Malaysia. </w:t>
      </w:r>
      <w:r w:rsidRPr="0092006B">
        <w:rPr>
          <w:i/>
        </w:rPr>
        <w:t>Academia Journal, 4</w:t>
      </w:r>
      <w:r w:rsidRPr="0092006B">
        <w:t xml:space="preserve"> (2). 18-25.</w:t>
      </w:r>
    </w:p>
    <w:p w14:paraId="2DDC164B" w14:textId="77777777" w:rsidR="00E60AE6" w:rsidRDefault="00E60AE6" w:rsidP="00E60AE6">
      <w:pPr>
        <w:spacing w:after="240" w:line="240" w:lineRule="auto"/>
        <w:ind w:left="720" w:hanging="720"/>
        <w:rPr>
          <w:shd w:val="clear" w:color="auto" w:fill="FFFFFF"/>
        </w:rPr>
      </w:pPr>
      <w:r w:rsidRPr="0092006B">
        <w:rPr>
          <w:shd w:val="clear" w:color="auto" w:fill="FFFFFF"/>
        </w:rPr>
        <w:t xml:space="preserve">Barney, J. (1991). Firm resources and sustained competitive advantage. </w:t>
      </w:r>
      <w:r w:rsidRPr="0092006B">
        <w:rPr>
          <w:i/>
          <w:shd w:val="clear" w:color="auto" w:fill="FFFFFF"/>
        </w:rPr>
        <w:t>Journal of Management, 17</w:t>
      </w:r>
      <w:r w:rsidRPr="0092006B">
        <w:rPr>
          <w:shd w:val="clear" w:color="auto" w:fill="FFFFFF"/>
        </w:rPr>
        <w:t>(1), 99-120.</w:t>
      </w:r>
    </w:p>
    <w:p w14:paraId="13BBE945" w14:textId="77777777" w:rsidR="00633C64" w:rsidRDefault="00633C64" w:rsidP="00633C64">
      <w:pPr>
        <w:spacing w:after="240" w:line="240" w:lineRule="auto"/>
        <w:ind w:left="720" w:hanging="720"/>
        <w:rPr>
          <w:shd w:val="clear" w:color="auto" w:fill="FFFFFF"/>
        </w:rPr>
      </w:pPr>
      <w:r w:rsidRPr="00633C64">
        <w:rPr>
          <w:highlight w:val="green"/>
          <w:shd w:val="clear" w:color="auto" w:fill="FFFFFF"/>
        </w:rPr>
        <w:t>Berg, (2010). Multicollinearity and regression analysis. In </w:t>
      </w:r>
      <w:r w:rsidRPr="00633C64">
        <w:rPr>
          <w:i/>
          <w:iCs/>
          <w:highlight w:val="green"/>
          <w:shd w:val="clear" w:color="auto" w:fill="FFFFFF"/>
        </w:rPr>
        <w:t>Journal of Physics: Conference Series</w:t>
      </w:r>
      <w:r w:rsidRPr="00633C64">
        <w:rPr>
          <w:highlight w:val="green"/>
          <w:shd w:val="clear" w:color="auto" w:fill="FFFFFF"/>
        </w:rPr>
        <w:t>, 949(1), 012009.</w:t>
      </w:r>
      <w:r w:rsidRPr="0033074C">
        <w:rPr>
          <w:shd w:val="clear" w:color="auto" w:fill="FFFFFF"/>
        </w:rPr>
        <w:t xml:space="preserve"> </w:t>
      </w:r>
    </w:p>
    <w:p w14:paraId="6F5019CE" w14:textId="77777777" w:rsidR="00E60AE6" w:rsidRDefault="00E60AE6" w:rsidP="00E60AE6">
      <w:pPr>
        <w:spacing w:after="240" w:line="240" w:lineRule="auto"/>
        <w:ind w:left="720" w:hanging="720"/>
      </w:pPr>
      <w:r w:rsidRPr="0092006B">
        <w:t xml:space="preserve">Barus, J. J., Muturi, W., &amp; Kibati, P. (2017). Effect of capital adequacy on the financial performance of savings and credit societies in Kenya, </w:t>
      </w:r>
      <w:r w:rsidRPr="0092006B">
        <w:rPr>
          <w:i/>
          <w:iCs/>
        </w:rPr>
        <w:t>American Journal of Finance</w:t>
      </w:r>
      <w:r w:rsidRPr="0092006B">
        <w:rPr>
          <w:i/>
        </w:rPr>
        <w:t>, 1</w:t>
      </w:r>
      <w:r w:rsidRPr="0092006B">
        <w:t>(4), 1-12.</w:t>
      </w:r>
    </w:p>
    <w:p w14:paraId="4CD57D1B" w14:textId="77777777" w:rsidR="00E60AE6" w:rsidRPr="0092006B" w:rsidRDefault="00E60AE6" w:rsidP="00E60AE6">
      <w:pPr>
        <w:spacing w:after="240" w:line="240" w:lineRule="auto"/>
        <w:ind w:left="720" w:hanging="720"/>
      </w:pPr>
      <w:r w:rsidRPr="0092006B">
        <w:t xml:space="preserve">Central Bank of Kenya (2015). Monetary Policy Statements. Retrieved on 15th July 2015 from https://centralbank.go.ke/index.php/monetary-policy-statements </w:t>
      </w:r>
    </w:p>
    <w:p w14:paraId="06CE9F73" w14:textId="77777777" w:rsidR="00E60AE6" w:rsidRPr="0092006B" w:rsidRDefault="00E60AE6" w:rsidP="00E60AE6">
      <w:pPr>
        <w:spacing w:after="240" w:line="240" w:lineRule="auto"/>
        <w:ind w:left="720" w:hanging="720"/>
      </w:pPr>
      <w:r w:rsidRPr="0092006B">
        <w:rPr>
          <w:shd w:val="clear" w:color="auto" w:fill="FFFFFF"/>
        </w:rPr>
        <w:t>Cox, J. W., &amp; Hassard, J. (2010). Triangulation. </w:t>
      </w:r>
      <w:r w:rsidRPr="0092006B">
        <w:rPr>
          <w:i/>
          <w:iCs/>
          <w:shd w:val="clear" w:color="auto" w:fill="FFFFFF"/>
        </w:rPr>
        <w:t>Encyclopedia of case study research</w:t>
      </w:r>
      <w:r w:rsidRPr="0092006B">
        <w:rPr>
          <w:shd w:val="clear" w:color="auto" w:fill="FFFFFF"/>
        </w:rPr>
        <w:t>, 944-948.</w:t>
      </w:r>
    </w:p>
    <w:p w14:paraId="0F4C03BF" w14:textId="77777777" w:rsidR="00E60AE6" w:rsidRPr="0092006B" w:rsidRDefault="00E60AE6" w:rsidP="00E60AE6">
      <w:pPr>
        <w:spacing w:after="240" w:line="240" w:lineRule="auto"/>
        <w:ind w:left="720" w:hanging="720"/>
        <w:rPr>
          <w:b/>
          <w:sz w:val="32"/>
          <w:szCs w:val="32"/>
        </w:rPr>
      </w:pPr>
      <w:bookmarkStart w:id="12" w:name="_Hlk88661880"/>
      <w:r w:rsidRPr="0092006B">
        <w:rPr>
          <w:color w:val="222222"/>
          <w:shd w:val="clear" w:color="auto" w:fill="FFFFFF"/>
        </w:rPr>
        <w:lastRenderedPageBreak/>
        <w:t>Creswell, J. W. (2017). </w:t>
      </w:r>
      <w:bookmarkEnd w:id="12"/>
      <w:r w:rsidRPr="0092006B">
        <w:rPr>
          <w:i/>
          <w:iCs/>
          <w:color w:val="222222"/>
          <w:shd w:val="clear" w:color="auto" w:fill="FFFFFF"/>
        </w:rPr>
        <w:t>Research design: Qualitative, quantitative, and mixed methods approaches</w:t>
      </w:r>
      <w:r w:rsidRPr="0092006B">
        <w:rPr>
          <w:color w:val="222222"/>
          <w:shd w:val="clear" w:color="auto" w:fill="FFFFFF"/>
        </w:rPr>
        <w:t>. Sage publications.</w:t>
      </w:r>
    </w:p>
    <w:p w14:paraId="21685189" w14:textId="77777777" w:rsidR="00E60AE6" w:rsidRPr="0092006B" w:rsidRDefault="00E60AE6" w:rsidP="00E60AE6">
      <w:pPr>
        <w:spacing w:after="240" w:line="240" w:lineRule="auto"/>
        <w:ind w:left="720" w:hanging="720"/>
      </w:pPr>
      <w:r w:rsidRPr="0092006B">
        <w:t xml:space="preserve">Cekrezi, A. (2015). Factors affecting performance of Commercial Banks in Albania. </w:t>
      </w:r>
      <w:r w:rsidRPr="0092006B">
        <w:rPr>
          <w:i/>
          <w:iCs/>
        </w:rPr>
        <w:t xml:space="preserve">The European Proceedings of Social and Behavioural Science. </w:t>
      </w:r>
    </w:p>
    <w:p w14:paraId="51AD0D2F" w14:textId="77777777" w:rsidR="00A85593" w:rsidRDefault="00A85593" w:rsidP="00A85593">
      <w:pPr>
        <w:tabs>
          <w:tab w:val="left" w:pos="8280"/>
          <w:tab w:val="left" w:pos="8550"/>
        </w:tabs>
        <w:spacing w:after="240" w:line="240" w:lineRule="auto"/>
        <w:ind w:left="720" w:hanging="720"/>
        <w:rPr>
          <w:color w:val="222222"/>
          <w:shd w:val="clear" w:color="auto" w:fill="FFFFFF"/>
        </w:rPr>
      </w:pPr>
      <w:r w:rsidRPr="0092006B">
        <w:rPr>
          <w:color w:val="222222"/>
          <w:shd w:val="clear" w:color="auto" w:fill="FFFFFF"/>
        </w:rPr>
        <w:t>Chidozie, U. E., &amp; Ayadi, F. S. (2017). Macroeconomy and banks’ profitability in Nigeria. </w:t>
      </w:r>
      <w:r w:rsidRPr="0092006B">
        <w:rPr>
          <w:i/>
          <w:iCs/>
          <w:color w:val="222222"/>
          <w:shd w:val="clear" w:color="auto" w:fill="FFFFFF"/>
        </w:rPr>
        <w:t>African Research Review</w:t>
      </w:r>
      <w:r w:rsidRPr="0092006B">
        <w:rPr>
          <w:color w:val="222222"/>
          <w:shd w:val="clear" w:color="auto" w:fill="FFFFFF"/>
        </w:rPr>
        <w:t>, </w:t>
      </w:r>
      <w:r w:rsidRPr="0092006B">
        <w:rPr>
          <w:i/>
          <w:iCs/>
          <w:color w:val="222222"/>
          <w:shd w:val="clear" w:color="auto" w:fill="FFFFFF"/>
        </w:rPr>
        <w:t>11</w:t>
      </w:r>
      <w:r w:rsidRPr="0092006B">
        <w:rPr>
          <w:color w:val="222222"/>
          <w:shd w:val="clear" w:color="auto" w:fill="FFFFFF"/>
        </w:rPr>
        <w:t>(2), 121-137.</w:t>
      </w:r>
    </w:p>
    <w:p w14:paraId="4BBFCD5E" w14:textId="77777777" w:rsidR="004528D5" w:rsidRPr="0033074C" w:rsidRDefault="004528D5" w:rsidP="004528D5">
      <w:pPr>
        <w:spacing w:after="240" w:line="240" w:lineRule="auto"/>
        <w:ind w:left="720" w:hanging="720"/>
        <w:rPr>
          <w:shd w:val="clear" w:color="auto" w:fill="FFFFFF"/>
        </w:rPr>
      </w:pPr>
      <w:r w:rsidRPr="004528D5">
        <w:rPr>
          <w:highlight w:val="green"/>
          <w:shd w:val="clear" w:color="auto" w:fill="FFFFFF"/>
        </w:rPr>
        <w:t>Dietrich &amp; Wanzenried, (2011). The relationship between exchange rates and stock prices: Studied in a multivariate model. </w:t>
      </w:r>
      <w:r w:rsidRPr="004528D5">
        <w:rPr>
          <w:i/>
          <w:iCs/>
          <w:highlight w:val="green"/>
          <w:shd w:val="clear" w:color="auto" w:fill="FFFFFF"/>
        </w:rPr>
        <w:t>Issues in Political Economy</w:t>
      </w:r>
      <w:r w:rsidRPr="004528D5">
        <w:rPr>
          <w:highlight w:val="green"/>
          <w:shd w:val="clear" w:color="auto" w:fill="FFFFFF"/>
        </w:rPr>
        <w:t>, </w:t>
      </w:r>
      <w:r w:rsidRPr="004528D5">
        <w:rPr>
          <w:i/>
          <w:iCs/>
          <w:highlight w:val="green"/>
          <w:shd w:val="clear" w:color="auto" w:fill="FFFFFF"/>
        </w:rPr>
        <w:t>14</w:t>
      </w:r>
      <w:r w:rsidRPr="004528D5">
        <w:rPr>
          <w:highlight w:val="green"/>
          <w:shd w:val="clear" w:color="auto" w:fill="FFFFFF"/>
        </w:rPr>
        <w:t>(1), 3-9.</w:t>
      </w:r>
    </w:p>
    <w:p w14:paraId="577C4CD5" w14:textId="77777777" w:rsidR="00A85593" w:rsidRDefault="00A85593" w:rsidP="00A85593">
      <w:pPr>
        <w:spacing w:after="240" w:line="240" w:lineRule="auto"/>
        <w:ind w:left="720" w:hanging="720"/>
        <w:rPr>
          <w:shd w:val="clear" w:color="auto" w:fill="FFFFFF"/>
        </w:rPr>
      </w:pPr>
      <w:r w:rsidRPr="0092006B">
        <w:rPr>
          <w:shd w:val="clear" w:color="auto" w:fill="FFFFFF"/>
        </w:rPr>
        <w:t>Ferrarini, G. (2017). Understanding the role of corporate governance in financial institutions: A research agenda. </w:t>
      </w:r>
      <w:r w:rsidRPr="0092006B">
        <w:rPr>
          <w:i/>
          <w:iCs/>
          <w:shd w:val="clear" w:color="auto" w:fill="FFFFFF"/>
        </w:rPr>
        <w:t>European Corporate Governance Institute (ECGI)-Law Working Paper</w:t>
      </w:r>
      <w:r w:rsidRPr="0092006B">
        <w:rPr>
          <w:shd w:val="clear" w:color="auto" w:fill="FFFFFF"/>
        </w:rPr>
        <w:t>, (347).</w:t>
      </w:r>
    </w:p>
    <w:p w14:paraId="436DC603" w14:textId="77777777" w:rsidR="00D32C43" w:rsidRPr="0033074C" w:rsidRDefault="00D32C43" w:rsidP="00D32C43">
      <w:pPr>
        <w:spacing w:after="240" w:line="240" w:lineRule="auto"/>
        <w:ind w:left="720" w:hanging="720"/>
        <w:rPr>
          <w:shd w:val="clear" w:color="auto" w:fill="FFFFFF"/>
        </w:rPr>
      </w:pPr>
      <w:r w:rsidRPr="00D32C43">
        <w:rPr>
          <w:highlight w:val="green"/>
          <w:shd w:val="clear" w:color="auto" w:fill="FFFFFF"/>
        </w:rPr>
        <w:t>Gizaw, Kebede, &amp; Selvaraj, (2015). Unit root tests in panel data: asymptotic and finite-sample properties. </w:t>
      </w:r>
      <w:r w:rsidRPr="00D32C43">
        <w:rPr>
          <w:i/>
          <w:iCs/>
          <w:highlight w:val="green"/>
          <w:shd w:val="clear" w:color="auto" w:fill="FFFFFF"/>
        </w:rPr>
        <w:t>Journal of Econometrics</w:t>
      </w:r>
      <w:r w:rsidRPr="00D32C43">
        <w:rPr>
          <w:highlight w:val="green"/>
          <w:shd w:val="clear" w:color="auto" w:fill="FFFFFF"/>
        </w:rPr>
        <w:t>, </w:t>
      </w:r>
      <w:r w:rsidRPr="00D32C43">
        <w:rPr>
          <w:i/>
          <w:iCs/>
          <w:highlight w:val="green"/>
          <w:shd w:val="clear" w:color="auto" w:fill="FFFFFF"/>
        </w:rPr>
        <w:t>108</w:t>
      </w:r>
      <w:r w:rsidRPr="00D32C43">
        <w:rPr>
          <w:highlight w:val="green"/>
          <w:shd w:val="clear" w:color="auto" w:fill="FFFFFF"/>
        </w:rPr>
        <w:t>(1), 1-24.</w:t>
      </w:r>
    </w:p>
    <w:p w14:paraId="22A6A5DF" w14:textId="77777777" w:rsidR="00A85593" w:rsidRPr="0092006B" w:rsidRDefault="00A85593" w:rsidP="00A85593">
      <w:pPr>
        <w:spacing w:after="240" w:line="240" w:lineRule="auto"/>
        <w:ind w:left="720" w:hanging="720"/>
        <w:rPr>
          <w:color w:val="FF0000"/>
        </w:rPr>
      </w:pPr>
      <w:r w:rsidRPr="0092006B">
        <w:rPr>
          <w:color w:val="222222"/>
          <w:shd w:val="clear" w:color="auto" w:fill="FFFFFF"/>
        </w:rPr>
        <w:t>Golubeva, O., Duljic, M., &amp; Keminen, R. (2019). The impact of liquidity risk on bank profitability: some empirical evidence from the European banks following the introduction of Basel III regulations. </w:t>
      </w:r>
      <w:r w:rsidRPr="0092006B">
        <w:rPr>
          <w:i/>
          <w:iCs/>
          <w:color w:val="222222"/>
          <w:shd w:val="clear" w:color="auto" w:fill="FFFFFF"/>
        </w:rPr>
        <w:t>Journal of Accounting and Management Information Systems</w:t>
      </w:r>
      <w:r w:rsidRPr="0092006B">
        <w:rPr>
          <w:color w:val="222222"/>
          <w:shd w:val="clear" w:color="auto" w:fill="FFFFFF"/>
        </w:rPr>
        <w:t>, </w:t>
      </w:r>
      <w:r w:rsidRPr="0092006B">
        <w:rPr>
          <w:i/>
          <w:iCs/>
          <w:color w:val="222222"/>
          <w:shd w:val="clear" w:color="auto" w:fill="FFFFFF"/>
        </w:rPr>
        <w:t>18</w:t>
      </w:r>
      <w:r w:rsidRPr="0092006B">
        <w:rPr>
          <w:color w:val="222222"/>
          <w:shd w:val="clear" w:color="auto" w:fill="FFFFFF"/>
        </w:rPr>
        <w:t>(4), 455-485.</w:t>
      </w:r>
    </w:p>
    <w:p w14:paraId="56DAF9EB" w14:textId="77777777" w:rsidR="00797B58" w:rsidRPr="0092006B" w:rsidRDefault="00797B58" w:rsidP="00797B58">
      <w:pPr>
        <w:spacing w:after="240" w:line="240" w:lineRule="auto"/>
        <w:ind w:left="720" w:hanging="720"/>
      </w:pPr>
      <w:r w:rsidRPr="0092006B">
        <w:t xml:space="preserve">Hubbard, G. (2009). Measuring organizational performance: Beyond the triple bottom line. </w:t>
      </w:r>
      <w:r w:rsidRPr="0092006B">
        <w:rPr>
          <w:i/>
        </w:rPr>
        <w:t>Business Strategy and the Environment</w:t>
      </w:r>
      <w:r w:rsidRPr="0092006B">
        <w:t>, 19, 177-191.</w:t>
      </w:r>
    </w:p>
    <w:p w14:paraId="124CB632" w14:textId="77777777" w:rsidR="00DF126E" w:rsidRPr="0092006B" w:rsidRDefault="00DF126E" w:rsidP="00DF126E">
      <w:pPr>
        <w:spacing w:after="240" w:line="240" w:lineRule="auto"/>
        <w:ind w:left="720" w:hanging="720"/>
        <w:rPr>
          <w:shd w:val="clear" w:color="auto" w:fill="FFFFFF"/>
        </w:rPr>
      </w:pPr>
      <w:r w:rsidRPr="0092006B">
        <w:rPr>
          <w:shd w:val="clear" w:color="auto" w:fill="FFFFFF"/>
        </w:rPr>
        <w:t>Jones, A. M. (2007). Panel data methods and applications to health economics. </w:t>
      </w:r>
      <w:r w:rsidRPr="0092006B">
        <w:rPr>
          <w:i/>
          <w:iCs/>
          <w:shd w:val="clear" w:color="auto" w:fill="FFFFFF"/>
        </w:rPr>
        <w:t>TC Mills and K. Petterson, Palgrave Handbook of Econometrics</w:t>
      </w:r>
      <w:r w:rsidRPr="0092006B">
        <w:rPr>
          <w:shd w:val="clear" w:color="auto" w:fill="FFFFFF"/>
        </w:rPr>
        <w:t>, </w:t>
      </w:r>
      <w:r w:rsidRPr="0092006B">
        <w:rPr>
          <w:i/>
          <w:iCs/>
          <w:shd w:val="clear" w:color="auto" w:fill="FFFFFF"/>
        </w:rPr>
        <w:t>2</w:t>
      </w:r>
      <w:r w:rsidRPr="0092006B">
        <w:rPr>
          <w:shd w:val="clear" w:color="auto" w:fill="FFFFFF"/>
        </w:rPr>
        <w:t xml:space="preserve">. </w:t>
      </w:r>
    </w:p>
    <w:p w14:paraId="0BECC7BC" w14:textId="77777777" w:rsidR="002856C7" w:rsidRPr="0092006B" w:rsidRDefault="002856C7" w:rsidP="002856C7">
      <w:pPr>
        <w:spacing w:after="240" w:line="240" w:lineRule="auto"/>
        <w:ind w:left="720" w:hanging="720"/>
      </w:pPr>
      <w:r w:rsidRPr="0092006B">
        <w:t xml:space="preserve">Kimani, G. M &amp; Koori, J (2018). </w:t>
      </w:r>
      <w:r w:rsidRPr="0092006B">
        <w:rPr>
          <w:bCs/>
        </w:rPr>
        <w:t xml:space="preserve">Monetary policy and financial performance of commercial banks in Kenya. </w:t>
      </w:r>
      <w:r w:rsidRPr="0092006B">
        <w:rPr>
          <w:bCs/>
          <w:i/>
        </w:rPr>
        <w:t xml:space="preserve">International Journal of Management and Commerce Innovations </w:t>
      </w:r>
      <w:r w:rsidRPr="0092006B">
        <w:rPr>
          <w:i/>
        </w:rPr>
        <w:t>6</w:t>
      </w:r>
      <w:r w:rsidRPr="0092006B">
        <w:t xml:space="preserve">(1), 1893-1903, </w:t>
      </w:r>
    </w:p>
    <w:p w14:paraId="6C48F001" w14:textId="77777777" w:rsidR="00E22FC8" w:rsidRDefault="00E22FC8" w:rsidP="00E22FC8">
      <w:pPr>
        <w:spacing w:after="240" w:line="240" w:lineRule="auto"/>
        <w:ind w:left="720" w:hanging="720"/>
      </w:pPr>
      <w:r w:rsidRPr="0092006B">
        <w:t xml:space="preserve">Kwakwa, J. W. (2013). </w:t>
      </w:r>
      <w:r w:rsidRPr="0092006B">
        <w:rPr>
          <w:i/>
        </w:rPr>
        <w:t>Relationship between financial performance and size of deposit taking Savings and Credit Cooperative Societies in Kenya</w:t>
      </w:r>
      <w:r w:rsidRPr="0092006B">
        <w:t xml:space="preserve"> (Doctoral dissertation, University of Nairobi).</w:t>
      </w:r>
    </w:p>
    <w:p w14:paraId="506416F5" w14:textId="77777777" w:rsidR="009331CC" w:rsidRPr="0033074C" w:rsidRDefault="009331CC" w:rsidP="009331CC">
      <w:pPr>
        <w:spacing w:after="240" w:line="240" w:lineRule="auto"/>
        <w:ind w:left="720" w:hanging="720"/>
        <w:rPr>
          <w:shd w:val="clear" w:color="auto" w:fill="FFFFFF"/>
        </w:rPr>
      </w:pPr>
      <w:r w:rsidRPr="009331CC">
        <w:rPr>
          <w:highlight w:val="green"/>
          <w:shd w:val="clear" w:color="auto" w:fill="FFFFFF"/>
        </w:rPr>
        <w:t>Khrawish, (2011). A generalization of Shapiro–Wilk's test for multivariate normality. </w:t>
      </w:r>
      <w:r w:rsidRPr="009331CC">
        <w:rPr>
          <w:i/>
          <w:iCs/>
          <w:highlight w:val="green"/>
          <w:shd w:val="clear" w:color="auto" w:fill="FFFFFF"/>
        </w:rPr>
        <w:t>Communications in Statistics—Theory and Methods</w:t>
      </w:r>
      <w:r w:rsidRPr="009331CC">
        <w:rPr>
          <w:highlight w:val="green"/>
          <w:shd w:val="clear" w:color="auto" w:fill="FFFFFF"/>
        </w:rPr>
        <w:t>, </w:t>
      </w:r>
      <w:r w:rsidRPr="009331CC">
        <w:rPr>
          <w:i/>
          <w:iCs/>
          <w:highlight w:val="green"/>
          <w:shd w:val="clear" w:color="auto" w:fill="FFFFFF"/>
        </w:rPr>
        <w:t>38</w:t>
      </w:r>
      <w:r w:rsidRPr="009331CC">
        <w:rPr>
          <w:highlight w:val="green"/>
          <w:shd w:val="clear" w:color="auto" w:fill="FFFFFF"/>
        </w:rPr>
        <w:t>(11), 1870-1883.</w:t>
      </w:r>
    </w:p>
    <w:p w14:paraId="452C4602" w14:textId="77777777" w:rsidR="00E22FC8" w:rsidRDefault="00E22FC8" w:rsidP="00E22FC8">
      <w:pPr>
        <w:spacing w:after="240" w:line="240" w:lineRule="auto"/>
        <w:ind w:left="720" w:hanging="720"/>
      </w:pPr>
      <w:r w:rsidRPr="0092006B">
        <w:t xml:space="preserve">Keynes, G. (2013). </w:t>
      </w:r>
      <w:r w:rsidRPr="0092006B">
        <w:rPr>
          <w:i/>
        </w:rPr>
        <w:t>The relationship between financial management practices and financial performance in the shipping industry in Kenya.</w:t>
      </w:r>
      <w:r w:rsidRPr="0092006B">
        <w:t xml:space="preserve"> An unpublished MBA Thesis, University of Nairobi</w:t>
      </w:r>
    </w:p>
    <w:p w14:paraId="09746E64" w14:textId="77777777" w:rsidR="000863F6" w:rsidRPr="0033074C" w:rsidRDefault="000863F6" w:rsidP="000863F6">
      <w:pPr>
        <w:spacing w:after="240" w:line="240" w:lineRule="auto"/>
        <w:ind w:left="720" w:hanging="720"/>
      </w:pPr>
      <w:r w:rsidRPr="0019084A">
        <w:rPr>
          <w:highlight w:val="green"/>
        </w:rPr>
        <w:t xml:space="preserve">Muhamad &amp; Che Arshad, (2019). Measuring organizational performance: Beyond the triple bottom line. </w:t>
      </w:r>
      <w:r w:rsidRPr="0019084A">
        <w:rPr>
          <w:i/>
          <w:highlight w:val="green"/>
        </w:rPr>
        <w:t>Business Strategy and the Environment</w:t>
      </w:r>
      <w:r w:rsidRPr="0019084A">
        <w:rPr>
          <w:highlight w:val="green"/>
        </w:rPr>
        <w:t>, 19, 177-191.</w:t>
      </w:r>
    </w:p>
    <w:p w14:paraId="4EB8917F" w14:textId="77777777" w:rsidR="00E22FC8" w:rsidRPr="0092006B" w:rsidRDefault="00E22FC8" w:rsidP="00E22FC8">
      <w:pPr>
        <w:spacing w:after="240" w:line="240" w:lineRule="auto"/>
        <w:ind w:left="720" w:hanging="720"/>
      </w:pPr>
      <w:r w:rsidRPr="0092006B">
        <w:t xml:space="preserve">Mulwa, G. K. (2015). </w:t>
      </w:r>
      <w:r w:rsidRPr="0092006B">
        <w:rPr>
          <w:bCs/>
        </w:rPr>
        <w:t>The effect of monetary policy on the financial performance of commercial banks in Kenya</w:t>
      </w:r>
    </w:p>
    <w:p w14:paraId="7CE7B1EE" w14:textId="77777777" w:rsidR="00FD3DAC" w:rsidRPr="0092006B" w:rsidRDefault="00FD3DAC" w:rsidP="00FD3DAC">
      <w:pPr>
        <w:spacing w:after="240" w:line="240" w:lineRule="auto"/>
        <w:ind w:left="720" w:hanging="720"/>
        <w:rPr>
          <w:shd w:val="clear" w:color="auto" w:fill="FFFFFF"/>
        </w:rPr>
      </w:pPr>
      <w:r w:rsidRPr="0092006B">
        <w:rPr>
          <w:shd w:val="clear" w:color="auto" w:fill="FFFFFF"/>
        </w:rPr>
        <w:t>Monsen, K. A. (2018). Inferential Analysis and Interpretation. In </w:t>
      </w:r>
      <w:r w:rsidRPr="0092006B">
        <w:rPr>
          <w:i/>
          <w:iCs/>
          <w:shd w:val="clear" w:color="auto" w:fill="FFFFFF"/>
        </w:rPr>
        <w:t>Intervention Effectiveness Research: Quality Improvement and Program Evaluation</w:t>
      </w:r>
      <w:r w:rsidRPr="0092006B">
        <w:rPr>
          <w:shd w:val="clear" w:color="auto" w:fill="FFFFFF"/>
        </w:rPr>
        <w:t> (pp. 63-75). Springer, Cham.</w:t>
      </w:r>
    </w:p>
    <w:p w14:paraId="619A42FB" w14:textId="77777777" w:rsidR="00F14915" w:rsidRPr="0092006B" w:rsidRDefault="00F14915" w:rsidP="00F14915">
      <w:pPr>
        <w:spacing w:after="240" w:line="240" w:lineRule="auto"/>
        <w:ind w:left="720" w:hanging="720"/>
      </w:pPr>
      <w:r w:rsidRPr="0092006B">
        <w:t>Musabi, A. B. &amp; Mutua, M. (2018). Influence of prudential regulations on financial performance of</w:t>
      </w:r>
      <w:r w:rsidRPr="0092006B">
        <w:rPr>
          <w:w w:val="95"/>
        </w:rPr>
        <w:t xml:space="preserve"> </w:t>
      </w:r>
      <w:r w:rsidRPr="0092006B">
        <w:t xml:space="preserve">commercial banks in Kenya. </w:t>
      </w:r>
      <w:r w:rsidRPr="0092006B">
        <w:rPr>
          <w:i/>
        </w:rPr>
        <w:t>International Journal of Management and Commerce Innovations, 5</w:t>
      </w:r>
      <w:r w:rsidRPr="0092006B">
        <w:t>(2), 1025-1039</w:t>
      </w:r>
    </w:p>
    <w:p w14:paraId="1EAFECA0" w14:textId="77777777" w:rsidR="00F14915" w:rsidRPr="0092006B" w:rsidRDefault="00F14915" w:rsidP="00F14915">
      <w:pPr>
        <w:spacing w:after="240" w:line="240" w:lineRule="auto"/>
        <w:ind w:left="720" w:hanging="720"/>
      </w:pPr>
      <w:r w:rsidRPr="0092006B">
        <w:lastRenderedPageBreak/>
        <w:t xml:space="preserve">Nzioka, A. N. (2010). </w:t>
      </w:r>
      <w:r w:rsidRPr="0092006B">
        <w:rPr>
          <w:i/>
          <w:iCs/>
        </w:rPr>
        <w:t>A survey of the use of financial performance indicators by SACCOS in Kenya</w:t>
      </w:r>
      <w:r w:rsidRPr="0092006B">
        <w:t>, An unpublished MBA Thesis, University of Nairobi</w:t>
      </w:r>
    </w:p>
    <w:p w14:paraId="17EA3172" w14:textId="77777777" w:rsidR="00A91C98" w:rsidRPr="0092006B" w:rsidRDefault="00A91C98" w:rsidP="00A91C98">
      <w:pPr>
        <w:spacing w:after="240" w:line="240" w:lineRule="auto"/>
        <w:ind w:left="720" w:hanging="720"/>
        <w:rPr>
          <w:i/>
        </w:rPr>
      </w:pPr>
      <w:r w:rsidRPr="0092006B">
        <w:t xml:space="preserve">Ongore, V. O. &amp; Kusa, G. B. (2013). Determinants of financial performance of commercial banks in Kenya. </w:t>
      </w:r>
      <w:r w:rsidRPr="0092006B">
        <w:rPr>
          <w:i/>
        </w:rPr>
        <w:t>International Journal of Economics and Financial Issues, 3(1), 44-57.</w:t>
      </w:r>
    </w:p>
    <w:p w14:paraId="0E77AB8C" w14:textId="77777777" w:rsidR="00A91C98" w:rsidRPr="0092006B" w:rsidRDefault="00A91C98" w:rsidP="00A91C98">
      <w:pPr>
        <w:tabs>
          <w:tab w:val="left" w:pos="8280"/>
          <w:tab w:val="left" w:pos="8550"/>
        </w:tabs>
        <w:spacing w:after="240" w:line="240" w:lineRule="auto"/>
        <w:ind w:left="720" w:hanging="720"/>
      </w:pPr>
      <w:r w:rsidRPr="0092006B">
        <w:t xml:space="preserve">Osuagwu, E.S (2014). Determinants of bank profitability in Nigeria. </w:t>
      </w:r>
      <w:r w:rsidRPr="0092006B">
        <w:rPr>
          <w:i/>
        </w:rPr>
        <w:t xml:space="preserve">International Journal of Economics and Finance, 6 </w:t>
      </w:r>
      <w:r w:rsidRPr="0092006B">
        <w:t>(12).</w:t>
      </w:r>
    </w:p>
    <w:p w14:paraId="1FFCD821" w14:textId="77777777" w:rsidR="00A91C98" w:rsidRPr="0092006B" w:rsidRDefault="00A91C98" w:rsidP="00A91C98">
      <w:pPr>
        <w:spacing w:after="240" w:line="240" w:lineRule="auto"/>
        <w:ind w:left="720" w:hanging="720"/>
      </w:pPr>
      <w:r w:rsidRPr="0092006B">
        <w:t xml:space="preserve">Otuori, O.H. (2013). Influence of exchange rate determinants on the performance of commercial banks in Kenya. </w:t>
      </w:r>
      <w:r w:rsidRPr="0092006B">
        <w:rPr>
          <w:i/>
          <w:iCs/>
        </w:rPr>
        <w:t>European Journal of Management Sciences and Economics, 1</w:t>
      </w:r>
      <w:r w:rsidRPr="0092006B">
        <w:t>(2), 86-98.</w:t>
      </w:r>
    </w:p>
    <w:p w14:paraId="1A1E80DB" w14:textId="77777777" w:rsidR="007A784F" w:rsidRPr="0092006B" w:rsidRDefault="007A784F" w:rsidP="007A784F">
      <w:pPr>
        <w:spacing w:after="240" w:line="240" w:lineRule="auto"/>
        <w:ind w:left="720" w:hanging="720"/>
      </w:pPr>
      <w:r w:rsidRPr="0092006B">
        <w:t xml:space="preserve">Okumu, O. J. &amp; Oyugi, L. (2016). Factors Influencing financial performance among savings and credit cooperative societies in Kisumu, Kenya, </w:t>
      </w:r>
      <w:r w:rsidRPr="0092006B">
        <w:rPr>
          <w:i/>
          <w:iCs/>
        </w:rPr>
        <w:t>International Journal of Current Research</w:t>
      </w:r>
      <w:r w:rsidRPr="0092006B">
        <w:t xml:space="preserve">, </w:t>
      </w:r>
      <w:r w:rsidRPr="0092006B">
        <w:rPr>
          <w:i/>
        </w:rPr>
        <w:t>8</w:t>
      </w:r>
      <w:r w:rsidRPr="0092006B">
        <w:t xml:space="preserve">(5), 31293-31310 </w:t>
      </w:r>
    </w:p>
    <w:p w14:paraId="0B0652D7" w14:textId="77777777" w:rsidR="001D4A55" w:rsidRPr="0092006B" w:rsidRDefault="001D4A55" w:rsidP="001D4A55">
      <w:pPr>
        <w:spacing w:after="240" w:line="240" w:lineRule="auto"/>
        <w:ind w:left="720" w:hanging="720"/>
      </w:pPr>
      <w:r w:rsidRPr="0092006B">
        <w:t>Olalekan, A. (2015). Capital adequacy and banks’ profitability: Empirical evidence from Nigeria</w:t>
      </w:r>
      <w:r w:rsidRPr="0092006B">
        <w:rPr>
          <w:i/>
          <w:iCs/>
        </w:rPr>
        <w:t>. American international Journal of Contemporary Research</w:t>
      </w:r>
      <w:r w:rsidRPr="0092006B">
        <w:t xml:space="preserve">, 3(10), 77-87. </w:t>
      </w:r>
    </w:p>
    <w:p w14:paraId="3D5A3ADF" w14:textId="77777777" w:rsidR="00FC34D0" w:rsidRPr="0092006B" w:rsidRDefault="00FC34D0" w:rsidP="00FC34D0">
      <w:pPr>
        <w:tabs>
          <w:tab w:val="left" w:pos="8280"/>
          <w:tab w:val="left" w:pos="8550"/>
        </w:tabs>
        <w:spacing w:after="240" w:line="240" w:lineRule="auto"/>
        <w:ind w:left="720" w:hanging="720"/>
        <w:rPr>
          <w:color w:val="222222"/>
          <w:shd w:val="clear" w:color="auto" w:fill="FFFFFF"/>
        </w:rPr>
      </w:pPr>
      <w:r w:rsidRPr="0092006B">
        <w:rPr>
          <w:color w:val="222222"/>
          <w:shd w:val="clear" w:color="auto" w:fill="FFFFFF"/>
        </w:rPr>
        <w:t>Pradhan, P., Shyam, R., &amp; Shrestha, D. (2016). Impact of liquidity on bank profitability in Nepalese commercial banks. </w:t>
      </w:r>
      <w:r w:rsidRPr="0092006B">
        <w:rPr>
          <w:i/>
          <w:iCs/>
          <w:color w:val="222222"/>
          <w:shd w:val="clear" w:color="auto" w:fill="FFFFFF"/>
        </w:rPr>
        <w:t>Radhe Shyam and Shrestha, Deepanjal, Impact of Liquidity on Bank Profitability in Nepalese Commercial Banks (June 9, 2016)</w:t>
      </w:r>
      <w:r w:rsidRPr="0092006B">
        <w:rPr>
          <w:color w:val="222222"/>
          <w:shd w:val="clear" w:color="auto" w:fill="FFFFFF"/>
        </w:rPr>
        <w:t>.</w:t>
      </w:r>
    </w:p>
    <w:p w14:paraId="31CA9FC0" w14:textId="77777777" w:rsidR="004E3D2D" w:rsidRPr="0092006B" w:rsidRDefault="004E3D2D" w:rsidP="004E3D2D">
      <w:pPr>
        <w:spacing w:after="240" w:line="240" w:lineRule="auto"/>
        <w:ind w:left="720" w:hanging="720"/>
        <w:rPr>
          <w:shd w:val="clear" w:color="auto" w:fill="FFFFFF"/>
        </w:rPr>
      </w:pPr>
      <w:r w:rsidRPr="0092006B">
        <w:rPr>
          <w:shd w:val="clear" w:color="auto" w:fill="FFFFFF"/>
        </w:rPr>
        <w:t>Penrose, E. (1959). The theory of the growth of the firm. </w:t>
      </w:r>
      <w:r w:rsidRPr="0092006B">
        <w:rPr>
          <w:i/>
          <w:iCs/>
          <w:shd w:val="clear" w:color="auto" w:fill="FFFFFF"/>
        </w:rPr>
        <w:t>John Wiley &amp; Sons, New York</w:t>
      </w:r>
      <w:r w:rsidRPr="0092006B">
        <w:rPr>
          <w:shd w:val="clear" w:color="auto" w:fill="FFFFFF"/>
        </w:rPr>
        <w:t>.</w:t>
      </w:r>
    </w:p>
    <w:p w14:paraId="366B0D09" w14:textId="77777777" w:rsidR="009F3871" w:rsidRPr="0092006B" w:rsidRDefault="009F3871" w:rsidP="009F3871">
      <w:pPr>
        <w:spacing w:after="240" w:line="240" w:lineRule="auto"/>
        <w:ind w:left="720" w:hanging="720"/>
        <w:rPr>
          <w:shd w:val="clear" w:color="auto" w:fill="FFFFFF"/>
        </w:rPr>
      </w:pPr>
      <w:r w:rsidRPr="0092006B">
        <w:rPr>
          <w:shd w:val="clear" w:color="auto" w:fill="FFFFFF"/>
        </w:rPr>
        <w:t>Raharjo, P. G., Hakim, D. B., Manurung, A. H., &amp; Maulana, T. N. (2014). The determinant of commercial banks' interest margin in Indonesia: An analysis of fixed effect panel regression. </w:t>
      </w:r>
      <w:r w:rsidRPr="0092006B">
        <w:rPr>
          <w:i/>
          <w:iCs/>
          <w:shd w:val="clear" w:color="auto" w:fill="FFFFFF"/>
        </w:rPr>
        <w:t>International Journal of Economics and Financial Issues</w:t>
      </w:r>
      <w:r w:rsidRPr="0092006B">
        <w:rPr>
          <w:shd w:val="clear" w:color="auto" w:fill="FFFFFF"/>
        </w:rPr>
        <w:t>, </w:t>
      </w:r>
      <w:r w:rsidRPr="0092006B">
        <w:rPr>
          <w:i/>
          <w:iCs/>
          <w:shd w:val="clear" w:color="auto" w:fill="FFFFFF"/>
        </w:rPr>
        <w:t>4</w:t>
      </w:r>
      <w:r w:rsidRPr="0092006B">
        <w:rPr>
          <w:shd w:val="clear" w:color="auto" w:fill="FFFFFF"/>
        </w:rPr>
        <w:t>(2), 295-306..</w:t>
      </w:r>
    </w:p>
    <w:p w14:paraId="328CACCF" w14:textId="77777777" w:rsidR="00167C75" w:rsidRPr="0092006B" w:rsidRDefault="00167C75" w:rsidP="00167C75">
      <w:pPr>
        <w:spacing w:after="240" w:line="240" w:lineRule="auto"/>
        <w:ind w:left="720" w:hanging="720"/>
      </w:pPr>
      <w:r w:rsidRPr="0092006B">
        <w:t>Sangmi, M., &amp; Nazir, T. (2016). Analyzing financial performance of commercial banks in India</w:t>
      </w:r>
      <w:r w:rsidRPr="0092006B">
        <w:rPr>
          <w:i/>
          <w:iCs/>
        </w:rPr>
        <w:t>, Pak. Commer. Soc. Sci</w:t>
      </w:r>
      <w:r w:rsidRPr="0092006B">
        <w:t xml:space="preserve">.. </w:t>
      </w:r>
      <w:r w:rsidRPr="0092006B">
        <w:rPr>
          <w:i/>
        </w:rPr>
        <w:t>4</w:t>
      </w:r>
      <w:r w:rsidRPr="0092006B">
        <w:t>(1), 40-55</w:t>
      </w:r>
    </w:p>
    <w:p w14:paraId="5E073A82" w14:textId="77777777" w:rsidR="00616E93" w:rsidRPr="0092006B" w:rsidRDefault="00616E93" w:rsidP="00616E93">
      <w:pPr>
        <w:spacing w:after="240" w:line="240" w:lineRule="auto"/>
        <w:ind w:left="720" w:hanging="720"/>
      </w:pPr>
      <w:r w:rsidRPr="0092006B">
        <w:t xml:space="preserve">Sheefeni, J. P. (2015). The macroeconomic determinants of profitability among commercial banks in Namibia. </w:t>
      </w:r>
      <w:r w:rsidRPr="0092006B">
        <w:rPr>
          <w:i/>
        </w:rPr>
        <w:t>Journal of Emerging Issues in Economics, Finance and Banking</w:t>
      </w:r>
      <w:r w:rsidRPr="0092006B">
        <w:t xml:space="preserve">, </w:t>
      </w:r>
      <w:r w:rsidRPr="0092006B">
        <w:rPr>
          <w:i/>
        </w:rPr>
        <w:t>4</w:t>
      </w:r>
      <w:r w:rsidRPr="0092006B">
        <w:t>(1).</w:t>
      </w:r>
    </w:p>
    <w:p w14:paraId="3879FA8B" w14:textId="77777777" w:rsidR="00EC58C5" w:rsidRPr="0092006B" w:rsidRDefault="00EC58C5" w:rsidP="00EC58C5">
      <w:pPr>
        <w:spacing w:after="240" w:line="240" w:lineRule="auto"/>
        <w:ind w:left="720" w:hanging="720"/>
        <w:rPr>
          <w:shd w:val="clear" w:color="auto" w:fill="FFFFFF"/>
        </w:rPr>
      </w:pPr>
      <w:r w:rsidRPr="0092006B">
        <w:rPr>
          <w:shd w:val="clear" w:color="auto" w:fill="FFFFFF"/>
        </w:rPr>
        <w:t>Srithrann, M., Lewis, P., &amp; Thornhill, A. (2012). Research methods for business students (6. utg.). </w:t>
      </w:r>
      <w:r w:rsidRPr="0092006B">
        <w:rPr>
          <w:i/>
          <w:iCs/>
          <w:shd w:val="clear" w:color="auto" w:fill="FFFFFF"/>
        </w:rPr>
        <w:t>Harlow: Pearson</w:t>
      </w:r>
      <w:r w:rsidRPr="0092006B">
        <w:rPr>
          <w:shd w:val="clear" w:color="auto" w:fill="FFFFFF"/>
        </w:rPr>
        <w:t>.</w:t>
      </w:r>
    </w:p>
    <w:p w14:paraId="08DAB951" w14:textId="77777777" w:rsidR="0077042C" w:rsidRPr="0092006B" w:rsidRDefault="0077042C" w:rsidP="0077042C">
      <w:pPr>
        <w:spacing w:after="240" w:line="240" w:lineRule="auto"/>
        <w:ind w:left="720" w:hanging="720"/>
      </w:pPr>
      <w:r w:rsidRPr="0092006B">
        <w:t xml:space="preserve">Yu, V., Damji, R., Vora, V., &amp; Anand, L. (2014). Regulation on microfinance: Effect upon profitability and loan diversity. </w:t>
      </w:r>
      <w:r w:rsidRPr="0092006B">
        <w:rPr>
          <w:i/>
        </w:rPr>
        <w:t>UChicago Business Journal</w:t>
      </w:r>
      <w:r w:rsidRPr="0092006B">
        <w:t>, 1-20.</w:t>
      </w:r>
    </w:p>
    <w:p w14:paraId="4A04047C" w14:textId="77777777" w:rsidR="0077042C" w:rsidRPr="0092006B" w:rsidRDefault="0077042C" w:rsidP="0077042C">
      <w:pPr>
        <w:spacing w:after="240" w:line="240" w:lineRule="auto"/>
        <w:ind w:left="720" w:hanging="720"/>
        <w:rPr>
          <w:shd w:val="clear" w:color="auto" w:fill="FFFFFF"/>
        </w:rPr>
      </w:pPr>
      <w:r w:rsidRPr="0092006B">
        <w:rPr>
          <w:shd w:val="clear" w:color="auto" w:fill="FFFFFF"/>
        </w:rPr>
        <w:t>Zainuldin, M. H., Lui, T. K., &amp; Yii, K. J. (2018). Principal-agent relationship issues in Islamic banks: a view of Islamic ethical system. </w:t>
      </w:r>
      <w:r w:rsidRPr="0092006B">
        <w:rPr>
          <w:i/>
          <w:iCs/>
          <w:shd w:val="clear" w:color="auto" w:fill="FFFFFF"/>
        </w:rPr>
        <w:t>International Journal of Islamic and Middle Eastern Finance and Management</w:t>
      </w:r>
      <w:r w:rsidRPr="0092006B">
        <w:rPr>
          <w:shd w:val="clear" w:color="auto" w:fill="FFFFFF"/>
        </w:rPr>
        <w:t xml:space="preserve">, </w:t>
      </w:r>
      <w:r w:rsidRPr="0092006B">
        <w:rPr>
          <w:i/>
          <w:shd w:val="clear" w:color="auto" w:fill="FFFFFF"/>
        </w:rPr>
        <w:t>11</w:t>
      </w:r>
      <w:r w:rsidRPr="0092006B">
        <w:rPr>
          <w:shd w:val="clear" w:color="auto" w:fill="FFFFFF"/>
        </w:rPr>
        <w:t>(2), 91-105.</w:t>
      </w:r>
    </w:p>
    <w:p w14:paraId="6FF46332" w14:textId="77777777" w:rsidR="008B7D65" w:rsidRPr="0092006B" w:rsidRDefault="008B7D65" w:rsidP="008B7D65">
      <w:pPr>
        <w:spacing w:after="240" w:line="240" w:lineRule="auto"/>
        <w:ind w:left="720" w:hanging="720"/>
      </w:pPr>
      <w:r w:rsidRPr="0092006B">
        <w:t>World Bank (2017): World Bank Annual Report. Bank’s Return on Equity for Kenya.</w:t>
      </w:r>
    </w:p>
    <w:p w14:paraId="0D002759" w14:textId="77777777" w:rsidR="00E1453F" w:rsidRPr="0033074C" w:rsidRDefault="00E1453F" w:rsidP="00E1453F">
      <w:pPr>
        <w:spacing w:after="240" w:line="240" w:lineRule="auto"/>
        <w:ind w:left="720" w:hanging="720"/>
      </w:pPr>
      <w:r w:rsidRPr="0092006B">
        <w:t xml:space="preserve">Whisman, M. A., &amp; McClelland, G. H. (2005). Designing, Testing, and Interpreting Interactions and Moderator Effects in Family Research. </w:t>
      </w:r>
      <w:r w:rsidRPr="0092006B">
        <w:rPr>
          <w:rStyle w:val="Emphasis"/>
        </w:rPr>
        <w:t>Journal of Family Psychology, 19</w:t>
      </w:r>
      <w:r w:rsidRPr="0092006B">
        <w:t>(1), 111-120.</w:t>
      </w:r>
      <w:r w:rsidRPr="0033074C">
        <w:t xml:space="preserve"> </w:t>
      </w:r>
    </w:p>
    <w:p w14:paraId="2F9CBFE6" w14:textId="77777777" w:rsidR="00055D83" w:rsidRPr="005C6C2D" w:rsidRDefault="00055D83" w:rsidP="00055D83">
      <w:pPr>
        <w:shd w:val="clear" w:color="auto" w:fill="FFFFFF"/>
        <w:spacing w:line="240" w:lineRule="auto"/>
        <w:rPr>
          <w:rFonts w:eastAsia="Times New Roman" w:cs="Times New Roman"/>
          <w:b/>
          <w:bCs/>
          <w:color w:val="000000" w:themeColor="text1"/>
          <w:szCs w:val="24"/>
        </w:rPr>
      </w:pPr>
    </w:p>
    <w:p w14:paraId="2B7AADF4" w14:textId="77777777" w:rsidR="00055D83" w:rsidRPr="005C6C2D" w:rsidRDefault="00055D83" w:rsidP="00055D83">
      <w:pPr>
        <w:shd w:val="clear" w:color="auto" w:fill="FFFFFF"/>
        <w:spacing w:line="240" w:lineRule="auto"/>
        <w:rPr>
          <w:rFonts w:eastAsia="Times New Roman" w:cs="Times New Roman"/>
          <w:b/>
          <w:bCs/>
          <w:color w:val="000000" w:themeColor="text1"/>
          <w:szCs w:val="24"/>
        </w:rPr>
      </w:pPr>
    </w:p>
    <w:p w14:paraId="1C70237D" w14:textId="77777777" w:rsidR="00055D83" w:rsidRPr="005C6C2D" w:rsidRDefault="00055D83" w:rsidP="00055D83">
      <w:pPr>
        <w:spacing w:before="0" w:line="240" w:lineRule="auto"/>
        <w:rPr>
          <w:rFonts w:eastAsia="SimSun" w:cs="Times New Roman"/>
          <w:b/>
          <w:bCs/>
          <w:color w:val="000000" w:themeColor="text1"/>
          <w:szCs w:val="24"/>
        </w:rPr>
      </w:pPr>
    </w:p>
    <w:p w14:paraId="150E2E95" w14:textId="77777777" w:rsidR="00055D83" w:rsidRPr="005C6C2D" w:rsidRDefault="00055D83" w:rsidP="00055D83">
      <w:pPr>
        <w:spacing w:before="0" w:line="240" w:lineRule="auto"/>
        <w:jc w:val="center"/>
        <w:rPr>
          <w:rFonts w:cs="Times New Roman"/>
          <w:b/>
          <w:bCs/>
          <w:color w:val="000000" w:themeColor="text1"/>
          <w:szCs w:val="24"/>
        </w:rPr>
      </w:pPr>
    </w:p>
    <w:p w14:paraId="5C1DB822" w14:textId="77777777" w:rsidR="00055D83" w:rsidRPr="005C6C2D" w:rsidRDefault="00055D83" w:rsidP="00055D83">
      <w:pPr>
        <w:spacing w:line="240" w:lineRule="auto"/>
        <w:rPr>
          <w:rFonts w:cs="Times New Roman"/>
          <w:color w:val="000000" w:themeColor="text1"/>
          <w:szCs w:val="24"/>
        </w:rPr>
      </w:pPr>
    </w:p>
    <w:p w14:paraId="264FB089" w14:textId="77777777" w:rsidR="00E22B03" w:rsidRDefault="00E22B03"/>
    <w:sectPr w:rsidR="00E22B03" w:rsidSect="00055D83">
      <w:headerReference w:type="even" r:id="rId7"/>
      <w:headerReference w:type="default" r:id="rId8"/>
      <w:footerReference w:type="even" r:id="rId9"/>
      <w:footerReference w:type="default" r:id="rId10"/>
      <w:headerReference w:type="first" r:id="rId11"/>
      <w:footerReference w:type="first" r:id="rId12"/>
      <w:pgSz w:w="12240" w:h="15840" w:code="1"/>
      <w:pgMar w:top="1094" w:right="605" w:bottom="605" w:left="605" w:header="34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15C06" w14:textId="77777777" w:rsidR="008C5CA1" w:rsidRDefault="008C5CA1">
      <w:pPr>
        <w:spacing w:before="0" w:line="240" w:lineRule="auto"/>
      </w:pPr>
      <w:r>
        <w:separator/>
      </w:r>
    </w:p>
  </w:endnote>
  <w:endnote w:type="continuationSeparator" w:id="0">
    <w:p w14:paraId="3541A652" w14:textId="77777777" w:rsidR="008C5CA1" w:rsidRDefault="008C5CA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IDFont+F1">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EF445" w14:textId="77777777" w:rsidR="00740CFE" w:rsidRDefault="00740C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236679"/>
      <w:docPartObj>
        <w:docPartGallery w:val="Page Numbers (Bottom of Page)"/>
        <w:docPartUnique/>
      </w:docPartObj>
    </w:sdtPr>
    <w:sdtEndPr>
      <w:rPr>
        <w:noProof/>
        <w:sz w:val="20"/>
        <w:szCs w:val="18"/>
      </w:rPr>
    </w:sdtEndPr>
    <w:sdtContent>
      <w:p w14:paraId="78E128D3" w14:textId="77777777" w:rsidR="004A12F4" w:rsidRPr="008A0558" w:rsidRDefault="001D528C">
        <w:pPr>
          <w:pStyle w:val="Footer"/>
          <w:jc w:val="center"/>
          <w:rPr>
            <w:sz w:val="20"/>
            <w:szCs w:val="18"/>
          </w:rPr>
        </w:pPr>
        <w:r w:rsidRPr="008A0558">
          <w:rPr>
            <w:sz w:val="20"/>
            <w:szCs w:val="18"/>
          </w:rPr>
          <w:fldChar w:fldCharType="begin"/>
        </w:r>
        <w:r w:rsidRPr="008A0558">
          <w:rPr>
            <w:sz w:val="20"/>
            <w:szCs w:val="18"/>
          </w:rPr>
          <w:instrText xml:space="preserve"> PAGE   \* MERGEFORMAT </w:instrText>
        </w:r>
        <w:r w:rsidRPr="008A0558">
          <w:rPr>
            <w:sz w:val="20"/>
            <w:szCs w:val="18"/>
          </w:rPr>
          <w:fldChar w:fldCharType="separate"/>
        </w:r>
        <w:r w:rsidR="00771FD9">
          <w:rPr>
            <w:noProof/>
            <w:sz w:val="20"/>
            <w:szCs w:val="18"/>
          </w:rPr>
          <w:t>4</w:t>
        </w:r>
        <w:r w:rsidRPr="008A0558">
          <w:rPr>
            <w:noProof/>
            <w:sz w:val="20"/>
            <w:szCs w:val="18"/>
          </w:rPr>
          <w:fldChar w:fldCharType="end"/>
        </w:r>
      </w:p>
    </w:sdtContent>
  </w:sdt>
  <w:p w14:paraId="70E80D4D" w14:textId="77777777" w:rsidR="004A12F4" w:rsidRDefault="004A12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FC566" w14:textId="77777777" w:rsidR="00740CFE" w:rsidRDefault="00740C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C4446" w14:textId="77777777" w:rsidR="008C5CA1" w:rsidRDefault="008C5CA1">
      <w:pPr>
        <w:spacing w:before="0" w:line="240" w:lineRule="auto"/>
      </w:pPr>
      <w:r>
        <w:separator/>
      </w:r>
    </w:p>
  </w:footnote>
  <w:footnote w:type="continuationSeparator" w:id="0">
    <w:p w14:paraId="3D7D7EDF" w14:textId="77777777" w:rsidR="008C5CA1" w:rsidRDefault="008C5CA1">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D87EE" w14:textId="5409BDCE" w:rsidR="00740CFE" w:rsidRDefault="008C5CA1">
    <w:pPr>
      <w:pStyle w:val="Header"/>
    </w:pPr>
    <w:r>
      <w:rPr>
        <w:noProof/>
      </w:rPr>
      <w:pict w14:anchorId="17A946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037110" o:spid="_x0000_s2050" type="#_x0000_t136" style="position:absolute;left:0;text-align:left;margin-left:0;margin-top:0;width:699.8pt;height:77.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9F79F" w14:textId="58D86957" w:rsidR="00740CFE" w:rsidRDefault="008C5CA1">
    <w:pPr>
      <w:pStyle w:val="Header"/>
    </w:pPr>
    <w:r>
      <w:rPr>
        <w:noProof/>
      </w:rPr>
      <w:pict w14:anchorId="1E485B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037111" o:spid="_x0000_s2051" type="#_x0000_t136" style="position:absolute;left:0;text-align:left;margin-left:0;margin-top:0;width:699.8pt;height:77.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81A87" w14:textId="2F43C14A" w:rsidR="00740CFE" w:rsidRDefault="008C5CA1">
    <w:pPr>
      <w:pStyle w:val="Header"/>
    </w:pPr>
    <w:r>
      <w:rPr>
        <w:noProof/>
      </w:rPr>
      <w:pict w14:anchorId="4C31D8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037109" o:spid="_x0000_s2049" type="#_x0000_t136" style="position:absolute;left:0;text-align:left;margin-left:0;margin-top:0;width:699.8pt;height:77.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F32EA"/>
    <w:multiLevelType w:val="hybridMultilevel"/>
    <w:tmpl w:val="E7D6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D63F92"/>
    <w:multiLevelType w:val="hybridMultilevel"/>
    <w:tmpl w:val="0010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B72972"/>
    <w:multiLevelType w:val="hybridMultilevel"/>
    <w:tmpl w:val="4F30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C84D78"/>
    <w:multiLevelType w:val="multilevel"/>
    <w:tmpl w:val="C2EA0EBE"/>
    <w:lvl w:ilvl="0">
      <w:start w:val="4"/>
      <w:numFmt w:val="decimal"/>
      <w:lvlText w:val="%1"/>
      <w:lvlJc w:val="left"/>
      <w:pPr>
        <w:ind w:left="525" w:hanging="360"/>
      </w:pPr>
      <w:rPr>
        <w:rFonts w:hint="default"/>
        <w:lang w:val="en-US" w:eastAsia="en-US" w:bidi="ar-SA"/>
      </w:rPr>
    </w:lvl>
    <w:lvl w:ilvl="1">
      <w:start w:val="1"/>
      <w:numFmt w:val="decimal"/>
      <w:lvlText w:val="%1.%2"/>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0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60" w:hanging="540"/>
      </w:pPr>
      <w:rPr>
        <w:rFonts w:hint="default"/>
        <w:lang w:val="en-US" w:eastAsia="en-US" w:bidi="ar-SA"/>
      </w:rPr>
    </w:lvl>
    <w:lvl w:ilvl="4">
      <w:numFmt w:val="bullet"/>
      <w:lvlText w:val="•"/>
      <w:lvlJc w:val="left"/>
      <w:pPr>
        <w:ind w:left="1090" w:hanging="540"/>
      </w:pPr>
      <w:rPr>
        <w:rFonts w:hint="default"/>
        <w:lang w:val="en-US" w:eastAsia="en-US" w:bidi="ar-SA"/>
      </w:rPr>
    </w:lvl>
    <w:lvl w:ilvl="5">
      <w:numFmt w:val="bullet"/>
      <w:lvlText w:val="•"/>
      <w:lvlJc w:val="left"/>
      <w:pPr>
        <w:ind w:left="1220" w:hanging="540"/>
      </w:pPr>
      <w:rPr>
        <w:rFonts w:hint="default"/>
        <w:lang w:val="en-US" w:eastAsia="en-US" w:bidi="ar-SA"/>
      </w:rPr>
    </w:lvl>
    <w:lvl w:ilvl="6">
      <w:numFmt w:val="bullet"/>
      <w:lvlText w:val="•"/>
      <w:lvlJc w:val="left"/>
      <w:pPr>
        <w:ind w:left="1351" w:hanging="540"/>
      </w:pPr>
      <w:rPr>
        <w:rFonts w:hint="default"/>
        <w:lang w:val="en-US" w:eastAsia="en-US" w:bidi="ar-SA"/>
      </w:rPr>
    </w:lvl>
    <w:lvl w:ilvl="7">
      <w:numFmt w:val="bullet"/>
      <w:lvlText w:val="•"/>
      <w:lvlJc w:val="left"/>
      <w:pPr>
        <w:ind w:left="1481" w:hanging="540"/>
      </w:pPr>
      <w:rPr>
        <w:rFonts w:hint="default"/>
        <w:lang w:val="en-US" w:eastAsia="en-US" w:bidi="ar-SA"/>
      </w:rPr>
    </w:lvl>
    <w:lvl w:ilvl="8">
      <w:numFmt w:val="bullet"/>
      <w:lvlText w:val="•"/>
      <w:lvlJc w:val="left"/>
      <w:pPr>
        <w:ind w:left="1611" w:hanging="540"/>
      </w:pPr>
      <w:rPr>
        <w:rFonts w:hint="default"/>
        <w:lang w:val="en-US"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D83"/>
    <w:rsid w:val="00014726"/>
    <w:rsid w:val="000443AB"/>
    <w:rsid w:val="000446E8"/>
    <w:rsid w:val="00055D83"/>
    <w:rsid w:val="000577EB"/>
    <w:rsid w:val="00064933"/>
    <w:rsid w:val="000720EF"/>
    <w:rsid w:val="000846E2"/>
    <w:rsid w:val="000863F6"/>
    <w:rsid w:val="000A3BD7"/>
    <w:rsid w:val="000D075E"/>
    <w:rsid w:val="000D0F56"/>
    <w:rsid w:val="000D403A"/>
    <w:rsid w:val="000D7152"/>
    <w:rsid w:val="000E2349"/>
    <w:rsid w:val="00111B62"/>
    <w:rsid w:val="00132B7D"/>
    <w:rsid w:val="001403AD"/>
    <w:rsid w:val="001452A3"/>
    <w:rsid w:val="00162029"/>
    <w:rsid w:val="00167C75"/>
    <w:rsid w:val="0019084A"/>
    <w:rsid w:val="001A5880"/>
    <w:rsid w:val="001C4B7D"/>
    <w:rsid w:val="001D4A55"/>
    <w:rsid w:val="001D528C"/>
    <w:rsid w:val="001D7CBA"/>
    <w:rsid w:val="001E21F0"/>
    <w:rsid w:val="001E5289"/>
    <w:rsid w:val="001F024F"/>
    <w:rsid w:val="001F7468"/>
    <w:rsid w:val="00204AAD"/>
    <w:rsid w:val="00223099"/>
    <w:rsid w:val="00223A1A"/>
    <w:rsid w:val="0022500A"/>
    <w:rsid w:val="00260B2D"/>
    <w:rsid w:val="00270AED"/>
    <w:rsid w:val="00271CF6"/>
    <w:rsid w:val="00276CE5"/>
    <w:rsid w:val="002856C7"/>
    <w:rsid w:val="002859D4"/>
    <w:rsid w:val="002B5578"/>
    <w:rsid w:val="002C5E15"/>
    <w:rsid w:val="002C6F25"/>
    <w:rsid w:val="00300A74"/>
    <w:rsid w:val="00301FD6"/>
    <w:rsid w:val="003029F0"/>
    <w:rsid w:val="003140FD"/>
    <w:rsid w:val="003176BC"/>
    <w:rsid w:val="00323354"/>
    <w:rsid w:val="00336C6D"/>
    <w:rsid w:val="00370F8B"/>
    <w:rsid w:val="00395BDD"/>
    <w:rsid w:val="003C4227"/>
    <w:rsid w:val="003C581F"/>
    <w:rsid w:val="003D2541"/>
    <w:rsid w:val="003D39AB"/>
    <w:rsid w:val="003D7198"/>
    <w:rsid w:val="003F72A0"/>
    <w:rsid w:val="004071F4"/>
    <w:rsid w:val="00407977"/>
    <w:rsid w:val="0041566F"/>
    <w:rsid w:val="00426CDB"/>
    <w:rsid w:val="00440EF7"/>
    <w:rsid w:val="004528D5"/>
    <w:rsid w:val="004A12F4"/>
    <w:rsid w:val="004A3F7C"/>
    <w:rsid w:val="004C3121"/>
    <w:rsid w:val="004D081D"/>
    <w:rsid w:val="004D5CCD"/>
    <w:rsid w:val="004E3D2D"/>
    <w:rsid w:val="004E4A2C"/>
    <w:rsid w:val="00526412"/>
    <w:rsid w:val="00546369"/>
    <w:rsid w:val="00561737"/>
    <w:rsid w:val="00563CE7"/>
    <w:rsid w:val="00571F99"/>
    <w:rsid w:val="00575F00"/>
    <w:rsid w:val="005926C9"/>
    <w:rsid w:val="005B04D7"/>
    <w:rsid w:val="005B0558"/>
    <w:rsid w:val="005D1C03"/>
    <w:rsid w:val="005D3FE1"/>
    <w:rsid w:val="005D72F4"/>
    <w:rsid w:val="005E3D2C"/>
    <w:rsid w:val="005F1DA5"/>
    <w:rsid w:val="005F2F50"/>
    <w:rsid w:val="0060683F"/>
    <w:rsid w:val="00610BEF"/>
    <w:rsid w:val="00616E93"/>
    <w:rsid w:val="00622E5D"/>
    <w:rsid w:val="00633C64"/>
    <w:rsid w:val="00661AAF"/>
    <w:rsid w:val="00683F32"/>
    <w:rsid w:val="0068692A"/>
    <w:rsid w:val="006A0520"/>
    <w:rsid w:val="006B1220"/>
    <w:rsid w:val="006B3C88"/>
    <w:rsid w:val="006B5CA2"/>
    <w:rsid w:val="006C41A9"/>
    <w:rsid w:val="006D16E8"/>
    <w:rsid w:val="006E1D74"/>
    <w:rsid w:val="0071731F"/>
    <w:rsid w:val="007205CE"/>
    <w:rsid w:val="00725FBE"/>
    <w:rsid w:val="00740CFE"/>
    <w:rsid w:val="0077042C"/>
    <w:rsid w:val="00771FD9"/>
    <w:rsid w:val="007769D0"/>
    <w:rsid w:val="00777615"/>
    <w:rsid w:val="00797B58"/>
    <w:rsid w:val="007A0442"/>
    <w:rsid w:val="007A6B64"/>
    <w:rsid w:val="007A784F"/>
    <w:rsid w:val="007B75C6"/>
    <w:rsid w:val="007C3182"/>
    <w:rsid w:val="007D261A"/>
    <w:rsid w:val="007F1318"/>
    <w:rsid w:val="007F4F3C"/>
    <w:rsid w:val="00807B00"/>
    <w:rsid w:val="0081762C"/>
    <w:rsid w:val="008263C5"/>
    <w:rsid w:val="008456FF"/>
    <w:rsid w:val="00854FF7"/>
    <w:rsid w:val="00870B4E"/>
    <w:rsid w:val="00880213"/>
    <w:rsid w:val="008A5E87"/>
    <w:rsid w:val="008B7D65"/>
    <w:rsid w:val="008C2098"/>
    <w:rsid w:val="008C5CA1"/>
    <w:rsid w:val="008D43EA"/>
    <w:rsid w:val="008E2312"/>
    <w:rsid w:val="0092006B"/>
    <w:rsid w:val="009331CC"/>
    <w:rsid w:val="00961903"/>
    <w:rsid w:val="00963A57"/>
    <w:rsid w:val="00972EAA"/>
    <w:rsid w:val="009A067C"/>
    <w:rsid w:val="009B00DE"/>
    <w:rsid w:val="009B38E7"/>
    <w:rsid w:val="009C11BB"/>
    <w:rsid w:val="009E0CF9"/>
    <w:rsid w:val="009F3871"/>
    <w:rsid w:val="009F5632"/>
    <w:rsid w:val="00A00A05"/>
    <w:rsid w:val="00A27439"/>
    <w:rsid w:val="00A6679B"/>
    <w:rsid w:val="00A75341"/>
    <w:rsid w:val="00A85593"/>
    <w:rsid w:val="00A91C98"/>
    <w:rsid w:val="00AC0D69"/>
    <w:rsid w:val="00AD6429"/>
    <w:rsid w:val="00AF253B"/>
    <w:rsid w:val="00B00FCB"/>
    <w:rsid w:val="00B04E6C"/>
    <w:rsid w:val="00B068AE"/>
    <w:rsid w:val="00B108BB"/>
    <w:rsid w:val="00B11B17"/>
    <w:rsid w:val="00B22173"/>
    <w:rsid w:val="00B55DC9"/>
    <w:rsid w:val="00B836B4"/>
    <w:rsid w:val="00B85E42"/>
    <w:rsid w:val="00BA790C"/>
    <w:rsid w:val="00BC6A0A"/>
    <w:rsid w:val="00BC7830"/>
    <w:rsid w:val="00BD7BE1"/>
    <w:rsid w:val="00BF6F97"/>
    <w:rsid w:val="00C01423"/>
    <w:rsid w:val="00C03297"/>
    <w:rsid w:val="00C25488"/>
    <w:rsid w:val="00C54577"/>
    <w:rsid w:val="00C72C38"/>
    <w:rsid w:val="00C864EE"/>
    <w:rsid w:val="00C95979"/>
    <w:rsid w:val="00CA6BD4"/>
    <w:rsid w:val="00D15E77"/>
    <w:rsid w:val="00D21679"/>
    <w:rsid w:val="00D242AA"/>
    <w:rsid w:val="00D26C8B"/>
    <w:rsid w:val="00D309F6"/>
    <w:rsid w:val="00D32C43"/>
    <w:rsid w:val="00D656A4"/>
    <w:rsid w:val="00D665A0"/>
    <w:rsid w:val="00D67F6E"/>
    <w:rsid w:val="00D83DA5"/>
    <w:rsid w:val="00D92F41"/>
    <w:rsid w:val="00DB408B"/>
    <w:rsid w:val="00DC406B"/>
    <w:rsid w:val="00DE2430"/>
    <w:rsid w:val="00DE5974"/>
    <w:rsid w:val="00DF126E"/>
    <w:rsid w:val="00E1453F"/>
    <w:rsid w:val="00E160F3"/>
    <w:rsid w:val="00E16F12"/>
    <w:rsid w:val="00E17890"/>
    <w:rsid w:val="00E22B03"/>
    <w:rsid w:val="00E22FC8"/>
    <w:rsid w:val="00E3709F"/>
    <w:rsid w:val="00E5141C"/>
    <w:rsid w:val="00E6099E"/>
    <w:rsid w:val="00E60AE6"/>
    <w:rsid w:val="00E728DB"/>
    <w:rsid w:val="00E737F5"/>
    <w:rsid w:val="00E77E87"/>
    <w:rsid w:val="00E85394"/>
    <w:rsid w:val="00EA7AE3"/>
    <w:rsid w:val="00EC58C5"/>
    <w:rsid w:val="00EC7CBF"/>
    <w:rsid w:val="00ED008A"/>
    <w:rsid w:val="00F05D67"/>
    <w:rsid w:val="00F14915"/>
    <w:rsid w:val="00F16858"/>
    <w:rsid w:val="00F23691"/>
    <w:rsid w:val="00F42B0A"/>
    <w:rsid w:val="00F46BA3"/>
    <w:rsid w:val="00F6655B"/>
    <w:rsid w:val="00F857CA"/>
    <w:rsid w:val="00F926C6"/>
    <w:rsid w:val="00F93EB9"/>
    <w:rsid w:val="00FA74EF"/>
    <w:rsid w:val="00FB3030"/>
    <w:rsid w:val="00FB4E25"/>
    <w:rsid w:val="00FC34D0"/>
    <w:rsid w:val="00FD3DAC"/>
    <w:rsid w:val="00FD4A02"/>
    <w:rsid w:val="00FE7703"/>
    <w:rsid w:val="00FF7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660C7A"/>
  <w15:chartTrackingRefBased/>
  <w15:docId w15:val="{F58B4E4C-2E9A-4CEF-A397-9B648E9C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D83"/>
    <w:pPr>
      <w:spacing w:before="240" w:after="0" w:line="480" w:lineRule="auto"/>
      <w:jc w:val="both"/>
    </w:pPr>
    <w:rPr>
      <w:rFonts w:ascii="Times New Roman" w:eastAsia="Calibri" w:hAnsi="Times New Roman" w:cs="SimSun"/>
      <w:color w:val="000000"/>
      <w:kern w:val="0"/>
      <w:sz w:val="24"/>
    </w:rPr>
  </w:style>
  <w:style w:type="paragraph" w:styleId="Heading1">
    <w:name w:val="heading 1"/>
    <w:basedOn w:val="Normal"/>
    <w:next w:val="Normal"/>
    <w:link w:val="Heading1Char"/>
    <w:autoRedefine/>
    <w:uiPriority w:val="9"/>
    <w:qFormat/>
    <w:rsid w:val="00055D83"/>
    <w:pPr>
      <w:keepNext/>
      <w:keepLines/>
      <w:spacing w:before="600" w:after="120" w:line="240" w:lineRule="auto"/>
      <w:jc w:val="center"/>
      <w:outlineLvl w:val="0"/>
    </w:pPr>
    <w:rPr>
      <w:rFonts w:eastAsia="Times New Roman" w:cs="Times New Roman"/>
      <w:b/>
      <w:color w:val="000000" w:themeColor="text1"/>
      <w:kern w:val="2"/>
      <w:sz w:val="28"/>
      <w:szCs w:val="28"/>
      <w:u w:val="single"/>
    </w:rPr>
  </w:style>
  <w:style w:type="paragraph" w:styleId="Heading2">
    <w:name w:val="heading 2"/>
    <w:basedOn w:val="Normal"/>
    <w:next w:val="Normal"/>
    <w:link w:val="Heading2Char"/>
    <w:uiPriority w:val="9"/>
    <w:semiHidden/>
    <w:unhideWhenUsed/>
    <w:qFormat/>
    <w:rsid w:val="006068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3D71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5D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83"/>
    <w:rPr>
      <w:rFonts w:ascii="Times New Roman" w:eastAsia="Times New Roman" w:hAnsi="Times New Roman" w:cs="Times New Roman"/>
      <w:b/>
      <w:color w:val="000000" w:themeColor="text1"/>
      <w:sz w:val="28"/>
      <w:szCs w:val="28"/>
      <w:u w:val="single"/>
    </w:rPr>
  </w:style>
  <w:style w:type="character" w:customStyle="1" w:styleId="Heading5Char">
    <w:name w:val="Heading 5 Char"/>
    <w:basedOn w:val="DefaultParagraphFont"/>
    <w:link w:val="Heading5"/>
    <w:uiPriority w:val="9"/>
    <w:semiHidden/>
    <w:rsid w:val="00055D83"/>
    <w:rPr>
      <w:rFonts w:asciiTheme="majorHAnsi" w:eastAsiaTheme="majorEastAsia" w:hAnsiTheme="majorHAnsi" w:cstheme="majorBidi"/>
      <w:color w:val="2F5496" w:themeColor="accent1" w:themeShade="BF"/>
      <w:kern w:val="0"/>
      <w:sz w:val="24"/>
    </w:rPr>
  </w:style>
  <w:style w:type="character" w:customStyle="1" w:styleId="ListParagraphChar">
    <w:name w:val="List Paragraph Char"/>
    <w:link w:val="ListParagraph"/>
    <w:uiPriority w:val="34"/>
    <w:rsid w:val="00055D83"/>
    <w:rPr>
      <w:rFonts w:ascii="Calibri" w:eastAsia="Calibri" w:hAnsi="Calibri" w:cs="Times New Roman"/>
    </w:rPr>
  </w:style>
  <w:style w:type="paragraph" w:styleId="ListParagraph">
    <w:name w:val="List Paragraph"/>
    <w:basedOn w:val="Normal"/>
    <w:link w:val="ListParagraphChar"/>
    <w:uiPriority w:val="34"/>
    <w:qFormat/>
    <w:rsid w:val="00055D83"/>
    <w:pPr>
      <w:spacing w:before="120" w:after="200"/>
      <w:ind w:left="720"/>
      <w:contextualSpacing/>
    </w:pPr>
    <w:rPr>
      <w:rFonts w:ascii="Calibri" w:hAnsi="Calibri" w:cs="Times New Roman"/>
      <w:color w:val="auto"/>
      <w:kern w:val="2"/>
      <w:sz w:val="22"/>
    </w:rPr>
  </w:style>
  <w:style w:type="paragraph" w:styleId="Footer">
    <w:name w:val="footer"/>
    <w:basedOn w:val="Normal"/>
    <w:link w:val="FooterChar"/>
    <w:uiPriority w:val="99"/>
    <w:unhideWhenUsed/>
    <w:rsid w:val="00055D8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55D83"/>
    <w:rPr>
      <w:rFonts w:ascii="Times New Roman" w:eastAsia="Calibri" w:hAnsi="Times New Roman" w:cs="SimSun"/>
      <w:color w:val="000000"/>
      <w:kern w:val="0"/>
      <w:sz w:val="24"/>
    </w:rPr>
  </w:style>
  <w:style w:type="paragraph" w:styleId="BodyText">
    <w:name w:val="Body Text"/>
    <w:basedOn w:val="Normal"/>
    <w:link w:val="BodyTextChar"/>
    <w:uiPriority w:val="1"/>
    <w:qFormat/>
    <w:rsid w:val="00055D83"/>
    <w:pPr>
      <w:widowControl w:val="0"/>
      <w:autoSpaceDE w:val="0"/>
      <w:autoSpaceDN w:val="0"/>
      <w:spacing w:before="0" w:line="240" w:lineRule="auto"/>
      <w:jc w:val="left"/>
    </w:pPr>
    <w:rPr>
      <w:rFonts w:eastAsia="Times New Roman" w:cs="Times New Roman"/>
      <w:color w:val="auto"/>
      <w:szCs w:val="24"/>
      <w:lang w:val="en-GB"/>
      <w14:ligatures w14:val="none"/>
    </w:rPr>
  </w:style>
  <w:style w:type="character" w:customStyle="1" w:styleId="BodyTextChar">
    <w:name w:val="Body Text Char"/>
    <w:basedOn w:val="DefaultParagraphFont"/>
    <w:link w:val="BodyText"/>
    <w:uiPriority w:val="1"/>
    <w:rsid w:val="00055D83"/>
    <w:rPr>
      <w:rFonts w:ascii="Times New Roman" w:eastAsia="Times New Roman" w:hAnsi="Times New Roman" w:cs="Times New Roman"/>
      <w:kern w:val="0"/>
      <w:sz w:val="24"/>
      <w:szCs w:val="24"/>
      <w:lang w:val="en-GB"/>
      <w14:ligatures w14:val="none"/>
    </w:rPr>
  </w:style>
  <w:style w:type="paragraph" w:customStyle="1" w:styleId="Default">
    <w:name w:val="Default"/>
    <w:rsid w:val="00055D83"/>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customStyle="1" w:styleId="apple-converted-space">
    <w:name w:val="apple-converted-space"/>
    <w:basedOn w:val="DefaultParagraphFont"/>
    <w:rsid w:val="007F1318"/>
  </w:style>
  <w:style w:type="paragraph" w:customStyle="1" w:styleId="TableParagraph">
    <w:name w:val="Table Paragraph"/>
    <w:basedOn w:val="Normal"/>
    <w:uiPriority w:val="1"/>
    <w:qFormat/>
    <w:rsid w:val="00A6679B"/>
    <w:pPr>
      <w:widowControl w:val="0"/>
      <w:autoSpaceDE w:val="0"/>
      <w:autoSpaceDN w:val="0"/>
      <w:spacing w:before="0" w:line="240" w:lineRule="auto"/>
      <w:jc w:val="left"/>
    </w:pPr>
    <w:rPr>
      <w:rFonts w:eastAsia="Times New Roman" w:cs="Times New Roman"/>
      <w:color w:val="auto"/>
      <w:sz w:val="22"/>
      <w14:ligatures w14:val="none"/>
    </w:rPr>
  </w:style>
  <w:style w:type="character" w:customStyle="1" w:styleId="Heading2Char">
    <w:name w:val="Heading 2 Char"/>
    <w:basedOn w:val="DefaultParagraphFont"/>
    <w:link w:val="Heading2"/>
    <w:uiPriority w:val="9"/>
    <w:semiHidden/>
    <w:rsid w:val="0060683F"/>
    <w:rPr>
      <w:rFonts w:asciiTheme="majorHAnsi" w:eastAsiaTheme="majorEastAsia" w:hAnsiTheme="majorHAnsi" w:cstheme="majorBidi"/>
      <w:color w:val="2F5496" w:themeColor="accent1" w:themeShade="BF"/>
      <w:kern w:val="0"/>
      <w:sz w:val="26"/>
      <w:szCs w:val="26"/>
    </w:rPr>
  </w:style>
  <w:style w:type="character" w:customStyle="1" w:styleId="Heading4Char">
    <w:name w:val="Heading 4 Char"/>
    <w:basedOn w:val="DefaultParagraphFont"/>
    <w:link w:val="Heading4"/>
    <w:uiPriority w:val="9"/>
    <w:semiHidden/>
    <w:rsid w:val="003D7198"/>
    <w:rPr>
      <w:rFonts w:asciiTheme="majorHAnsi" w:eastAsiaTheme="majorEastAsia" w:hAnsiTheme="majorHAnsi" w:cstheme="majorBidi"/>
      <w:i/>
      <w:iCs/>
      <w:color w:val="2F5496" w:themeColor="accent1" w:themeShade="BF"/>
      <w:kern w:val="0"/>
      <w:sz w:val="24"/>
    </w:rPr>
  </w:style>
  <w:style w:type="character" w:styleId="Emphasis">
    <w:name w:val="Emphasis"/>
    <w:uiPriority w:val="20"/>
    <w:qFormat/>
    <w:rsid w:val="00E1453F"/>
    <w:rPr>
      <w:i/>
      <w:iCs/>
    </w:rPr>
  </w:style>
  <w:style w:type="character" w:styleId="Hyperlink">
    <w:name w:val="Hyperlink"/>
    <w:basedOn w:val="DefaultParagraphFont"/>
    <w:uiPriority w:val="99"/>
    <w:unhideWhenUsed/>
    <w:rsid w:val="00E16F12"/>
    <w:rPr>
      <w:color w:val="0563C1" w:themeColor="hyperlink"/>
      <w:u w:val="single"/>
    </w:rPr>
  </w:style>
  <w:style w:type="character" w:customStyle="1" w:styleId="UnresolvedMention">
    <w:name w:val="Unresolved Mention"/>
    <w:basedOn w:val="DefaultParagraphFont"/>
    <w:uiPriority w:val="99"/>
    <w:semiHidden/>
    <w:unhideWhenUsed/>
    <w:rsid w:val="00E16F12"/>
    <w:rPr>
      <w:color w:val="605E5C"/>
      <w:shd w:val="clear" w:color="auto" w:fill="E1DFDD"/>
    </w:rPr>
  </w:style>
  <w:style w:type="paragraph" w:styleId="Header">
    <w:name w:val="header"/>
    <w:basedOn w:val="Normal"/>
    <w:link w:val="HeaderChar"/>
    <w:uiPriority w:val="99"/>
    <w:unhideWhenUsed/>
    <w:rsid w:val="00740CFE"/>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40CFE"/>
    <w:rPr>
      <w:rFonts w:ascii="Times New Roman" w:eastAsia="Calibri" w:hAnsi="Times New Roman" w:cs="SimSu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49357">
      <w:bodyDiv w:val="1"/>
      <w:marLeft w:val="0"/>
      <w:marRight w:val="0"/>
      <w:marTop w:val="0"/>
      <w:marBottom w:val="0"/>
      <w:divBdr>
        <w:top w:val="none" w:sz="0" w:space="0" w:color="auto"/>
        <w:left w:val="none" w:sz="0" w:space="0" w:color="auto"/>
        <w:bottom w:val="none" w:sz="0" w:space="0" w:color="auto"/>
        <w:right w:val="none" w:sz="0" w:space="0" w:color="auto"/>
      </w:divBdr>
    </w:div>
    <w:div w:id="180650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7079</Words>
  <Characters>40355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WUCHERERIA BANCROFTI</dc:creator>
  <cp:keywords/>
  <dc:description/>
  <cp:lastModifiedBy>Everlyne Khatenje Mwonyonyo</cp:lastModifiedBy>
  <cp:revision>2</cp:revision>
  <dcterms:created xsi:type="dcterms:W3CDTF">2025-02-13T13:03:00Z</dcterms:created>
  <dcterms:modified xsi:type="dcterms:W3CDTF">2025-02-13T13:03:00Z</dcterms:modified>
</cp:coreProperties>
</file>